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C7501">
      <w:pPr>
        <w:spacing w:line="600" w:lineRule="exact"/>
        <w:jc w:val="center"/>
        <w:outlineLvl w:val="0"/>
        <w:rPr>
          <w:rFonts w:ascii="方正小标宋简体" w:hAnsi="宋体" w:eastAsia="方正小标宋简体"/>
          <w:sz w:val="72"/>
          <w:szCs w:val="72"/>
        </w:rPr>
      </w:pPr>
      <w:bookmarkStart w:id="0" w:name="_Toc15306267"/>
    </w:p>
    <w:p w14:paraId="63EFDABD">
      <w:pPr>
        <w:spacing w:line="600" w:lineRule="exact"/>
        <w:jc w:val="center"/>
        <w:outlineLvl w:val="0"/>
        <w:rPr>
          <w:rFonts w:ascii="方正小标宋简体" w:hAnsi="宋体" w:eastAsia="方正小标宋简体"/>
          <w:sz w:val="72"/>
          <w:szCs w:val="72"/>
        </w:rPr>
      </w:pPr>
    </w:p>
    <w:p w14:paraId="1FDDFB74">
      <w:pPr>
        <w:spacing w:line="600" w:lineRule="exact"/>
        <w:jc w:val="center"/>
        <w:outlineLvl w:val="0"/>
        <w:rPr>
          <w:rFonts w:ascii="方正小标宋简体" w:hAnsi="宋体" w:eastAsia="方正小标宋简体"/>
          <w:sz w:val="72"/>
          <w:szCs w:val="72"/>
        </w:rPr>
      </w:pPr>
    </w:p>
    <w:p w14:paraId="75C0479B">
      <w:pPr>
        <w:spacing w:line="600" w:lineRule="exact"/>
        <w:jc w:val="center"/>
        <w:outlineLvl w:val="0"/>
        <w:rPr>
          <w:rFonts w:ascii="方正小标宋简体" w:hAnsi="宋体" w:eastAsia="方正小标宋简体"/>
          <w:sz w:val="72"/>
          <w:szCs w:val="72"/>
        </w:rPr>
      </w:pPr>
    </w:p>
    <w:p w14:paraId="1A0FE845">
      <w:pPr>
        <w:adjustRightInd w:val="0"/>
        <w:snapToGrid w:val="0"/>
        <w:spacing w:line="360" w:lineRule="auto"/>
        <w:jc w:val="center"/>
        <w:outlineLvl w:val="0"/>
        <w:rPr>
          <w:rFonts w:ascii="方正小标宋简体" w:hAnsi="宋体" w:eastAsia="方正小标宋简体"/>
          <w:sz w:val="52"/>
          <w:szCs w:val="52"/>
        </w:rPr>
      </w:pPr>
      <w:bookmarkStart w:id="1" w:name="_Toc15378441"/>
      <w:bookmarkStart w:id="2" w:name="_Toc15396475"/>
      <w:bookmarkStart w:id="3" w:name="_Toc15377425"/>
      <w:bookmarkStart w:id="4" w:name="_Toc15396597"/>
      <w:bookmarkStart w:id="5" w:name="_Toc15377193"/>
      <w:r>
        <w:rPr>
          <w:rFonts w:ascii="黑体" w:hAnsi="黑体" w:eastAsia="黑体" w:cs="黑体"/>
          <w:sz w:val="52"/>
          <w:szCs w:val="52"/>
        </w:rPr>
        <w:t>20</w:t>
      </w:r>
      <w:r>
        <w:rPr>
          <w:rFonts w:hint="eastAsia" w:ascii="黑体" w:hAnsi="黑体" w:eastAsia="黑体" w:cs="黑体"/>
          <w:sz w:val="52"/>
          <w:szCs w:val="52"/>
        </w:rPr>
        <w:t>20</w:t>
      </w:r>
      <w:r>
        <w:rPr>
          <w:rFonts w:hint="eastAsia" w:ascii="方正小标宋简体" w:hAnsi="宋体" w:eastAsia="方正小标宋简体" w:cs="方正小标宋简体"/>
          <w:sz w:val="52"/>
          <w:szCs w:val="52"/>
        </w:rPr>
        <w:t>年度</w:t>
      </w:r>
      <w:bookmarkEnd w:id="1"/>
      <w:bookmarkEnd w:id="2"/>
      <w:bookmarkEnd w:id="3"/>
      <w:bookmarkEnd w:id="4"/>
      <w:bookmarkEnd w:id="5"/>
    </w:p>
    <w:p w14:paraId="69FEACA3">
      <w:pPr>
        <w:adjustRightInd w:val="0"/>
        <w:snapToGrid w:val="0"/>
        <w:spacing w:line="360" w:lineRule="auto"/>
        <w:jc w:val="center"/>
        <w:outlineLvl w:val="0"/>
        <w:rPr>
          <w:rFonts w:ascii="方正小标宋简体" w:hAnsi="宋体" w:eastAsia="方正小标宋简体" w:cs="方正小标宋简体"/>
          <w:sz w:val="48"/>
          <w:szCs w:val="48"/>
        </w:rPr>
      </w:pPr>
      <w:bookmarkStart w:id="6" w:name="_Toc15377426"/>
      <w:bookmarkStart w:id="7" w:name="_Toc15396598"/>
      <w:bookmarkStart w:id="8" w:name="_Toc15377194"/>
      <w:bookmarkStart w:id="9" w:name="_Toc15396476"/>
      <w:bookmarkStart w:id="10" w:name="_Toc15378442"/>
      <w:r>
        <w:rPr>
          <w:rFonts w:hint="eastAsia" w:ascii="方正小标宋简体" w:hAnsi="宋体" w:eastAsia="方正小标宋简体" w:cs="方正小标宋简体"/>
          <w:sz w:val="48"/>
          <w:szCs w:val="48"/>
        </w:rPr>
        <w:t>四川省德阳市罗江区</w:t>
      </w:r>
      <w:bookmarkEnd w:id="0"/>
      <w:bookmarkStart w:id="11" w:name="_Toc15306268"/>
      <w:r>
        <w:rPr>
          <w:rFonts w:hint="eastAsia" w:ascii="方正小标宋简体" w:hAnsi="宋体" w:eastAsia="方正小标宋简体" w:cs="方正小标宋简体"/>
          <w:sz w:val="48"/>
          <w:szCs w:val="48"/>
        </w:rPr>
        <w:t>略坪镇人民政府</w:t>
      </w:r>
    </w:p>
    <w:p w14:paraId="0541FAFD">
      <w:pPr>
        <w:adjustRightInd w:val="0"/>
        <w:snapToGrid w:val="0"/>
        <w:spacing w:line="360" w:lineRule="auto"/>
        <w:jc w:val="center"/>
        <w:outlineLvl w:val="0"/>
        <w:rPr>
          <w:rFonts w:ascii="方正小标宋简体" w:hAnsi="宋体" w:eastAsia="方正小标宋简体" w:cs="方正小标宋简体"/>
          <w:sz w:val="48"/>
          <w:szCs w:val="48"/>
        </w:rPr>
      </w:pPr>
      <w:r>
        <w:rPr>
          <w:rFonts w:hint="eastAsia" w:ascii="方正小标宋简体" w:hAnsi="宋体" w:eastAsia="方正小标宋简体" w:cs="方正小标宋简体"/>
          <w:sz w:val="48"/>
          <w:szCs w:val="48"/>
        </w:rPr>
        <w:t>部门决算</w:t>
      </w:r>
      <w:bookmarkEnd w:id="6"/>
      <w:bookmarkEnd w:id="7"/>
      <w:bookmarkEnd w:id="8"/>
      <w:bookmarkEnd w:id="9"/>
      <w:bookmarkEnd w:id="10"/>
      <w:bookmarkEnd w:id="11"/>
      <w:r>
        <w:rPr>
          <w:rFonts w:hint="eastAsia" w:ascii="方正小标宋简体" w:hAnsi="宋体" w:eastAsia="方正小标宋简体" w:cs="方正小标宋简体"/>
          <w:sz w:val="48"/>
          <w:szCs w:val="48"/>
        </w:rPr>
        <w:t>公开</w:t>
      </w:r>
    </w:p>
    <w:p w14:paraId="2099F127">
      <w:pPr>
        <w:adjustRightInd w:val="0"/>
        <w:snapToGrid w:val="0"/>
        <w:spacing w:line="360" w:lineRule="auto"/>
        <w:jc w:val="center"/>
        <w:outlineLvl w:val="0"/>
        <w:rPr>
          <w:rFonts w:ascii="方正小标宋简体" w:hAnsi="宋体" w:eastAsia="方正小标宋简体" w:cs="方正小标宋简体"/>
          <w:sz w:val="48"/>
          <w:szCs w:val="48"/>
        </w:rPr>
      </w:pPr>
    </w:p>
    <w:p w14:paraId="5A7A0F9E">
      <w:pPr>
        <w:adjustRightInd w:val="0"/>
        <w:snapToGrid w:val="0"/>
        <w:spacing w:line="360" w:lineRule="auto"/>
        <w:jc w:val="center"/>
        <w:outlineLvl w:val="0"/>
        <w:rPr>
          <w:rFonts w:ascii="方正小标宋简体" w:hAnsi="宋体" w:eastAsia="方正小标宋简体" w:cs="方正小标宋简体"/>
          <w:sz w:val="48"/>
          <w:szCs w:val="48"/>
        </w:rPr>
      </w:pPr>
    </w:p>
    <w:p w14:paraId="3D5B4791">
      <w:pPr>
        <w:adjustRightInd w:val="0"/>
        <w:snapToGrid w:val="0"/>
        <w:spacing w:line="360" w:lineRule="auto"/>
        <w:jc w:val="center"/>
        <w:outlineLvl w:val="0"/>
        <w:rPr>
          <w:rFonts w:ascii="方正小标宋简体" w:hAnsi="宋体" w:eastAsia="方正小标宋简体" w:cs="方正小标宋简体"/>
          <w:sz w:val="48"/>
          <w:szCs w:val="48"/>
        </w:rPr>
      </w:pPr>
    </w:p>
    <w:p w14:paraId="1901DB52">
      <w:pPr>
        <w:adjustRightInd w:val="0"/>
        <w:snapToGrid w:val="0"/>
        <w:spacing w:line="360" w:lineRule="auto"/>
        <w:jc w:val="center"/>
        <w:outlineLvl w:val="0"/>
        <w:rPr>
          <w:rFonts w:ascii="方正小标宋简体" w:hAnsi="宋体" w:eastAsia="方正小标宋简体" w:cs="方正小标宋简体"/>
          <w:sz w:val="48"/>
          <w:szCs w:val="48"/>
        </w:rPr>
      </w:pPr>
    </w:p>
    <w:p w14:paraId="49DEE32C">
      <w:pPr>
        <w:adjustRightInd w:val="0"/>
        <w:snapToGrid w:val="0"/>
        <w:spacing w:line="360" w:lineRule="auto"/>
        <w:jc w:val="center"/>
        <w:outlineLvl w:val="0"/>
        <w:rPr>
          <w:rFonts w:ascii="方正小标宋简体" w:hAnsi="宋体" w:eastAsia="方正小标宋简体" w:cs="方正小标宋简体"/>
          <w:sz w:val="48"/>
          <w:szCs w:val="48"/>
        </w:rPr>
      </w:pPr>
    </w:p>
    <w:p w14:paraId="25F667CD">
      <w:pPr>
        <w:adjustRightInd w:val="0"/>
        <w:snapToGrid w:val="0"/>
        <w:spacing w:line="360" w:lineRule="auto"/>
        <w:jc w:val="center"/>
        <w:outlineLvl w:val="0"/>
        <w:rPr>
          <w:rFonts w:ascii="方正小标宋简体" w:hAnsi="宋体" w:eastAsia="方正小标宋简体"/>
          <w:sz w:val="32"/>
          <w:szCs w:val="32"/>
        </w:rPr>
      </w:pPr>
      <w:r>
        <w:rPr>
          <w:rFonts w:hint="eastAsia" w:ascii="方正小标宋简体" w:hAnsi="宋体" w:eastAsia="方正小标宋简体" w:cs="方正小标宋简体"/>
          <w:sz w:val="32"/>
          <w:szCs w:val="32"/>
        </w:rPr>
        <w:t>2021年10月</w:t>
      </w:r>
    </w:p>
    <w:p w14:paraId="2A3ACF16">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w:t>
      </w:r>
      <w:r>
        <w:rPr>
          <w:rFonts w:ascii="黑体" w:hAnsi="黑体" w:eastAsia="黑体" w:cs="黑体"/>
          <w:sz w:val="48"/>
          <w:szCs w:val="48"/>
        </w:rPr>
        <w:t xml:space="preserve"> </w:t>
      </w:r>
      <w:r>
        <w:rPr>
          <w:rFonts w:hint="eastAsia" w:ascii="黑体" w:hAnsi="黑体" w:eastAsia="黑体" w:cs="黑体"/>
          <w:sz w:val="48"/>
          <w:szCs w:val="48"/>
        </w:rPr>
        <w:t>录</w:t>
      </w:r>
    </w:p>
    <w:p w14:paraId="2346992D">
      <w:pPr>
        <w:widowControl/>
        <w:jc w:val="center"/>
        <w:rPr>
          <w:rFonts w:ascii="黑体" w:hAnsi="黑体" w:eastAsia="黑体"/>
          <w:sz w:val="28"/>
          <w:szCs w:val="28"/>
        </w:rPr>
      </w:pPr>
      <w:r>
        <w:rPr>
          <w:rFonts w:ascii="黑体" w:hAnsi="黑体" w:eastAsia="黑体" w:cs="黑体"/>
          <w:sz w:val="48"/>
          <w:szCs w:val="48"/>
        </w:rPr>
        <w:fldChar w:fldCharType="begin"/>
      </w:r>
      <w:r>
        <w:rPr>
          <w:rFonts w:ascii="黑体" w:hAnsi="黑体" w:eastAsia="黑体" w:cs="黑体"/>
          <w:sz w:val="48"/>
          <w:szCs w:val="48"/>
        </w:rPr>
        <w:instrText xml:space="preserve"> TOC \o "1-2" \h \z \u </w:instrText>
      </w:r>
      <w:r>
        <w:rPr>
          <w:rFonts w:ascii="黑体" w:hAnsi="黑体" w:eastAsia="黑体" w:cs="黑体"/>
          <w:sz w:val="48"/>
          <w:szCs w:val="48"/>
        </w:rPr>
        <w:fldChar w:fldCharType="separate"/>
      </w:r>
    </w:p>
    <w:p w14:paraId="030BA879">
      <w:pPr>
        <w:pStyle w:val="11"/>
        <w:rPr>
          <w:rFonts w:cs="Times New Roman"/>
        </w:rPr>
      </w:pPr>
      <w:r>
        <w:rPr>
          <w:rFonts w:hint="eastAsia"/>
        </w:rPr>
        <w:t>公开时间：</w:t>
      </w:r>
      <w:r>
        <w:t>202</w:t>
      </w:r>
      <w:r>
        <w:rPr>
          <w:rFonts w:hint="eastAsia"/>
        </w:rPr>
        <w:t>1年</w:t>
      </w:r>
      <w:r>
        <w:t>10</w:t>
      </w:r>
      <w:r>
        <w:rPr>
          <w:rFonts w:hint="eastAsia"/>
        </w:rPr>
        <w:t>月</w:t>
      </w:r>
      <w:r>
        <w:t>2</w:t>
      </w:r>
      <w:r>
        <w:rPr>
          <w:rFonts w:hint="eastAsia"/>
        </w:rPr>
        <w:t>1日</w:t>
      </w:r>
    </w:p>
    <w:p w14:paraId="035E7E96"/>
    <w:p w14:paraId="4C215D84">
      <w:pPr>
        <w:pStyle w:val="11"/>
        <w:rPr>
          <w:rFonts w:cs="Times New Roman"/>
        </w:rPr>
      </w:pPr>
      <w:r>
        <w:fldChar w:fldCharType="begin"/>
      </w:r>
      <w:r>
        <w:instrText xml:space="preserve"> HYPERLINK \l "_Toc15396599" </w:instrText>
      </w:r>
      <w:r>
        <w:fldChar w:fldCharType="separate"/>
      </w:r>
      <w:r>
        <w:rPr>
          <w:rStyle w:val="16"/>
          <w:rFonts w:hint="eastAsia" w:cs="仿宋"/>
          <w:color w:val="auto"/>
        </w:rPr>
        <w:t>第一部分</w:t>
      </w:r>
      <w:r>
        <w:rPr>
          <w:rStyle w:val="16"/>
          <w:rFonts w:cs="仿宋"/>
          <w:color w:val="auto"/>
        </w:rPr>
        <w:t xml:space="preserve"> </w:t>
      </w:r>
      <w:r>
        <w:rPr>
          <w:rStyle w:val="16"/>
          <w:rFonts w:hint="eastAsia" w:cs="仿宋"/>
          <w:color w:val="auto"/>
        </w:rPr>
        <w:t>部门概况</w:t>
      </w:r>
      <w:r>
        <w:rPr>
          <w:rFonts w:cs="Times New Roman"/>
        </w:rPr>
        <w:tab/>
      </w:r>
      <w:r>
        <w:t>4</w:t>
      </w:r>
      <w:r>
        <w:fldChar w:fldCharType="end"/>
      </w:r>
    </w:p>
    <w:p w14:paraId="64F246FD">
      <w:pPr>
        <w:pStyle w:val="12"/>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cs="仿宋"/>
          <w:color w:val="auto"/>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14:paraId="699A5679">
      <w:pPr>
        <w:pStyle w:val="12"/>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cs="仿宋"/>
          <w:color w:val="auto"/>
          <w:sz w:val="28"/>
          <w:szCs w:val="28"/>
        </w:rPr>
        <w:t>二、机构设置</w:t>
      </w:r>
      <w:r>
        <w:rPr>
          <w:rFonts w:ascii="仿宋" w:hAnsi="仿宋" w:eastAsia="仿宋"/>
          <w:sz w:val="28"/>
          <w:szCs w:val="28"/>
        </w:rPr>
        <w:tab/>
      </w:r>
      <w:r>
        <w:rPr>
          <w:rFonts w:hint="eastAsia" w:ascii="仿宋" w:hAnsi="仿宋" w:eastAsia="仿宋" w:cs="仿宋"/>
          <w:sz w:val="28"/>
          <w:szCs w:val="28"/>
        </w:rPr>
        <w:t>8</w:t>
      </w:r>
      <w:r>
        <w:rPr>
          <w:rFonts w:hint="eastAsia" w:ascii="仿宋" w:hAnsi="仿宋" w:eastAsia="仿宋" w:cs="仿宋"/>
          <w:sz w:val="28"/>
          <w:szCs w:val="28"/>
        </w:rPr>
        <w:fldChar w:fldCharType="end"/>
      </w:r>
    </w:p>
    <w:p w14:paraId="17A0A8AC">
      <w:pPr>
        <w:pStyle w:val="11"/>
        <w:rPr>
          <w:rFonts w:cs="Times New Roman"/>
        </w:rPr>
      </w:pPr>
      <w:r>
        <w:fldChar w:fldCharType="begin"/>
      </w:r>
      <w:r>
        <w:instrText xml:space="preserve"> HYPERLINK \l "_Toc15396602" </w:instrText>
      </w:r>
      <w:r>
        <w:fldChar w:fldCharType="separate"/>
      </w:r>
      <w:r>
        <w:rPr>
          <w:rStyle w:val="16"/>
          <w:rFonts w:hint="eastAsia" w:cs="仿宋"/>
          <w:color w:val="auto"/>
        </w:rPr>
        <w:t>第二部分</w:t>
      </w:r>
      <w:r>
        <w:rPr>
          <w:rStyle w:val="16"/>
          <w:rFonts w:cs="仿宋"/>
          <w:color w:val="auto"/>
        </w:rPr>
        <w:t xml:space="preserve"> 2020年</w:t>
      </w:r>
      <w:r>
        <w:rPr>
          <w:rStyle w:val="16"/>
          <w:rFonts w:hint="eastAsia" w:cs="仿宋"/>
          <w:color w:val="auto"/>
        </w:rPr>
        <w:t>度部门决算情况说明</w:t>
      </w:r>
      <w:r>
        <w:rPr>
          <w:rFonts w:cs="Times New Roman"/>
        </w:rPr>
        <w:tab/>
      </w:r>
      <w:r>
        <w:rPr>
          <w:rFonts w:hint="eastAsia"/>
        </w:rPr>
        <w:t>10</w:t>
      </w:r>
      <w:r>
        <w:rPr>
          <w:rFonts w:hint="eastAsia"/>
        </w:rPr>
        <w:fldChar w:fldCharType="end"/>
      </w:r>
    </w:p>
    <w:p w14:paraId="427A4672">
      <w:pPr>
        <w:pStyle w:val="12"/>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cs="仿宋"/>
          <w:color w:val="auto"/>
          <w:sz w:val="28"/>
          <w:szCs w:val="28"/>
        </w:rPr>
        <w:t>一、收入支出决算总体情况说明</w:t>
      </w:r>
      <w:r>
        <w:rPr>
          <w:rFonts w:ascii="仿宋" w:hAnsi="仿宋" w:eastAsia="仿宋"/>
          <w:sz w:val="28"/>
          <w:szCs w:val="28"/>
        </w:rPr>
        <w:tab/>
      </w:r>
      <w:r>
        <w:rPr>
          <w:rFonts w:hint="eastAsia" w:ascii="仿宋" w:hAnsi="仿宋" w:eastAsia="仿宋" w:cs="仿宋"/>
          <w:sz w:val="28"/>
          <w:szCs w:val="28"/>
        </w:rPr>
        <w:t>10</w:t>
      </w:r>
      <w:r>
        <w:rPr>
          <w:rFonts w:hint="eastAsia" w:ascii="仿宋" w:hAnsi="仿宋" w:eastAsia="仿宋" w:cs="仿宋"/>
          <w:sz w:val="28"/>
          <w:szCs w:val="28"/>
        </w:rPr>
        <w:fldChar w:fldCharType="end"/>
      </w:r>
    </w:p>
    <w:p w14:paraId="19D4BBA6">
      <w:pPr>
        <w:pStyle w:val="12"/>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cs="仿宋"/>
          <w:color w:val="auto"/>
          <w:sz w:val="28"/>
          <w:szCs w:val="28"/>
        </w:rPr>
        <w:t>二、收入决算情况说明</w:t>
      </w:r>
      <w:r>
        <w:rPr>
          <w:rFonts w:ascii="仿宋" w:hAnsi="仿宋" w:eastAsia="仿宋"/>
          <w:sz w:val="28"/>
          <w:szCs w:val="28"/>
        </w:rPr>
        <w:tab/>
      </w:r>
      <w:r>
        <w:rPr>
          <w:rFonts w:hint="eastAsia" w:ascii="仿宋" w:hAnsi="仿宋" w:eastAsia="仿宋" w:cs="仿宋"/>
          <w:sz w:val="28"/>
          <w:szCs w:val="28"/>
        </w:rPr>
        <w:t>10</w:t>
      </w:r>
      <w:r>
        <w:rPr>
          <w:rFonts w:hint="eastAsia" w:ascii="仿宋" w:hAnsi="仿宋" w:eastAsia="仿宋" w:cs="仿宋"/>
          <w:sz w:val="28"/>
          <w:szCs w:val="28"/>
        </w:rPr>
        <w:fldChar w:fldCharType="end"/>
      </w:r>
    </w:p>
    <w:p w14:paraId="73C4A6FF">
      <w:pPr>
        <w:pStyle w:val="12"/>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cs="仿宋"/>
          <w:color w:val="auto"/>
          <w:sz w:val="28"/>
          <w:szCs w:val="28"/>
        </w:rPr>
        <w:t>三、支出决算情况说明</w:t>
      </w:r>
      <w:r>
        <w:rPr>
          <w:rFonts w:ascii="仿宋" w:hAnsi="仿宋" w:eastAsia="仿宋"/>
          <w:sz w:val="28"/>
          <w:szCs w:val="28"/>
        </w:rPr>
        <w:tab/>
      </w:r>
      <w:r>
        <w:rPr>
          <w:rFonts w:hint="eastAsia" w:ascii="仿宋" w:hAnsi="仿宋" w:eastAsia="仿宋" w:cs="仿宋"/>
          <w:sz w:val="28"/>
          <w:szCs w:val="28"/>
        </w:rPr>
        <w:t>11</w:t>
      </w:r>
      <w:r>
        <w:rPr>
          <w:rFonts w:hint="eastAsia" w:ascii="仿宋" w:hAnsi="仿宋" w:eastAsia="仿宋" w:cs="仿宋"/>
          <w:sz w:val="28"/>
          <w:szCs w:val="28"/>
        </w:rPr>
        <w:fldChar w:fldCharType="end"/>
      </w:r>
    </w:p>
    <w:p w14:paraId="6D4A46B3">
      <w:pPr>
        <w:pStyle w:val="12"/>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cs="仿宋"/>
          <w:color w:val="auto"/>
          <w:sz w:val="28"/>
          <w:szCs w:val="28"/>
        </w:rPr>
        <w:t>四、财政拨款收入支出决算总体情况说明</w:t>
      </w:r>
      <w:r>
        <w:rPr>
          <w:rFonts w:ascii="仿宋" w:hAnsi="仿宋" w:eastAsia="仿宋"/>
          <w:sz w:val="28"/>
          <w:szCs w:val="28"/>
        </w:rPr>
        <w:tab/>
      </w:r>
      <w:r>
        <w:rPr>
          <w:rFonts w:hint="eastAsia" w:ascii="仿宋" w:hAnsi="仿宋" w:eastAsia="仿宋" w:cs="仿宋"/>
          <w:sz w:val="28"/>
          <w:szCs w:val="28"/>
        </w:rPr>
        <w:t>11</w:t>
      </w:r>
      <w:r>
        <w:rPr>
          <w:rFonts w:hint="eastAsia" w:ascii="仿宋" w:hAnsi="仿宋" w:eastAsia="仿宋" w:cs="仿宋"/>
          <w:sz w:val="28"/>
          <w:szCs w:val="28"/>
        </w:rPr>
        <w:fldChar w:fldCharType="end"/>
      </w:r>
    </w:p>
    <w:p w14:paraId="67DCADE9">
      <w:pPr>
        <w:pStyle w:val="12"/>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cs="仿宋"/>
          <w:color w:val="auto"/>
          <w:sz w:val="28"/>
          <w:szCs w:val="28"/>
        </w:rPr>
        <w:t>五、一般公共预算财政拨款支出决算情况说明</w:t>
      </w:r>
      <w:r>
        <w:rPr>
          <w:rFonts w:ascii="仿宋" w:hAnsi="仿宋" w:eastAsia="仿宋"/>
          <w:sz w:val="28"/>
          <w:szCs w:val="28"/>
        </w:rPr>
        <w:tab/>
      </w:r>
      <w:r>
        <w:rPr>
          <w:rFonts w:hint="eastAsia" w:ascii="仿宋" w:hAnsi="仿宋" w:eastAsia="仿宋" w:cs="仿宋"/>
          <w:sz w:val="28"/>
          <w:szCs w:val="28"/>
        </w:rPr>
        <w:t>12</w:t>
      </w:r>
      <w:r>
        <w:rPr>
          <w:rFonts w:hint="eastAsia" w:ascii="仿宋" w:hAnsi="仿宋" w:eastAsia="仿宋" w:cs="仿宋"/>
          <w:sz w:val="28"/>
          <w:szCs w:val="28"/>
        </w:rPr>
        <w:fldChar w:fldCharType="end"/>
      </w:r>
    </w:p>
    <w:p w14:paraId="2601A19B">
      <w:pPr>
        <w:pStyle w:val="12"/>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cs="仿宋"/>
          <w:color w:val="auto"/>
          <w:sz w:val="28"/>
          <w:szCs w:val="28"/>
        </w:rPr>
        <w:t>六、一般公共预算财政拨款基本支出决算情况说明</w:t>
      </w:r>
      <w:r>
        <w:rPr>
          <w:rFonts w:ascii="仿宋" w:hAnsi="仿宋" w:eastAsia="仿宋"/>
          <w:sz w:val="28"/>
          <w:szCs w:val="28"/>
        </w:rPr>
        <w:tab/>
      </w:r>
      <w:r>
        <w:rPr>
          <w:rFonts w:hint="eastAsia" w:ascii="仿宋" w:hAnsi="仿宋" w:eastAsia="仿宋" w:cs="仿宋"/>
          <w:sz w:val="28"/>
          <w:szCs w:val="28"/>
        </w:rPr>
        <w:t>16</w:t>
      </w:r>
      <w:r>
        <w:rPr>
          <w:rFonts w:hint="eastAsia" w:ascii="仿宋" w:hAnsi="仿宋" w:eastAsia="仿宋" w:cs="仿宋"/>
          <w:sz w:val="28"/>
          <w:szCs w:val="28"/>
        </w:rPr>
        <w:fldChar w:fldCharType="end"/>
      </w:r>
    </w:p>
    <w:p w14:paraId="1A448C19">
      <w:pPr>
        <w:pStyle w:val="12"/>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cs="仿宋"/>
          <w:color w:val="auto"/>
          <w:sz w:val="28"/>
          <w:szCs w:val="28"/>
        </w:rPr>
        <w:t>七、“三公”经费财政拨款支出决算情况说明</w:t>
      </w:r>
      <w:r>
        <w:rPr>
          <w:rFonts w:ascii="仿宋" w:hAnsi="仿宋" w:eastAsia="仿宋"/>
          <w:sz w:val="28"/>
          <w:szCs w:val="28"/>
        </w:rPr>
        <w:tab/>
      </w:r>
      <w:r>
        <w:rPr>
          <w:rFonts w:hint="eastAsia" w:ascii="仿宋" w:hAnsi="仿宋" w:eastAsia="仿宋" w:cs="仿宋"/>
          <w:sz w:val="28"/>
          <w:szCs w:val="28"/>
        </w:rPr>
        <w:t>16</w:t>
      </w:r>
      <w:r>
        <w:rPr>
          <w:rFonts w:hint="eastAsia" w:ascii="仿宋" w:hAnsi="仿宋" w:eastAsia="仿宋" w:cs="仿宋"/>
          <w:sz w:val="28"/>
          <w:szCs w:val="28"/>
        </w:rPr>
        <w:fldChar w:fldCharType="end"/>
      </w:r>
    </w:p>
    <w:p w14:paraId="4237A175">
      <w:pPr>
        <w:pStyle w:val="12"/>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cs="仿宋"/>
          <w:color w:val="auto"/>
          <w:sz w:val="28"/>
          <w:szCs w:val="28"/>
        </w:rPr>
        <w:t>八、政府性基金预算支出决算情况说明</w:t>
      </w:r>
      <w:r>
        <w:rPr>
          <w:rFonts w:ascii="仿宋" w:hAnsi="仿宋" w:eastAsia="仿宋"/>
          <w:sz w:val="28"/>
          <w:szCs w:val="28"/>
        </w:rPr>
        <w:tab/>
      </w:r>
      <w:r>
        <w:rPr>
          <w:rFonts w:hint="eastAsia" w:ascii="仿宋" w:hAnsi="仿宋" w:eastAsia="仿宋" w:cs="仿宋"/>
          <w:sz w:val="28"/>
          <w:szCs w:val="28"/>
        </w:rPr>
        <w:t>18</w:t>
      </w:r>
      <w:r>
        <w:rPr>
          <w:rFonts w:hint="eastAsia" w:ascii="仿宋" w:hAnsi="仿宋" w:eastAsia="仿宋" w:cs="仿宋"/>
          <w:sz w:val="28"/>
          <w:szCs w:val="28"/>
        </w:rPr>
        <w:fldChar w:fldCharType="end"/>
      </w:r>
    </w:p>
    <w:p w14:paraId="6814AE9F">
      <w:pPr>
        <w:pStyle w:val="12"/>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仿宋"/>
          <w:color w:val="auto"/>
          <w:sz w:val="28"/>
          <w:szCs w:val="28"/>
        </w:rPr>
        <w:t>九、</w:t>
      </w:r>
      <w:r>
        <w:rPr>
          <w:rStyle w:val="16"/>
          <w:rFonts w:ascii="仿宋" w:hAnsi="仿宋" w:eastAsia="仿宋" w:cs="仿宋"/>
          <w:color w:val="auto"/>
          <w:sz w:val="28"/>
          <w:szCs w:val="28"/>
        </w:rPr>
        <w:t xml:space="preserve"> </w:t>
      </w:r>
      <w:r>
        <w:rPr>
          <w:rStyle w:val="16"/>
          <w:rFonts w:hint="eastAsia" w:ascii="仿宋" w:hAnsi="仿宋" w:eastAsia="仿宋" w:cs="仿宋"/>
          <w:color w:val="auto"/>
          <w:sz w:val="28"/>
          <w:szCs w:val="28"/>
        </w:rPr>
        <w:t>国有资本经营预算支出决算情况说明</w:t>
      </w:r>
      <w:r>
        <w:rPr>
          <w:rFonts w:ascii="仿宋" w:hAnsi="仿宋" w:eastAsia="仿宋"/>
          <w:sz w:val="28"/>
          <w:szCs w:val="28"/>
        </w:rPr>
        <w:tab/>
      </w:r>
      <w:r>
        <w:rPr>
          <w:rFonts w:hint="eastAsia" w:ascii="仿宋" w:hAnsi="仿宋" w:eastAsia="仿宋" w:cs="仿宋"/>
          <w:sz w:val="28"/>
          <w:szCs w:val="28"/>
        </w:rPr>
        <w:t>18</w:t>
      </w:r>
      <w:r>
        <w:rPr>
          <w:rFonts w:hint="eastAsia" w:ascii="仿宋" w:hAnsi="仿宋" w:eastAsia="仿宋" w:cs="仿宋"/>
          <w:sz w:val="28"/>
          <w:szCs w:val="28"/>
        </w:rPr>
        <w:fldChar w:fldCharType="end"/>
      </w:r>
    </w:p>
    <w:p w14:paraId="2196AB57">
      <w:pPr>
        <w:pStyle w:val="12"/>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cs="仿宋"/>
          <w:color w:val="auto"/>
          <w:sz w:val="28"/>
          <w:szCs w:val="28"/>
        </w:rPr>
        <w:t>十、其他重要事项的情况说明</w:t>
      </w:r>
      <w:r>
        <w:rPr>
          <w:rStyle w:val="16"/>
          <w:rFonts w:ascii="仿宋" w:hAnsi="仿宋" w:eastAsia="仿宋" w:cs="仿宋"/>
          <w:color w:val="auto"/>
          <w:sz w:val="28"/>
          <w:szCs w:val="28"/>
        </w:rPr>
        <w:t>..........................</w:t>
      </w:r>
      <w:r>
        <w:rPr>
          <w:rStyle w:val="16"/>
          <w:rFonts w:hint="eastAsia" w:ascii="仿宋" w:hAnsi="仿宋" w:eastAsia="仿宋" w:cs="仿宋"/>
          <w:color w:val="auto"/>
          <w:sz w:val="28"/>
          <w:szCs w:val="28"/>
        </w:rPr>
        <w:t xml:space="preserve"> </w:t>
      </w:r>
      <w:r>
        <w:rPr>
          <w:rStyle w:val="16"/>
          <w:rFonts w:ascii="仿宋" w:hAnsi="仿宋" w:eastAsia="仿宋" w:cs="仿宋"/>
          <w:color w:val="auto"/>
          <w:sz w:val="28"/>
          <w:szCs w:val="28"/>
        </w:rPr>
        <w:t>.</w:t>
      </w:r>
      <w:r>
        <w:rPr>
          <w:rFonts w:hint="eastAsia" w:ascii="仿宋" w:hAnsi="仿宋" w:eastAsia="仿宋" w:cs="仿宋"/>
          <w:sz w:val="28"/>
          <w:szCs w:val="28"/>
        </w:rPr>
        <w:t>18</w:t>
      </w:r>
      <w:r>
        <w:rPr>
          <w:rFonts w:hint="eastAsia" w:ascii="仿宋" w:hAnsi="仿宋" w:eastAsia="仿宋" w:cs="仿宋"/>
          <w:sz w:val="28"/>
          <w:szCs w:val="28"/>
        </w:rPr>
        <w:fldChar w:fldCharType="end"/>
      </w:r>
    </w:p>
    <w:p w14:paraId="65F05349">
      <w:pPr>
        <w:pStyle w:val="11"/>
        <w:rPr>
          <w:rFonts w:cs="Times New Roman"/>
        </w:rPr>
      </w:pPr>
      <w:r>
        <w:fldChar w:fldCharType="begin"/>
      </w:r>
      <w:r>
        <w:instrText xml:space="preserve"> HYPERLINK \l "_Toc15396613" </w:instrText>
      </w:r>
      <w:r>
        <w:fldChar w:fldCharType="separate"/>
      </w:r>
      <w:r>
        <w:rPr>
          <w:rStyle w:val="16"/>
          <w:rFonts w:hint="eastAsia" w:cs="仿宋"/>
          <w:color w:val="auto"/>
          <w:kern w:val="44"/>
        </w:rPr>
        <w:t>第三部分</w:t>
      </w:r>
      <w:r>
        <w:rPr>
          <w:rStyle w:val="16"/>
          <w:rFonts w:cs="仿宋"/>
          <w:color w:val="auto"/>
        </w:rPr>
        <w:t xml:space="preserve"> </w:t>
      </w:r>
      <w:r>
        <w:rPr>
          <w:rStyle w:val="16"/>
          <w:rFonts w:hint="eastAsia" w:cs="仿宋"/>
          <w:color w:val="auto"/>
        </w:rPr>
        <w:t>名</w:t>
      </w:r>
      <w:r>
        <w:rPr>
          <w:rStyle w:val="16"/>
          <w:rFonts w:hint="eastAsia" w:cs="仿宋"/>
          <w:color w:val="auto"/>
          <w:kern w:val="44"/>
        </w:rPr>
        <w:t>词解释</w:t>
      </w:r>
      <w:r>
        <w:rPr>
          <w:rFonts w:cs="Times New Roman"/>
        </w:rPr>
        <w:tab/>
      </w:r>
      <w:r>
        <w:rPr>
          <w:rFonts w:hint="eastAsia"/>
        </w:rPr>
        <w:t>24</w:t>
      </w:r>
      <w:r>
        <w:rPr>
          <w:rFonts w:hint="eastAsia"/>
        </w:rPr>
        <w:fldChar w:fldCharType="end"/>
      </w:r>
    </w:p>
    <w:p w14:paraId="5DA6620F">
      <w:pPr>
        <w:pStyle w:val="11"/>
        <w:rPr>
          <w:rFonts w:cs="Times New Roman"/>
        </w:rPr>
      </w:pPr>
      <w:r>
        <w:fldChar w:fldCharType="begin"/>
      </w:r>
      <w:r>
        <w:instrText xml:space="preserve"> HYPERLINK \l "_Toc15396614" </w:instrText>
      </w:r>
      <w:r>
        <w:fldChar w:fldCharType="separate"/>
      </w:r>
      <w:r>
        <w:rPr>
          <w:rStyle w:val="16"/>
          <w:rFonts w:hint="eastAsia" w:cs="仿宋"/>
          <w:color w:val="auto"/>
        </w:rPr>
        <w:t>第</w:t>
      </w:r>
      <w:r>
        <w:rPr>
          <w:rStyle w:val="16"/>
          <w:rFonts w:hint="eastAsia" w:cs="仿宋"/>
          <w:color w:val="auto"/>
          <w:kern w:val="44"/>
        </w:rPr>
        <w:t>四部分</w:t>
      </w:r>
      <w:r>
        <w:rPr>
          <w:rStyle w:val="16"/>
          <w:rFonts w:cs="仿宋"/>
          <w:color w:val="auto"/>
          <w:kern w:val="44"/>
        </w:rPr>
        <w:t xml:space="preserve"> </w:t>
      </w:r>
      <w:r>
        <w:rPr>
          <w:rStyle w:val="16"/>
          <w:rFonts w:hint="eastAsia" w:cs="仿宋"/>
          <w:color w:val="auto"/>
          <w:kern w:val="44"/>
        </w:rPr>
        <w:t>附件</w:t>
      </w:r>
      <w:r>
        <w:rPr>
          <w:rFonts w:cs="Times New Roman"/>
        </w:rPr>
        <w:tab/>
      </w:r>
      <w:r>
        <w:t>3</w:t>
      </w:r>
      <w:r>
        <w:rPr>
          <w:rFonts w:hint="eastAsia"/>
        </w:rPr>
        <w:t>0</w:t>
      </w:r>
      <w:r>
        <w:rPr>
          <w:rFonts w:hint="eastAsia"/>
        </w:rPr>
        <w:fldChar w:fldCharType="end"/>
      </w:r>
    </w:p>
    <w:p w14:paraId="052DC754">
      <w:pPr>
        <w:pStyle w:val="12"/>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cs="仿宋"/>
          <w:color w:val="auto"/>
          <w:kern w:val="44"/>
          <w:sz w:val="28"/>
          <w:szCs w:val="28"/>
        </w:rPr>
        <w:t>附件</w:t>
      </w:r>
      <w:r>
        <w:rPr>
          <w:rStyle w:val="16"/>
          <w:rFonts w:ascii="仿宋" w:hAnsi="仿宋" w:eastAsia="仿宋" w:cs="仿宋"/>
          <w:color w:val="auto"/>
          <w:kern w:val="44"/>
          <w:sz w:val="28"/>
          <w:szCs w:val="28"/>
        </w:rPr>
        <w:t>1</w:t>
      </w:r>
      <w:r>
        <w:rPr>
          <w:rFonts w:ascii="仿宋" w:hAnsi="仿宋" w:eastAsia="仿宋"/>
          <w:sz w:val="28"/>
          <w:szCs w:val="28"/>
        </w:rPr>
        <w:tab/>
      </w:r>
      <w:r>
        <w:rPr>
          <w:rFonts w:ascii="仿宋" w:hAnsi="仿宋" w:eastAsia="仿宋" w:cs="仿宋"/>
          <w:sz w:val="28"/>
          <w:szCs w:val="28"/>
        </w:rPr>
        <w:t>3</w:t>
      </w:r>
      <w:r>
        <w:rPr>
          <w:rFonts w:hint="eastAsia" w:ascii="仿宋" w:hAnsi="仿宋" w:eastAsia="仿宋" w:cs="仿宋"/>
          <w:sz w:val="28"/>
          <w:szCs w:val="28"/>
        </w:rPr>
        <w:t>0</w:t>
      </w:r>
      <w:r>
        <w:rPr>
          <w:rFonts w:hint="eastAsia" w:ascii="仿宋" w:hAnsi="仿宋" w:eastAsia="仿宋" w:cs="仿宋"/>
          <w:sz w:val="28"/>
          <w:szCs w:val="28"/>
        </w:rPr>
        <w:fldChar w:fldCharType="end"/>
      </w:r>
    </w:p>
    <w:p w14:paraId="4A4D3D64">
      <w:pPr>
        <w:pStyle w:val="12"/>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cs="仿宋"/>
          <w:color w:val="auto"/>
          <w:kern w:val="44"/>
          <w:sz w:val="28"/>
          <w:szCs w:val="28"/>
        </w:rPr>
        <w:t>附件</w:t>
      </w:r>
      <w:r>
        <w:rPr>
          <w:rStyle w:val="16"/>
          <w:rFonts w:ascii="仿宋" w:hAnsi="仿宋" w:eastAsia="仿宋" w:cs="仿宋"/>
          <w:color w:val="auto"/>
          <w:kern w:val="44"/>
          <w:sz w:val="28"/>
          <w:szCs w:val="28"/>
        </w:rPr>
        <w:t>2</w:t>
      </w:r>
      <w:r>
        <w:rPr>
          <w:rFonts w:ascii="仿宋" w:hAnsi="仿宋" w:eastAsia="仿宋"/>
          <w:sz w:val="28"/>
          <w:szCs w:val="28"/>
        </w:rPr>
        <w:tab/>
      </w:r>
      <w:r>
        <w:rPr>
          <w:rFonts w:ascii="仿宋" w:hAnsi="仿宋" w:eastAsia="仿宋" w:cs="仿宋"/>
          <w:sz w:val="28"/>
          <w:szCs w:val="28"/>
        </w:rPr>
        <w:t>5</w:t>
      </w:r>
      <w:r>
        <w:rPr>
          <w:rFonts w:hint="eastAsia" w:ascii="仿宋" w:hAnsi="仿宋" w:eastAsia="仿宋" w:cs="仿宋"/>
          <w:sz w:val="28"/>
          <w:szCs w:val="28"/>
        </w:rPr>
        <w:t>4</w:t>
      </w:r>
      <w:r>
        <w:rPr>
          <w:rFonts w:hint="eastAsia" w:ascii="仿宋" w:hAnsi="仿宋" w:eastAsia="仿宋" w:cs="仿宋"/>
          <w:sz w:val="28"/>
          <w:szCs w:val="28"/>
        </w:rPr>
        <w:fldChar w:fldCharType="end"/>
      </w:r>
    </w:p>
    <w:p w14:paraId="2C064432">
      <w:pPr>
        <w:pStyle w:val="11"/>
        <w:rPr>
          <w:rFonts w:cs="Times New Roman"/>
        </w:rPr>
      </w:pPr>
      <w:r>
        <w:fldChar w:fldCharType="begin"/>
      </w:r>
      <w:r>
        <w:instrText xml:space="preserve"> HYPERLINK \l "_Toc15396618" </w:instrText>
      </w:r>
      <w:r>
        <w:fldChar w:fldCharType="separate"/>
      </w:r>
      <w:r>
        <w:rPr>
          <w:rStyle w:val="16"/>
          <w:rFonts w:hint="eastAsia" w:cs="仿宋"/>
          <w:color w:val="auto"/>
        </w:rPr>
        <w:t>第</w:t>
      </w:r>
      <w:r>
        <w:rPr>
          <w:rStyle w:val="16"/>
          <w:rFonts w:hint="eastAsia" w:cs="仿宋"/>
          <w:color w:val="auto"/>
          <w:kern w:val="44"/>
        </w:rPr>
        <w:t>五部分</w:t>
      </w:r>
      <w:r>
        <w:rPr>
          <w:rStyle w:val="16"/>
          <w:rFonts w:cs="仿宋"/>
          <w:color w:val="auto"/>
          <w:kern w:val="44"/>
        </w:rPr>
        <w:t xml:space="preserve"> </w:t>
      </w:r>
      <w:r>
        <w:rPr>
          <w:rStyle w:val="16"/>
          <w:rFonts w:hint="eastAsia" w:cs="仿宋"/>
          <w:color w:val="auto"/>
          <w:kern w:val="44"/>
        </w:rPr>
        <w:t>附表</w:t>
      </w:r>
      <w:r>
        <w:rPr>
          <w:rFonts w:cs="Times New Roman"/>
        </w:rPr>
        <w:tab/>
      </w:r>
      <w:r>
        <w:rPr>
          <w:rFonts w:hint="eastAsia"/>
        </w:rPr>
        <w:t>111</w:t>
      </w:r>
      <w:r>
        <w:rPr>
          <w:rFonts w:hint="eastAsia"/>
        </w:rPr>
        <w:fldChar w:fldCharType="end"/>
      </w:r>
    </w:p>
    <w:p w14:paraId="03C24E23">
      <w:pPr>
        <w:pStyle w:val="12"/>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6"/>
          <w:rFonts w:hint="eastAsia" w:ascii="仿宋" w:hAnsi="仿宋" w:eastAsia="仿宋" w:cs="仿宋"/>
          <w:color w:val="auto"/>
          <w:sz w:val="28"/>
          <w:szCs w:val="28"/>
        </w:rPr>
        <w:t>收入支出决算总表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62803BA2">
      <w:pPr>
        <w:pStyle w:val="12"/>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6"/>
          <w:rFonts w:hint="eastAsia" w:ascii="仿宋" w:hAnsi="仿宋" w:eastAsia="仿宋" w:cs="仿宋"/>
          <w:color w:val="auto"/>
          <w:sz w:val="28"/>
          <w:szCs w:val="28"/>
        </w:rPr>
        <w:t>收入总表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09D43ADE">
      <w:pPr>
        <w:pStyle w:val="12"/>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6"/>
          <w:rFonts w:hint="eastAsia" w:ascii="仿宋" w:hAnsi="仿宋" w:eastAsia="仿宋" w:cs="仿宋"/>
          <w:color w:val="auto"/>
          <w:sz w:val="28"/>
          <w:szCs w:val="28"/>
        </w:rPr>
        <w:t>支出总表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40E7B86D">
      <w:pPr>
        <w:pStyle w:val="12"/>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6"/>
          <w:rFonts w:hint="eastAsia" w:ascii="仿宋" w:hAnsi="仿宋" w:eastAsia="仿宋" w:cs="仿宋"/>
          <w:color w:val="auto"/>
          <w:sz w:val="28"/>
          <w:szCs w:val="28"/>
        </w:rPr>
        <w:t>财政拨款收入支出决算总表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6E2F8229">
      <w:pPr>
        <w:pStyle w:val="12"/>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79EB3914">
      <w:pPr>
        <w:pStyle w:val="12"/>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6"/>
          <w:rFonts w:hint="eastAsia" w:ascii="仿宋" w:hAnsi="仿宋" w:eastAsia="仿宋" w:cs="仿宋"/>
          <w:color w:val="auto"/>
          <w:sz w:val="28"/>
          <w:szCs w:val="28"/>
        </w:rPr>
        <w:t>一般公共预算财政拨款支出决算表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00EDFFCA">
      <w:pPr>
        <w:pStyle w:val="12"/>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6"/>
          <w:rFonts w:hint="eastAsia" w:ascii="仿宋" w:hAnsi="仿宋" w:eastAsia="仿宋" w:cs="仿宋"/>
          <w:color w:val="auto"/>
          <w:sz w:val="28"/>
          <w:szCs w:val="28"/>
        </w:rPr>
        <w:t>一般公共预算财政拨款支出决算明细表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156295C1">
      <w:pPr>
        <w:pStyle w:val="12"/>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6"/>
          <w:rFonts w:hint="eastAsia" w:ascii="仿宋" w:hAnsi="仿宋" w:eastAsia="仿宋" w:cs="仿宋"/>
          <w:color w:val="auto"/>
          <w:sz w:val="28"/>
          <w:szCs w:val="28"/>
        </w:rPr>
        <w:t>一般公共预算财政拨款基本支出决算表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5855DCE5">
      <w:pPr>
        <w:pStyle w:val="12"/>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6"/>
          <w:rFonts w:hint="eastAsia" w:ascii="仿宋" w:hAnsi="仿宋" w:eastAsia="仿宋" w:cs="仿宋"/>
          <w:color w:val="auto"/>
          <w:sz w:val="28"/>
          <w:szCs w:val="28"/>
        </w:rPr>
        <w:t>一般公共预算财政拨款项目支出决算表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371ED4EF">
      <w:pPr>
        <w:pStyle w:val="12"/>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6"/>
          <w:rFonts w:hint="eastAsia" w:ascii="仿宋" w:hAnsi="仿宋" w:eastAsia="仿宋" w:cs="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6F316F3D">
      <w:pPr>
        <w:pStyle w:val="12"/>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6"/>
          <w:rFonts w:hint="eastAsia" w:ascii="仿宋" w:hAnsi="仿宋" w:eastAsia="仿宋" w:cs="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7B362AB0">
      <w:pPr>
        <w:pStyle w:val="12"/>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6"/>
          <w:rFonts w:hint="eastAsia" w:ascii="仿宋" w:hAnsi="仿宋" w:eastAsia="仿宋" w:cs="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5EA330FE">
      <w:pPr>
        <w:pStyle w:val="12"/>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6"/>
          <w:rFonts w:hint="eastAsia" w:ascii="仿宋" w:hAnsi="仿宋" w:eastAsia="仿宋" w:cs="仿宋"/>
          <w:color w:val="auto"/>
          <w:sz w:val="28"/>
          <w:szCs w:val="28"/>
        </w:rPr>
        <w:t>国有资本经营预算支出决算表</w:t>
      </w:r>
      <w:r>
        <w:rPr>
          <w:rFonts w:ascii="仿宋" w:hAnsi="仿宋" w:eastAsia="仿宋"/>
          <w:sz w:val="28"/>
          <w:szCs w:val="28"/>
        </w:rPr>
        <w:tab/>
      </w:r>
      <w:r>
        <w:rPr>
          <w:rFonts w:hint="eastAsia" w:ascii="仿宋" w:hAnsi="仿宋" w:eastAsia="仿宋" w:cs="仿宋"/>
          <w:sz w:val="28"/>
          <w:szCs w:val="28"/>
        </w:rPr>
        <w:t>111</w:t>
      </w:r>
      <w:r>
        <w:rPr>
          <w:rFonts w:hint="eastAsia" w:ascii="仿宋" w:hAnsi="仿宋" w:eastAsia="仿宋" w:cs="仿宋"/>
          <w:sz w:val="28"/>
          <w:szCs w:val="28"/>
        </w:rPr>
        <w:fldChar w:fldCharType="end"/>
      </w:r>
    </w:p>
    <w:p w14:paraId="23CF9EB2">
      <w:pPr>
        <w:widowControl/>
        <w:jc w:val="left"/>
        <w:rPr>
          <w:rFonts w:ascii="仿宋" w:hAnsi="仿宋" w:eastAsia="仿宋"/>
          <w:sz w:val="24"/>
          <w:szCs w:val="24"/>
        </w:rPr>
      </w:pPr>
      <w:r>
        <w:rPr>
          <w:rFonts w:ascii="黑体" w:hAnsi="黑体" w:eastAsia="黑体" w:cs="黑体"/>
          <w:sz w:val="48"/>
          <w:szCs w:val="48"/>
        </w:rPr>
        <w:fldChar w:fldCharType="end"/>
      </w:r>
    </w:p>
    <w:p w14:paraId="4123A497">
      <w:pPr>
        <w:widowControl/>
        <w:jc w:val="left"/>
        <w:rPr>
          <w:rFonts w:ascii="黑体" w:hAnsi="黑体" w:eastAsia="黑体"/>
          <w:b/>
          <w:bCs/>
        </w:rPr>
      </w:pPr>
      <w:bookmarkStart w:id="12" w:name="_Toc15377196"/>
      <w:bookmarkStart w:id="13" w:name="_Toc15396599"/>
    </w:p>
    <w:p w14:paraId="020B03FD">
      <w:pPr>
        <w:widowControl/>
        <w:jc w:val="left"/>
        <w:rPr>
          <w:rFonts w:ascii="黑体" w:hAnsi="黑体" w:eastAsia="黑体"/>
          <w:b/>
          <w:bCs/>
        </w:rPr>
      </w:pPr>
    </w:p>
    <w:p w14:paraId="49B16C31">
      <w:pPr>
        <w:widowControl/>
        <w:jc w:val="left"/>
        <w:rPr>
          <w:rFonts w:ascii="黑体" w:hAnsi="黑体" w:eastAsia="黑体"/>
          <w:b/>
          <w:bCs/>
        </w:rPr>
      </w:pPr>
    </w:p>
    <w:p w14:paraId="18F8ADE4">
      <w:pPr>
        <w:widowControl/>
        <w:jc w:val="left"/>
        <w:rPr>
          <w:rFonts w:ascii="黑体" w:hAnsi="黑体" w:eastAsia="黑体"/>
          <w:b/>
          <w:bCs/>
        </w:rPr>
      </w:pPr>
    </w:p>
    <w:p w14:paraId="36600618">
      <w:pPr>
        <w:widowControl/>
        <w:jc w:val="left"/>
        <w:rPr>
          <w:rFonts w:ascii="黑体" w:hAnsi="黑体" w:eastAsia="黑体"/>
          <w:b/>
          <w:bCs/>
        </w:rPr>
      </w:pPr>
    </w:p>
    <w:p w14:paraId="216E41F5">
      <w:pPr>
        <w:widowControl/>
        <w:jc w:val="left"/>
        <w:rPr>
          <w:rFonts w:ascii="黑体" w:hAnsi="黑体" w:eastAsia="黑体"/>
          <w:b/>
          <w:bCs/>
        </w:rPr>
      </w:pPr>
    </w:p>
    <w:p w14:paraId="3FF82C3D">
      <w:pPr>
        <w:widowControl/>
        <w:jc w:val="left"/>
        <w:rPr>
          <w:rFonts w:ascii="黑体" w:hAnsi="黑体" w:eastAsia="黑体"/>
          <w:b/>
          <w:bCs/>
        </w:rPr>
      </w:pPr>
    </w:p>
    <w:p w14:paraId="7F80600B">
      <w:pPr>
        <w:widowControl/>
        <w:jc w:val="left"/>
        <w:rPr>
          <w:rFonts w:ascii="黑体" w:hAnsi="黑体" w:eastAsia="黑体"/>
          <w:b/>
          <w:bCs/>
        </w:rPr>
      </w:pPr>
    </w:p>
    <w:p w14:paraId="6E0E1789">
      <w:pPr>
        <w:widowControl/>
        <w:jc w:val="left"/>
        <w:rPr>
          <w:rFonts w:ascii="黑体" w:hAnsi="黑体" w:eastAsia="黑体"/>
          <w:kern w:val="44"/>
          <w:sz w:val="44"/>
          <w:szCs w:val="44"/>
        </w:rPr>
      </w:pPr>
    </w:p>
    <w:p w14:paraId="0F322960">
      <w:pPr>
        <w:widowControl/>
        <w:jc w:val="left"/>
        <w:rPr>
          <w:rFonts w:ascii="黑体" w:hAnsi="黑体" w:eastAsia="黑体"/>
          <w:kern w:val="44"/>
          <w:sz w:val="44"/>
          <w:szCs w:val="44"/>
        </w:rPr>
      </w:pPr>
    </w:p>
    <w:p w14:paraId="789773E4">
      <w:pPr>
        <w:widowControl/>
        <w:jc w:val="left"/>
        <w:rPr>
          <w:rFonts w:ascii="黑体" w:hAnsi="黑体" w:eastAsia="黑体"/>
          <w:kern w:val="44"/>
          <w:sz w:val="44"/>
          <w:szCs w:val="44"/>
        </w:rPr>
      </w:pPr>
    </w:p>
    <w:p w14:paraId="6E853A9C"/>
    <w:p w14:paraId="57B1A8FB">
      <w:pPr>
        <w:jc w:val="center"/>
        <w:rPr>
          <w:rFonts w:ascii="黑体" w:eastAsia="黑体"/>
          <w:sz w:val="36"/>
          <w:szCs w:val="36"/>
        </w:rPr>
      </w:pPr>
      <w:r>
        <w:rPr>
          <w:rFonts w:hint="eastAsia" w:ascii="黑体" w:eastAsia="黑体"/>
          <w:sz w:val="36"/>
          <w:szCs w:val="36"/>
        </w:rPr>
        <w:t>第一部分</w:t>
      </w:r>
      <w:r>
        <w:rPr>
          <w:rFonts w:ascii="黑体" w:eastAsia="黑体"/>
          <w:sz w:val="36"/>
          <w:szCs w:val="36"/>
        </w:rPr>
        <w:t xml:space="preserve"> </w:t>
      </w:r>
      <w:r>
        <w:rPr>
          <w:rFonts w:hint="eastAsia" w:ascii="黑体" w:eastAsia="黑体"/>
          <w:sz w:val="36"/>
          <w:szCs w:val="36"/>
        </w:rPr>
        <w:t>部门概况</w:t>
      </w:r>
      <w:bookmarkEnd w:id="12"/>
      <w:bookmarkEnd w:id="13"/>
    </w:p>
    <w:p w14:paraId="0EB3C62F">
      <w:pPr>
        <w:ind w:firstLine="640" w:firstLineChars="200"/>
        <w:rPr>
          <w:rFonts w:ascii="仿宋_GB2312" w:eastAsia="仿宋_GB2312"/>
          <w:sz w:val="32"/>
          <w:szCs w:val="32"/>
        </w:rPr>
      </w:pPr>
      <w:bookmarkStart w:id="14" w:name="_Toc15396600"/>
      <w:bookmarkStart w:id="15" w:name="_Toc15377197"/>
    </w:p>
    <w:p w14:paraId="41123108">
      <w:pPr>
        <w:ind w:firstLine="640" w:firstLineChars="200"/>
        <w:rPr>
          <w:rFonts w:ascii="黑体" w:eastAsia="黑体"/>
          <w:sz w:val="32"/>
          <w:szCs w:val="32"/>
        </w:rPr>
      </w:pPr>
      <w:r>
        <w:rPr>
          <w:rFonts w:hint="eastAsia" w:ascii="黑体" w:eastAsia="黑体"/>
          <w:sz w:val="32"/>
          <w:szCs w:val="32"/>
        </w:rPr>
        <w:t>一、基本职能及主要工作</w:t>
      </w:r>
      <w:bookmarkEnd w:id="14"/>
      <w:bookmarkEnd w:id="15"/>
    </w:p>
    <w:p w14:paraId="663FAD32">
      <w:pPr>
        <w:ind w:firstLine="643" w:firstLineChars="200"/>
        <w:rPr>
          <w:rFonts w:ascii="楷体_GB2312" w:eastAsia="楷体_GB2312"/>
          <w:b/>
          <w:sz w:val="32"/>
          <w:szCs w:val="32"/>
        </w:rPr>
      </w:pPr>
      <w:bookmarkStart w:id="16" w:name="_Toc15377198"/>
      <w:bookmarkStart w:id="17" w:name="_Toc15378445"/>
      <w:r>
        <w:rPr>
          <w:rFonts w:hint="eastAsia" w:ascii="楷体_GB2312" w:eastAsia="楷体_GB2312"/>
          <w:b/>
          <w:sz w:val="32"/>
          <w:szCs w:val="32"/>
        </w:rPr>
        <w:t>（一）主要职能</w:t>
      </w:r>
      <w:bookmarkEnd w:id="16"/>
      <w:bookmarkEnd w:id="17"/>
    </w:p>
    <w:p w14:paraId="1923DB91">
      <w:pPr>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、宣传贯彻党的路线、方针政策和国家的法律、法规；执行上级党组织、上级人民政府及本级党的代表大会、人民代表大会的决议、决定。</w:t>
      </w:r>
    </w:p>
    <w:p w14:paraId="5B46C584">
      <w:pPr>
        <w:widowControl/>
        <w:suppressAutoHyphens/>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、讨论决定本镇经济建设项目和社会发展中的重大问题。</w:t>
      </w:r>
    </w:p>
    <w:p w14:paraId="6A16535B">
      <w:pPr>
        <w:widowControl/>
        <w:suppressAutoHyphens/>
        <w:snapToGrid w:val="0"/>
        <w:spacing w:line="560" w:lineRule="exact"/>
        <w:ind w:firstLine="640" w:firstLineChars="200"/>
        <w:rPr>
          <w:rFonts w:ascii="仿宋_GB2312" w:hAnsi="宋体"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w:t>
      </w:r>
      <w:r>
        <w:rPr>
          <w:rFonts w:hint="eastAsia" w:ascii="仿宋_GB2312" w:hAnsi="宋体" w:eastAsia="仿宋_GB2312"/>
          <w:sz w:val="32"/>
          <w:szCs w:val="32"/>
        </w:rPr>
        <w:t>领导镇政权机关和群众组织，支持和保证镇政权机关和组织依照国家法律法规及各自章程充分行使职权。</w:t>
      </w:r>
    </w:p>
    <w:p w14:paraId="042AE088">
      <w:pPr>
        <w:widowControl/>
        <w:suppressAutoHyphens/>
        <w:snapToGrid w:val="0"/>
        <w:spacing w:line="560" w:lineRule="exact"/>
        <w:ind w:firstLine="640" w:firstLineChars="200"/>
        <w:rPr>
          <w:rFonts w:ascii="仿宋_GB2312" w:hAnsi="宋体"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hint="eastAsia" w:ascii="仿宋_GB2312" w:hAnsi="宋体" w:eastAsia="仿宋_GB2312"/>
          <w:sz w:val="32"/>
          <w:szCs w:val="32"/>
        </w:rPr>
        <w:t>加强镇党委自身组织建设和以党支部为核心的村级组织建设。按照干部管理权限，负责本镇干部队伍建设。</w:t>
      </w:r>
    </w:p>
    <w:p w14:paraId="2503857D">
      <w:pPr>
        <w:widowControl/>
        <w:suppressAutoHyphens/>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加强和巩固农村基层政权建设，积极推进村民自治和民主化进程；负责辖区内信访稳定和社会治安综合治理工作，加强对突发事件的预警和管理，建立、健全各种应急机制，努力化解社会矛盾，切实保障农民合法权益，着力构建和谐社会。</w:t>
      </w:r>
    </w:p>
    <w:p w14:paraId="448DF161">
      <w:pPr>
        <w:widowControl/>
        <w:suppressAutoHyphens/>
        <w:snapToGrid w:val="0"/>
        <w:spacing w:line="560" w:lineRule="exact"/>
        <w:ind w:firstLine="640" w:firstLineChars="200"/>
        <w:rPr>
          <w:rFonts w:ascii="仿宋_GB2312" w:hAnsi="宋体"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w:t>
      </w:r>
      <w:r>
        <w:rPr>
          <w:rFonts w:hint="eastAsia" w:ascii="仿宋_GB2312" w:hAnsi="宋体" w:eastAsia="仿宋_GB2312"/>
          <w:sz w:val="32"/>
          <w:szCs w:val="32"/>
        </w:rPr>
        <w:t>制定本镇经济和社会发展规划，营造发展环境，推广农业技术，提高社会主义新农村建设水平。</w:t>
      </w:r>
    </w:p>
    <w:p w14:paraId="6D264C20">
      <w:pPr>
        <w:widowControl/>
        <w:suppressAutoHyphens/>
        <w:snapToGrid w:val="0"/>
        <w:spacing w:line="560" w:lineRule="exact"/>
        <w:ind w:firstLine="640" w:firstLineChars="200"/>
        <w:rPr>
          <w:rFonts w:ascii="仿宋_GB2312" w:hAnsi="宋体"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w:t>
      </w:r>
      <w:r>
        <w:rPr>
          <w:rFonts w:hint="eastAsia" w:ascii="仿宋_GB2312" w:hAnsi="宋体" w:eastAsia="仿宋_GB2312"/>
          <w:sz w:val="32"/>
          <w:szCs w:val="32"/>
        </w:rPr>
        <w:t>加强农村基础设施建设，增加公共产品；加强镇村规划、教育、科技、文化、卫生、计划生育等社会管理和社会主义精神文明建设，不断提高农村人口素质。</w:t>
      </w:r>
    </w:p>
    <w:p w14:paraId="71110604">
      <w:pPr>
        <w:widowControl/>
        <w:suppressAutoHyphens/>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、进一步发展和完善农业社会化服务体系，引导各类协会和农村专业合作经济组织建设，发展农村社会公益事业和集体公益事业，提供科技信息和社会救济、救助服务。</w:t>
      </w:r>
    </w:p>
    <w:p w14:paraId="6BED0D6E">
      <w:pPr>
        <w:widowControl/>
        <w:suppressAutoHyphens/>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、负责筹备、召集和主持本镇人民代表大会会议，负责处理镇人民代表大会闭会期间的日常工作。</w:t>
      </w:r>
    </w:p>
    <w:p w14:paraId="0716EAFE">
      <w:pPr>
        <w:widowControl/>
        <w:suppressAutoHyphens/>
        <w:snapToGrid w:val="0"/>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、完成区委、区政府安排的其他工作</w:t>
      </w:r>
    </w:p>
    <w:p w14:paraId="7D15E433">
      <w:pPr>
        <w:pStyle w:val="5"/>
        <w:adjustRightInd w:val="0"/>
        <w:snapToGrid w:val="0"/>
        <w:spacing w:before="93" w:line="600" w:lineRule="exact"/>
        <w:ind w:firstLine="675" w:firstLineChars="210"/>
        <w:outlineLvl w:val="2"/>
        <w:rPr>
          <w:rFonts w:ascii="楷体_GB2312" w:hAnsi="仿宋" w:eastAsia="楷体_GB2312" w:cs="仿宋"/>
          <w:b/>
          <w:sz w:val="32"/>
          <w:szCs w:val="32"/>
        </w:rPr>
      </w:pPr>
      <w:bookmarkStart w:id="18" w:name="_Toc15377199"/>
      <w:bookmarkStart w:id="19" w:name="_Toc15378446"/>
      <w:r>
        <w:rPr>
          <w:rFonts w:hint="eastAsia" w:ascii="楷体_GB2312" w:hAnsi="仿宋" w:eastAsia="楷体_GB2312" w:cs="仿宋"/>
          <w:b/>
          <w:sz w:val="32"/>
          <w:szCs w:val="32"/>
        </w:rPr>
        <w:t>（二）</w:t>
      </w:r>
      <w:r>
        <w:rPr>
          <w:rFonts w:ascii="楷体_GB2312" w:hAnsi="仿宋" w:eastAsia="楷体_GB2312" w:cs="仿宋"/>
          <w:b/>
          <w:sz w:val="32"/>
          <w:szCs w:val="32"/>
        </w:rPr>
        <w:t>2020年</w:t>
      </w:r>
      <w:r>
        <w:rPr>
          <w:rFonts w:hint="eastAsia" w:ascii="楷体_GB2312" w:hAnsi="仿宋" w:eastAsia="楷体_GB2312" w:cs="仿宋"/>
          <w:b/>
          <w:sz w:val="32"/>
          <w:szCs w:val="32"/>
        </w:rPr>
        <w:t>重点工作完成情况</w:t>
      </w:r>
      <w:bookmarkEnd w:id="18"/>
      <w:bookmarkEnd w:id="19"/>
    </w:p>
    <w:p w14:paraId="034408CB">
      <w:pPr>
        <w:widowControl/>
        <w:spacing w:line="600" w:lineRule="exact"/>
        <w:ind w:firstLine="640" w:firstLineChars="200"/>
        <w:rPr>
          <w:rFonts w:ascii="仿宋_GB2312" w:eastAsia="仿宋_GB2312"/>
          <w:sz w:val="32"/>
          <w:szCs w:val="32"/>
        </w:rPr>
      </w:pPr>
      <w:bookmarkStart w:id="20" w:name="_Toc15396601"/>
      <w:bookmarkStart w:id="21" w:name="_Toc15377200"/>
      <w:r>
        <w:rPr>
          <w:rFonts w:hint="eastAsia" w:ascii="仿宋_GB2312" w:eastAsia="仿宋_GB2312"/>
          <w:sz w:val="32"/>
          <w:szCs w:val="32"/>
        </w:rPr>
        <w:t>2020年以来，我们坚持高质量发展要求，着力统筹疫情防控和经济社会发展的各项工作，重点工作成效显著，全镇经济社会发展保持和谐稳定。</w:t>
      </w:r>
    </w:p>
    <w:p w14:paraId="5D9213EF">
      <w:pPr>
        <w:widowControl/>
        <w:spacing w:line="600" w:lineRule="exact"/>
        <w:ind w:firstLine="643" w:firstLineChars="200"/>
        <w:rPr>
          <w:rFonts w:ascii="仿宋_GB2312" w:eastAsia="仿宋_GB2312"/>
          <w:sz w:val="32"/>
          <w:szCs w:val="32"/>
        </w:rPr>
      </w:pPr>
      <w:r>
        <w:rPr>
          <w:rFonts w:hint="eastAsia" w:ascii="仿宋_GB2312" w:hAnsi="楷体_GB2312" w:eastAsia="仿宋_GB2312" w:cs="楷体_GB2312"/>
          <w:b/>
          <w:bCs/>
          <w:sz w:val="32"/>
          <w:szCs w:val="32"/>
        </w:rPr>
        <w:t>1．决战决胜脱贫攻坚。</w:t>
      </w:r>
      <w:r>
        <w:rPr>
          <w:rFonts w:hint="eastAsia" w:ascii="仿宋_GB2312" w:eastAsia="仿宋_GB2312"/>
          <w:sz w:val="32"/>
          <w:szCs w:val="32"/>
        </w:rPr>
        <w:t>众志成城打好脱贫攻坚收官之战。聚焦“两不愁三保障”问题，确保一户都不能漏、一项都不能少，全镇贫困户家庭人均纯收入均超过5000元，新改建农村CD级危房121户。认真落实“周三”走访帮扶工作制度，强化返贫监测和动态帮扶，扎实推进消费扶贫，认真开展就业扶贫，新开发农村公益性岗位112个，申报贫困户就业奖补163人。圆满完成“百日会战”“问题整改清零”省级脱贫攻坚调查等重点工作任务，代表全区顺利迎接全省交叉检查。</w:t>
      </w:r>
    </w:p>
    <w:p w14:paraId="089D1EED">
      <w:pPr>
        <w:spacing w:line="600" w:lineRule="exact"/>
        <w:ind w:firstLine="640"/>
        <w:rPr>
          <w:rFonts w:ascii="仿宋_GB2312" w:eastAsia="仿宋_GB2312"/>
          <w:sz w:val="32"/>
          <w:szCs w:val="32"/>
        </w:rPr>
      </w:pPr>
      <w:r>
        <w:rPr>
          <w:rFonts w:hint="eastAsia" w:ascii="仿宋_GB2312" w:hAnsi="楷体_GB2312" w:eastAsia="仿宋_GB2312" w:cs="楷体_GB2312"/>
          <w:b/>
          <w:bCs/>
          <w:sz w:val="32"/>
          <w:szCs w:val="32"/>
        </w:rPr>
        <w:t>2．生态环境持续改善。</w:t>
      </w:r>
      <w:r>
        <w:rPr>
          <w:rFonts w:hint="eastAsia" w:ascii="仿宋_GB2312" w:eastAsia="仿宋_GB2312"/>
          <w:sz w:val="32"/>
          <w:szCs w:val="32"/>
        </w:rPr>
        <w:t>攻坚克难推进厕所革命，4个厕所革命示范村新改建户厕553个，三格化粪池668个。以镇村干部为主，对新改建厕所进行全覆盖验收，确保国家民生工程变成民心工程。完成全镇29家固定污染源企业发证和登记工作。处理环保信访问题13件，取缔涉事养殖场1处，整改5处。大力推进河湖长制工作，基本整改完毕东河排污口，改造升级垃圾中转站。严管砂石资源，开展巡查16次，柳树河项目进展顺利。</w:t>
      </w:r>
    </w:p>
    <w:p w14:paraId="1655D626">
      <w:pPr>
        <w:spacing w:line="600" w:lineRule="exact"/>
        <w:ind w:firstLine="640"/>
        <w:rPr>
          <w:rFonts w:ascii="仿宋_GB2312" w:eastAsia="仿宋_GB2312"/>
          <w:sz w:val="32"/>
          <w:szCs w:val="32"/>
        </w:rPr>
      </w:pPr>
      <w:r>
        <w:rPr>
          <w:rFonts w:hint="eastAsia" w:ascii="仿宋_GB2312" w:hAnsi="楷体_GB2312" w:eastAsia="仿宋_GB2312" w:cs="楷体_GB2312"/>
          <w:b/>
          <w:bCs/>
          <w:sz w:val="32"/>
          <w:szCs w:val="32"/>
        </w:rPr>
        <w:t>3．扎实推进乡村振兴。</w:t>
      </w:r>
      <w:r>
        <w:rPr>
          <w:rFonts w:hint="eastAsia" w:ascii="仿宋_GB2312" w:eastAsia="仿宋_GB2312"/>
          <w:sz w:val="32"/>
          <w:szCs w:val="32"/>
        </w:rPr>
        <w:t>略坪镇被评为全市实施乡村振兴战略示范镇。持续巩固产业基础，启动6个现代特色农业示范区建设，涉及8个村，青豆产业稳定在8000亩左右，翠冠梨产业达到3500亩左右，建成区级蔬菜园区1个。新型主体持续壮大，培育家庭农场147户，壮大专合社23个，新创省级示范社1个、市级示范社2个，发展职业农民203名。松花村、联丰村入选发展壮大村集体经济试点，各将得到100万元资金支持。</w:t>
      </w:r>
    </w:p>
    <w:p w14:paraId="7CF58AAA">
      <w:pPr>
        <w:widowControl/>
        <w:spacing w:line="600" w:lineRule="exact"/>
        <w:ind w:firstLine="643" w:firstLineChars="200"/>
        <w:rPr>
          <w:rFonts w:ascii="仿宋_GB2312" w:eastAsia="仿宋_GB2312"/>
          <w:sz w:val="32"/>
          <w:szCs w:val="32"/>
        </w:rPr>
      </w:pPr>
      <w:r>
        <w:rPr>
          <w:rFonts w:hint="eastAsia" w:ascii="仿宋_GB2312" w:hAnsi="楷体_GB2312" w:eastAsia="仿宋_GB2312" w:cs="楷体_GB2312"/>
          <w:b/>
          <w:bCs/>
          <w:sz w:val="32"/>
          <w:szCs w:val="32"/>
        </w:rPr>
        <w:t>4．持续改善民生福祉。</w:t>
      </w:r>
      <w:r>
        <w:rPr>
          <w:rFonts w:hint="eastAsia" w:ascii="仿宋_GB2312" w:eastAsia="仿宋_GB2312"/>
          <w:sz w:val="32"/>
          <w:szCs w:val="32"/>
        </w:rPr>
        <w:t>扎实办好民生实事，学前教育普及率100%，义务教育普及率100%，城乡居民养老保险累覆盖率98%。完成全国文明城市创建任务，成功创建省级卫生镇、省级卫生村2个，成功创建市级文明村2个。成功应对年初冬干、春旱、初夏连续罕见旱情和“8.11”“8.16”特大暴雨洪涝灾害，协调保险公司人员对全镇17250亩受灾农作物进行核实登记，做到应赔尽赔。顺利通过国家血防阻断达标验收，略坪学校书画作品得到高度评价。略坪镇自来水厂开工建设，设计日供水量2000立方。开展安全检查和隐患排查120余次。</w:t>
      </w:r>
    </w:p>
    <w:p w14:paraId="374E91C4">
      <w:pPr>
        <w:widowControl/>
        <w:spacing w:line="600" w:lineRule="exact"/>
        <w:ind w:firstLine="643" w:firstLineChars="200"/>
        <w:rPr>
          <w:rFonts w:ascii="仿宋_GB2312" w:eastAsia="仿宋_GB2312"/>
          <w:sz w:val="32"/>
          <w:szCs w:val="32"/>
        </w:rPr>
      </w:pPr>
      <w:r>
        <w:rPr>
          <w:rFonts w:hint="eastAsia" w:ascii="仿宋_GB2312" w:hAnsi="楷体_GB2312" w:eastAsia="仿宋_GB2312" w:cs="楷体_GB2312"/>
          <w:b/>
          <w:bCs/>
          <w:sz w:val="32"/>
          <w:szCs w:val="32"/>
        </w:rPr>
        <w:t>5．大力改善基础设施。</w:t>
      </w:r>
      <w:r>
        <w:rPr>
          <w:rFonts w:hint="eastAsia" w:ascii="仿宋_GB2312" w:eastAsia="仿宋_GB2312"/>
          <w:sz w:val="32"/>
          <w:szCs w:val="32"/>
        </w:rPr>
        <w:t>着力稳定固定资产投资，全年预计完成投资1.4亿元，增涨16%，绵远河河堤改造、中石化新蓬23-1号井钻井工程等一批重大项目进展顺利，蔬菜园区彩油路成为群众健身热点线路。稳步启动广安村、高玉村和隐逸山村土地增减挂钩项目，收集群众申请800余份，完成新村聚居点的规划及建修方案，项目竣工后将彻底改变项目村的发展格局。有序补齐农业生产短板，开展河道清淤10公里，新建前龙4队、原同乐1队等大型提灌站，总投资600万元的高标准农田项目完成设计，全省领先的水稻育秧中心项目正式启动，建成后可承担1.5万亩的育秧任务。</w:t>
      </w:r>
    </w:p>
    <w:p w14:paraId="237C6E29">
      <w:pPr>
        <w:spacing w:line="600" w:lineRule="exact"/>
        <w:ind w:firstLine="640"/>
        <w:rPr>
          <w:rFonts w:ascii="仿宋_GB2312" w:eastAsia="仿宋_GB2312"/>
          <w:sz w:val="32"/>
          <w:szCs w:val="32"/>
        </w:rPr>
      </w:pPr>
      <w:r>
        <w:rPr>
          <w:rFonts w:hint="eastAsia" w:ascii="仿宋_GB2312" w:hAnsi="楷体_GB2312" w:eastAsia="仿宋_GB2312" w:cs="楷体_GB2312"/>
          <w:b/>
          <w:bCs/>
          <w:sz w:val="32"/>
          <w:szCs w:val="32"/>
        </w:rPr>
        <w:t>6．社会保持和谐稳定。</w:t>
      </w:r>
      <w:r>
        <w:rPr>
          <w:rFonts w:hint="eastAsia" w:ascii="仿宋_GB2312" w:eastAsia="仿宋_GB2312"/>
          <w:sz w:val="32"/>
          <w:szCs w:val="32"/>
        </w:rPr>
        <w:t>狠抓信访案件调查核实处理，实行一案一册，制定专项化解方案，范玉明信访案件、述吉农业羊肚菌涉访案件等一大批重点信访问题得到妥善解决。深入推进扫黑除恶专项斗争，严厉打击偷盗电瓶车、贩毒吸毒等违法犯罪行为。强力开展农村道路安全整治，在罗绵路、河黄路、略文路安装警示标志23个，全年未发生重特大道路安全事故。认真开展森林防火、安全生产、危化品等大检查，把人民群众生命健康放在第一位。</w:t>
      </w:r>
    </w:p>
    <w:p w14:paraId="0C876B89">
      <w:pPr>
        <w:ind w:firstLine="643" w:firstLineChars="200"/>
        <w:rPr>
          <w:rFonts w:ascii="仿宋_GB2312" w:eastAsia="仿宋_GB2312"/>
          <w:sz w:val="32"/>
          <w:szCs w:val="32"/>
        </w:rPr>
      </w:pPr>
      <w:r>
        <w:rPr>
          <w:rFonts w:hint="eastAsia" w:ascii="仿宋_GB2312" w:hAnsi="楷体_GB2312" w:eastAsia="仿宋_GB2312" w:cs="楷体_GB2312"/>
          <w:b/>
          <w:bCs/>
          <w:sz w:val="32"/>
          <w:szCs w:val="32"/>
        </w:rPr>
        <w:t>7．深入推进政府建设。</w:t>
      </w:r>
      <w:r>
        <w:rPr>
          <w:rFonts w:hint="eastAsia" w:ascii="仿宋_GB2312" w:eastAsia="仿宋_GB2312"/>
          <w:sz w:val="32"/>
          <w:szCs w:val="32"/>
        </w:rPr>
        <w:t>把政治建设摆在首位，严格落实政府系统全面从严治党主体责任，力戒形式主义、官僚主义。严格落实中央八项规定及实施细则，以及省市区相关要求，持之以恒纠正“四风”，坚定不移抓好政府领域反腐工作。认真落实过“紧日子”要求，“三公”经费支出下降15.3%。大力落实上级“放管服”改革要求，不断提升政务服务效率和水平，提升群众满意度。自觉接受人大监督，办理人大代表建议4件、政协委员提案3件。加大村组“三资”公开监督检查力度，确保换届工作风清气正。</w:t>
      </w:r>
    </w:p>
    <w:p w14:paraId="5FE876C9">
      <w:pPr>
        <w:ind w:firstLine="640" w:firstLineChars="200"/>
        <w:rPr>
          <w:rFonts w:ascii="黑体" w:eastAsia="黑体"/>
          <w:sz w:val="32"/>
          <w:szCs w:val="32"/>
        </w:rPr>
      </w:pPr>
      <w:r>
        <w:rPr>
          <w:rFonts w:hint="eastAsia" w:ascii="黑体" w:eastAsia="黑体"/>
          <w:sz w:val="32"/>
          <w:szCs w:val="32"/>
        </w:rPr>
        <w:t>二、机构设置</w:t>
      </w:r>
      <w:bookmarkEnd w:id="20"/>
      <w:bookmarkEnd w:id="21"/>
    </w:p>
    <w:p w14:paraId="238DDD16">
      <w:pPr>
        <w:snapToGrid w:val="0"/>
        <w:spacing w:line="520" w:lineRule="exact"/>
        <w:ind w:firstLine="640" w:firstLineChars="200"/>
        <w:rPr>
          <w:rFonts w:ascii="仿宋_GB2312" w:hAnsi="仿宋" w:eastAsia="仿宋_GB2312"/>
          <w:sz w:val="32"/>
          <w:szCs w:val="32"/>
        </w:rPr>
      </w:pPr>
      <w:r>
        <w:rPr>
          <w:rFonts w:hint="eastAsia" w:ascii="仿宋_GB2312" w:hAnsi="宋体" w:eastAsia="仿宋_GB2312"/>
          <w:sz w:val="32"/>
          <w:szCs w:val="32"/>
        </w:rPr>
        <w:t>按照《中共德阳市罗江区委办公室、德阳市罗江区人民政府办公室关于印发〈德阳市罗江区略坪镇党政机构设置、职能配置和人员编制规定〉的通知》（罗委办[2006]64号）的规定，部门内设两个正股级机构，即：党政办公室，经济和社会事务办公室。于2011年10月，按照德阳市罗江区委编办《关于设立乡镇财政所的通知》（罗委编发[2011]60号）规定，设立了德阳市罗江区略坪镇财政所，机构规格为正股级。至此，本部门实有经区委机构编制委员会批准的内设机构3个。于2019年11月，按照中共德阳市罗江区委机构编制委员会办公室《关于乡镇行政区划调整改革后机构编制事项的通知》规定，本单位统一内设正股级综合办事机构7个，即：党建工作办公室、社会事务办公室、综合执法办公室、经济发展和乡村振兴办公室、社会治理和应急管理办公室、自然资源和建设管理办公室、财政工作办公室。</w:t>
      </w:r>
    </w:p>
    <w:p w14:paraId="24812A86">
      <w:pPr>
        <w:snapToGrid w:val="0"/>
        <w:spacing w:line="520" w:lineRule="exact"/>
        <w:ind w:firstLine="640" w:firstLineChars="200"/>
        <w:rPr>
          <w:rFonts w:ascii="黑体" w:hAnsi="仿宋" w:eastAsia="黑体"/>
          <w:sz w:val="32"/>
          <w:szCs w:val="32"/>
        </w:rPr>
      </w:pPr>
      <w:r>
        <w:rPr>
          <w:rFonts w:hint="eastAsia" w:ascii="黑体" w:hAnsi="仿宋" w:eastAsia="黑体"/>
          <w:sz w:val="32"/>
          <w:szCs w:val="32"/>
        </w:rPr>
        <w:t>三、人员情况</w:t>
      </w:r>
    </w:p>
    <w:p w14:paraId="7F69BAEE">
      <w:pPr>
        <w:ind w:firstLine="640"/>
        <w:rPr>
          <w:rFonts w:ascii="仿宋_GB2312" w:hAnsi="宋体" w:eastAsia="仿宋_GB2312"/>
          <w:sz w:val="32"/>
          <w:szCs w:val="32"/>
        </w:rPr>
      </w:pPr>
      <w:bookmarkStart w:id="22" w:name="_Toc15396602"/>
      <w:bookmarkStart w:id="23" w:name="_Toc15377204"/>
      <w:r>
        <w:rPr>
          <w:rFonts w:hint="eastAsia" w:ascii="仿宋_GB2312" w:hAnsi="宋体" w:eastAsia="仿宋_GB2312"/>
          <w:sz w:val="32"/>
          <w:szCs w:val="32"/>
        </w:rPr>
        <w:t>按照中共德阳市罗江区委机构编制委员会办公室《关于乡镇行政区划调整改革后机构编制事项的通知》规定，核定本单位行政编制总数28名，没有事业编制。科级职数9名，股级职数17名。2020年末，本单位实际配备科级领导职数3正6副，股级职数17名，其中，正股7名。</w:t>
      </w:r>
    </w:p>
    <w:p w14:paraId="4C8E5181">
      <w:pPr>
        <w:ind w:firstLine="640"/>
        <w:rPr>
          <w:rFonts w:ascii="仿宋_GB2312" w:hAnsi="宋体" w:eastAsia="仿宋_GB2312"/>
          <w:sz w:val="32"/>
          <w:szCs w:val="32"/>
        </w:rPr>
      </w:pPr>
      <w:r>
        <w:rPr>
          <w:rFonts w:hint="eastAsia" w:ascii="仿宋_GB2312" w:hAnsi="宋体" w:eastAsia="仿宋_GB2312"/>
          <w:sz w:val="32"/>
          <w:szCs w:val="32"/>
        </w:rPr>
        <w:t>2020年度，本单位年度平均在岗人数38人，年末实有在岗人员40人。其中：行政在编人员23人，本单位自聘人员4人，本单位代管的农村发展服务部人员12人，三支一扶人员1人。</w:t>
      </w:r>
    </w:p>
    <w:p w14:paraId="67A0CFA8">
      <w:pPr>
        <w:ind w:firstLine="640"/>
        <w:rPr>
          <w:rFonts w:ascii="仿宋_GB2312" w:hAnsi="宋体" w:eastAsia="仿宋_GB2312"/>
          <w:sz w:val="32"/>
          <w:szCs w:val="32"/>
        </w:rPr>
      </w:pPr>
      <w:r>
        <w:rPr>
          <w:rFonts w:hint="eastAsia" w:ascii="仿宋_GB2312" w:hAnsi="宋体" w:eastAsia="仿宋_GB2312"/>
          <w:sz w:val="32"/>
          <w:szCs w:val="32"/>
        </w:rPr>
        <w:t>年末人员变动的主要原因是：期内，公务员遴选进入本单位1人，公务员考录进入本单位3人，退休1人；三支一扶人员服务期满解聘1人。</w:t>
      </w:r>
    </w:p>
    <w:p w14:paraId="7731F77A">
      <w:pPr>
        <w:ind w:firstLine="640"/>
        <w:rPr>
          <w:rFonts w:ascii="仿宋_GB2312" w:hAnsi="宋体" w:eastAsia="仿宋_GB2312"/>
          <w:sz w:val="32"/>
          <w:szCs w:val="32"/>
        </w:rPr>
      </w:pPr>
      <w:r>
        <w:rPr>
          <w:rFonts w:hint="eastAsia" w:ascii="仿宋_GB2312" w:hAnsi="宋体" w:eastAsia="仿宋_GB2312"/>
          <w:sz w:val="32"/>
          <w:szCs w:val="32"/>
        </w:rPr>
        <w:t>2020年末，本单位实有退休人员45人。其中，公务员退休21人，事业退休人员14人，参照事业退休人员管理的农村发展服务部退休人员10人。</w:t>
      </w:r>
    </w:p>
    <w:p w14:paraId="39415174">
      <w:pPr>
        <w:ind w:firstLine="640" w:firstLineChars="200"/>
        <w:rPr>
          <w:rFonts w:ascii="黑体" w:eastAsia="黑体"/>
          <w:sz w:val="36"/>
          <w:szCs w:val="36"/>
        </w:rPr>
      </w:pPr>
      <w:r>
        <w:rPr>
          <w:rFonts w:hint="eastAsia" w:ascii="仿宋_GB2312" w:hAnsi="宋体" w:eastAsia="仿宋_GB2312"/>
          <w:sz w:val="32"/>
          <w:szCs w:val="32"/>
        </w:rPr>
        <w:t>期内，公务员退休增加1人。</w:t>
      </w:r>
    </w:p>
    <w:p w14:paraId="185D37D1">
      <w:pPr>
        <w:jc w:val="center"/>
        <w:rPr>
          <w:rFonts w:ascii="黑体" w:eastAsia="黑体"/>
          <w:sz w:val="36"/>
          <w:szCs w:val="36"/>
        </w:rPr>
      </w:pPr>
    </w:p>
    <w:p w14:paraId="6E5E5D8D">
      <w:pPr>
        <w:jc w:val="center"/>
        <w:rPr>
          <w:rFonts w:ascii="黑体" w:eastAsia="黑体"/>
          <w:sz w:val="36"/>
          <w:szCs w:val="36"/>
        </w:rPr>
      </w:pPr>
    </w:p>
    <w:p w14:paraId="3093ADB2">
      <w:pPr>
        <w:jc w:val="center"/>
        <w:rPr>
          <w:rFonts w:ascii="黑体" w:eastAsia="黑体"/>
          <w:sz w:val="36"/>
          <w:szCs w:val="36"/>
        </w:rPr>
      </w:pPr>
    </w:p>
    <w:p w14:paraId="3AA55C35">
      <w:pPr>
        <w:jc w:val="center"/>
        <w:rPr>
          <w:rFonts w:ascii="黑体" w:eastAsia="黑体"/>
          <w:sz w:val="36"/>
          <w:szCs w:val="36"/>
        </w:rPr>
      </w:pPr>
    </w:p>
    <w:p w14:paraId="4EF63342">
      <w:pPr>
        <w:jc w:val="center"/>
        <w:rPr>
          <w:rFonts w:ascii="黑体" w:eastAsia="黑体"/>
          <w:sz w:val="36"/>
          <w:szCs w:val="36"/>
        </w:rPr>
      </w:pPr>
    </w:p>
    <w:p w14:paraId="75F3A7F5">
      <w:pPr>
        <w:jc w:val="center"/>
        <w:rPr>
          <w:rFonts w:ascii="黑体" w:eastAsia="黑体"/>
          <w:sz w:val="36"/>
          <w:szCs w:val="36"/>
        </w:rPr>
      </w:pPr>
    </w:p>
    <w:p w14:paraId="10D6D869">
      <w:pPr>
        <w:jc w:val="center"/>
        <w:rPr>
          <w:rFonts w:ascii="黑体" w:eastAsia="黑体"/>
          <w:sz w:val="36"/>
          <w:szCs w:val="36"/>
        </w:rPr>
      </w:pPr>
    </w:p>
    <w:p w14:paraId="152127ED">
      <w:pPr>
        <w:jc w:val="center"/>
        <w:rPr>
          <w:rFonts w:ascii="黑体" w:eastAsia="黑体"/>
          <w:sz w:val="36"/>
          <w:szCs w:val="36"/>
        </w:rPr>
      </w:pPr>
    </w:p>
    <w:p w14:paraId="715F322A">
      <w:pPr>
        <w:jc w:val="center"/>
        <w:rPr>
          <w:rFonts w:ascii="黑体" w:eastAsia="黑体"/>
          <w:sz w:val="36"/>
          <w:szCs w:val="36"/>
        </w:rPr>
      </w:pPr>
    </w:p>
    <w:p w14:paraId="7D894966">
      <w:pPr>
        <w:jc w:val="center"/>
        <w:rPr>
          <w:rFonts w:ascii="黑体" w:eastAsia="黑体"/>
          <w:sz w:val="36"/>
          <w:szCs w:val="36"/>
        </w:rPr>
      </w:pPr>
    </w:p>
    <w:p w14:paraId="7B626966">
      <w:pPr>
        <w:jc w:val="center"/>
        <w:rPr>
          <w:rFonts w:ascii="黑体" w:eastAsia="黑体"/>
          <w:sz w:val="36"/>
          <w:szCs w:val="36"/>
        </w:rPr>
      </w:pPr>
    </w:p>
    <w:p w14:paraId="677E6111">
      <w:pPr>
        <w:jc w:val="center"/>
        <w:rPr>
          <w:rFonts w:ascii="黑体" w:hAnsi="黑体" w:eastAsia="黑体"/>
          <w:b/>
          <w:bCs/>
          <w:kern w:val="44"/>
          <w:sz w:val="36"/>
          <w:szCs w:val="36"/>
        </w:rPr>
      </w:pPr>
      <w:r>
        <w:rPr>
          <w:rFonts w:hint="eastAsia" w:ascii="黑体" w:eastAsia="黑体"/>
          <w:sz w:val="36"/>
          <w:szCs w:val="36"/>
        </w:rPr>
        <w:t>第二部分</w:t>
      </w:r>
      <w:r>
        <w:rPr>
          <w:rFonts w:ascii="黑体" w:eastAsia="黑体"/>
          <w:sz w:val="36"/>
          <w:szCs w:val="36"/>
        </w:rPr>
        <w:t xml:space="preserve"> </w:t>
      </w:r>
      <w:r>
        <w:rPr>
          <w:rStyle w:val="17"/>
          <w:rFonts w:ascii="黑体" w:hAnsi="黑体" w:eastAsia="黑体" w:cs="黑体"/>
          <w:sz w:val="36"/>
          <w:szCs w:val="36"/>
        </w:rPr>
        <w:t>2020年</w:t>
      </w:r>
      <w:r>
        <w:rPr>
          <w:rStyle w:val="17"/>
          <w:rFonts w:hint="eastAsia" w:ascii="黑体" w:hAnsi="黑体" w:eastAsia="黑体" w:cs="黑体"/>
          <w:sz w:val="36"/>
          <w:szCs w:val="36"/>
        </w:rPr>
        <w:t>度部门决算情况说明</w:t>
      </w:r>
      <w:bookmarkEnd w:id="22"/>
      <w:bookmarkEnd w:id="23"/>
      <w:bookmarkStart w:id="24" w:name="_Toc15396603"/>
      <w:bookmarkStart w:id="25" w:name="_Toc15377205"/>
    </w:p>
    <w:p w14:paraId="6E78EFE1">
      <w:pPr>
        <w:pStyle w:val="28"/>
        <w:spacing w:line="600" w:lineRule="exact"/>
        <w:ind w:firstLine="640"/>
        <w:outlineLvl w:val="1"/>
        <w:rPr>
          <w:rStyle w:val="18"/>
          <w:rFonts w:ascii="黑体" w:hAnsi="黑体" w:eastAsia="黑体" w:cs="Times New Roman"/>
          <w:b w:val="0"/>
          <w:bCs w:val="0"/>
        </w:rPr>
      </w:pPr>
      <w:r>
        <w:rPr>
          <w:rFonts w:hint="eastAsia" w:ascii="黑体" w:hAnsi="黑体" w:eastAsia="黑体" w:cs="黑体"/>
          <w:sz w:val="32"/>
          <w:szCs w:val="32"/>
        </w:rPr>
        <w:t>一、收</w:t>
      </w:r>
      <w:r>
        <w:rPr>
          <w:rStyle w:val="18"/>
          <w:rFonts w:hint="eastAsia" w:ascii="黑体" w:hAnsi="黑体" w:eastAsia="黑体" w:cs="黑体"/>
          <w:b w:val="0"/>
          <w:bCs w:val="0"/>
        </w:rPr>
        <w:t>入支出决算总体情况说明</w:t>
      </w:r>
      <w:bookmarkEnd w:id="24"/>
      <w:bookmarkEnd w:id="25"/>
    </w:p>
    <w:p w14:paraId="6E7F4573">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2020年</w:t>
      </w:r>
      <w:r>
        <w:rPr>
          <w:rFonts w:hint="eastAsia" w:ascii="仿宋_GB2312" w:eastAsia="仿宋_GB2312"/>
          <w:color w:val="000000"/>
          <w:sz w:val="32"/>
          <w:szCs w:val="32"/>
        </w:rPr>
        <w:t>德阳市罗江区略坪镇人民政府本年收入合计</w:t>
      </w:r>
      <w:r>
        <w:rPr>
          <w:rFonts w:ascii="仿宋_GB2312" w:eastAsia="仿宋_GB2312"/>
          <w:color w:val="000000"/>
          <w:sz w:val="32"/>
          <w:szCs w:val="32"/>
        </w:rPr>
        <w:t>1</w:t>
      </w:r>
      <w:r>
        <w:rPr>
          <w:rFonts w:hint="eastAsia" w:ascii="仿宋_GB2312" w:eastAsia="仿宋_GB2312"/>
          <w:color w:val="000000"/>
          <w:sz w:val="32"/>
          <w:szCs w:val="32"/>
        </w:rPr>
        <w:t>251.95万元，其中：一般公共预算财政拨款收入1117.87万元，占</w:t>
      </w:r>
      <w:r>
        <w:rPr>
          <w:rFonts w:ascii="仿宋_GB2312" w:eastAsia="仿宋_GB2312"/>
          <w:color w:val="000000"/>
          <w:sz w:val="32"/>
          <w:szCs w:val="32"/>
        </w:rPr>
        <w:t>8</w:t>
      </w:r>
      <w:r>
        <w:rPr>
          <w:rFonts w:hint="eastAsia" w:ascii="仿宋_GB2312" w:eastAsia="仿宋_GB2312"/>
          <w:color w:val="000000"/>
          <w:sz w:val="32"/>
          <w:szCs w:val="32"/>
        </w:rPr>
        <w:t>9.29</w:t>
      </w:r>
      <w:r>
        <w:rPr>
          <w:rFonts w:ascii="仿宋_GB2312" w:eastAsia="仿宋_GB2312"/>
          <w:color w:val="000000"/>
          <w:sz w:val="32"/>
          <w:szCs w:val="32"/>
        </w:rPr>
        <w:t>%</w:t>
      </w:r>
      <w:r>
        <w:rPr>
          <w:rFonts w:hint="eastAsia" w:ascii="仿宋_GB2312" w:eastAsia="仿宋_GB2312"/>
          <w:color w:val="000000"/>
          <w:sz w:val="32"/>
          <w:szCs w:val="32"/>
        </w:rPr>
        <w:t>；政府性基金预算财政拨款收入38.98万元，占3.11</w:t>
      </w:r>
      <w:r>
        <w:rPr>
          <w:rFonts w:ascii="仿宋_GB2312" w:eastAsia="仿宋_GB2312"/>
          <w:color w:val="000000"/>
          <w:sz w:val="32"/>
          <w:szCs w:val="32"/>
        </w:rPr>
        <w:t>%</w:t>
      </w:r>
      <w:r>
        <w:rPr>
          <w:rFonts w:hint="eastAsia" w:ascii="仿宋_GB2312" w:eastAsia="仿宋_GB2312"/>
          <w:color w:val="000000"/>
          <w:sz w:val="32"/>
          <w:szCs w:val="32"/>
        </w:rPr>
        <w:t>；其他收入95.10万元，占7.60</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2020年</w:t>
      </w:r>
      <w:r>
        <w:rPr>
          <w:rFonts w:hint="eastAsia" w:ascii="仿宋_GB2312" w:eastAsia="仿宋_GB2312"/>
          <w:color w:val="000000"/>
          <w:sz w:val="32"/>
          <w:szCs w:val="32"/>
        </w:rPr>
        <w:t>本年收入合计较</w:t>
      </w:r>
      <w:r>
        <w:rPr>
          <w:rFonts w:ascii="仿宋_GB2312" w:eastAsia="仿宋_GB2312"/>
          <w:color w:val="000000"/>
          <w:sz w:val="32"/>
          <w:szCs w:val="32"/>
        </w:rPr>
        <w:t>2019年</w:t>
      </w:r>
      <w:r>
        <w:rPr>
          <w:rFonts w:hint="eastAsia" w:ascii="仿宋_GB2312" w:eastAsia="仿宋_GB2312"/>
          <w:color w:val="000000"/>
          <w:sz w:val="32"/>
          <w:szCs w:val="32"/>
        </w:rPr>
        <w:t>减少140.99万元，减幅10.12</w:t>
      </w:r>
      <w:r>
        <w:rPr>
          <w:rFonts w:ascii="仿宋_GB2312" w:eastAsia="仿宋_GB2312"/>
          <w:color w:val="000000"/>
          <w:sz w:val="32"/>
          <w:szCs w:val="32"/>
        </w:rPr>
        <w:t>%</w:t>
      </w:r>
      <w:r>
        <w:rPr>
          <w:rFonts w:hint="eastAsia" w:ascii="仿宋_GB2312" w:eastAsia="仿宋_GB2312"/>
          <w:color w:val="000000"/>
          <w:sz w:val="32"/>
          <w:szCs w:val="32"/>
        </w:rPr>
        <w:t>，变动的主要原因：一是</w:t>
      </w:r>
      <w:r>
        <w:rPr>
          <w:rFonts w:ascii="仿宋_GB2312" w:eastAsia="仿宋_GB2312"/>
          <w:color w:val="000000"/>
          <w:sz w:val="32"/>
          <w:szCs w:val="32"/>
        </w:rPr>
        <w:t>2020年</w:t>
      </w:r>
      <w:r>
        <w:rPr>
          <w:rFonts w:hint="eastAsia" w:ascii="仿宋_GB2312" w:eastAsia="仿宋_GB2312"/>
          <w:color w:val="000000"/>
          <w:sz w:val="32"/>
          <w:szCs w:val="32"/>
        </w:rPr>
        <w:t>度政府性基金预算收入比上年减少61.02万元；二是行政事业项目经费预算收入比上年减少2</w:t>
      </w:r>
      <w:r>
        <w:rPr>
          <w:rFonts w:ascii="仿宋_GB2312" w:eastAsia="仿宋_GB2312"/>
          <w:color w:val="000000"/>
          <w:sz w:val="32"/>
          <w:szCs w:val="32"/>
        </w:rPr>
        <w:t>7.</w:t>
      </w:r>
      <w:r>
        <w:rPr>
          <w:rFonts w:hint="eastAsia" w:ascii="仿宋_GB2312" w:eastAsia="仿宋_GB2312"/>
          <w:color w:val="000000"/>
          <w:sz w:val="32"/>
          <w:szCs w:val="32"/>
        </w:rPr>
        <w:t>85万元；三是本级财政横向拨款收入比上年减少38.83万元，以及在职人员增（减）变动减少人头经费。</w:t>
      </w:r>
    </w:p>
    <w:p w14:paraId="69AD901D">
      <w:pPr>
        <w:spacing w:line="600" w:lineRule="exact"/>
        <w:ind w:firstLine="640" w:firstLineChars="200"/>
        <w:rPr>
          <w:rFonts w:ascii="仿宋" w:hAnsi="仿宋" w:eastAsia="仿宋"/>
          <w:sz w:val="32"/>
          <w:szCs w:val="32"/>
        </w:rPr>
      </w:pPr>
      <w:r>
        <w:rPr>
          <w:rFonts w:ascii="仿宋_GB2312" w:eastAsia="仿宋_GB2312"/>
          <w:color w:val="000000"/>
          <w:sz w:val="32"/>
          <w:szCs w:val="32"/>
        </w:rPr>
        <w:t>2020年</w:t>
      </w:r>
      <w:r>
        <w:rPr>
          <w:rFonts w:hint="eastAsia" w:ascii="仿宋_GB2312" w:eastAsia="仿宋_GB2312"/>
          <w:color w:val="000000"/>
          <w:sz w:val="32"/>
          <w:szCs w:val="32"/>
        </w:rPr>
        <w:t>决算总支出</w:t>
      </w:r>
      <w:r>
        <w:rPr>
          <w:rFonts w:ascii="仿宋_GB2312" w:eastAsia="仿宋_GB2312"/>
          <w:color w:val="000000"/>
          <w:sz w:val="32"/>
          <w:szCs w:val="32"/>
        </w:rPr>
        <w:t>1</w:t>
      </w:r>
      <w:r>
        <w:rPr>
          <w:rFonts w:hint="eastAsia" w:ascii="仿宋_GB2312" w:eastAsia="仿宋_GB2312"/>
          <w:color w:val="000000"/>
          <w:sz w:val="32"/>
          <w:szCs w:val="32"/>
        </w:rPr>
        <w:t>294.03万元，年末结转和结余0.26万元。</w:t>
      </w:r>
    </w:p>
    <w:p w14:paraId="75AD8200">
      <w:pPr>
        <w:spacing w:line="600" w:lineRule="exact"/>
        <w:ind w:firstLine="420" w:firstLineChars="200"/>
        <w:rPr>
          <w:rFonts w:ascii="仿宋" w:hAnsi="仿宋" w:eastAsia="仿宋"/>
          <w:sz w:val="32"/>
          <w:szCs w:val="32"/>
        </w:rPr>
      </w:pPr>
      <w:r>
        <w:pict>
          <v:shape id="_x0000_s1026" o:spid="_x0000_s1026" o:spt="75" type="#_x0000_t75" style="position:absolute;left:0pt;margin-left:0pt;margin-top:30pt;height:119.3pt;width:433.55pt;mso-wrap-distance-bottom:0pt;mso-wrap-distance-top:0pt;z-index:251659264;mso-width-relative:page;mso-height-relative:page;" o:ole="t" filled="f" o:preferrelative="t" stroked="f" coordsize="21600,21600">
            <v:path/>
            <v:fill on="f" focussize="0,0"/>
            <v:stroke on="f" joinstyle="miter"/>
            <v:imagedata r:id="rId7" o:title=""/>
            <o:lock v:ext="edit" aspectratio="t"/>
            <w10:wrap type="topAndBottom"/>
          </v:shape>
          <o:OLEObject Type="Embed" ProgID="MSGraph.Chart.8" ShapeID="_x0000_s1026" DrawAspect="Content" ObjectID="_1468075725" r:id="rId6">
            <o:LockedField>false</o:LockedField>
          </o:OLEObject>
        </w:pict>
      </w: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w:t>
      </w:r>
    </w:p>
    <w:p w14:paraId="7DE9659D">
      <w:pPr>
        <w:pStyle w:val="28"/>
        <w:numPr>
          <w:ilvl w:val="0"/>
          <w:numId w:val="1"/>
        </w:numPr>
        <w:spacing w:line="600" w:lineRule="exact"/>
        <w:ind w:firstLineChars="0"/>
        <w:outlineLvl w:val="1"/>
        <w:rPr>
          <w:rStyle w:val="18"/>
          <w:rFonts w:ascii="黑体" w:hAnsi="黑体" w:eastAsia="黑体" w:cs="Times New Roman"/>
          <w:b w:val="0"/>
          <w:bCs w:val="0"/>
        </w:rPr>
      </w:pPr>
      <w:bookmarkStart w:id="26" w:name="_Toc15377206"/>
      <w:bookmarkStart w:id="27" w:name="_Toc15396604"/>
      <w:r>
        <w:rPr>
          <w:rFonts w:hint="eastAsia" w:ascii="黑体" w:hAnsi="黑体" w:eastAsia="黑体" w:cs="黑体"/>
          <w:sz w:val="32"/>
          <w:szCs w:val="32"/>
        </w:rPr>
        <w:t>收</w:t>
      </w:r>
      <w:r>
        <w:rPr>
          <w:rStyle w:val="18"/>
          <w:rFonts w:hint="eastAsia" w:ascii="黑体" w:hAnsi="黑体" w:eastAsia="黑体" w:cs="黑体"/>
          <w:b w:val="0"/>
          <w:bCs w:val="0"/>
        </w:rPr>
        <w:t>入决算情况说明</w:t>
      </w:r>
      <w:bookmarkEnd w:id="26"/>
      <w:bookmarkEnd w:id="27"/>
    </w:p>
    <w:p w14:paraId="7C295A4C">
      <w:pPr>
        <w:spacing w:line="600" w:lineRule="exact"/>
        <w:ind w:firstLine="640" w:firstLineChars="200"/>
        <w:outlineLvl w:val="1"/>
        <w:rPr>
          <w:rFonts w:ascii="仿宋_GB2312" w:hAnsi="仿宋" w:eastAsia="仿宋_GB2312"/>
          <w:sz w:val="32"/>
          <w:szCs w:val="32"/>
        </w:rPr>
      </w:pPr>
      <w:r>
        <w:rPr>
          <w:rFonts w:ascii="仿宋_GB2312" w:hAnsi="仿宋" w:eastAsia="仿宋_GB2312" w:cs="仿宋"/>
          <w:sz w:val="32"/>
          <w:szCs w:val="32"/>
        </w:rPr>
        <w:t>2020年</w:t>
      </w:r>
      <w:r>
        <w:rPr>
          <w:rFonts w:hint="eastAsia" w:ascii="仿宋_GB2312" w:hAnsi="仿宋" w:eastAsia="仿宋_GB2312" w:cs="仿宋"/>
          <w:sz w:val="32"/>
          <w:szCs w:val="32"/>
        </w:rPr>
        <w:t>本年收入合计</w:t>
      </w:r>
      <w:r>
        <w:rPr>
          <w:rFonts w:ascii="仿宋_GB2312" w:hAnsi="仿宋" w:eastAsia="仿宋_GB2312" w:cs="仿宋"/>
          <w:sz w:val="32"/>
          <w:szCs w:val="32"/>
        </w:rPr>
        <w:t>1</w:t>
      </w:r>
      <w:r>
        <w:rPr>
          <w:rFonts w:hint="eastAsia" w:ascii="仿宋_GB2312" w:hAnsi="仿宋" w:eastAsia="仿宋_GB2312" w:cs="仿宋"/>
          <w:sz w:val="32"/>
          <w:szCs w:val="32"/>
        </w:rPr>
        <w:t>251.95万元，其中：一般公共预算财政拨款收入</w:t>
      </w:r>
      <w:r>
        <w:rPr>
          <w:rFonts w:ascii="仿宋_GB2312" w:hAnsi="仿宋" w:eastAsia="仿宋_GB2312" w:cs="仿宋"/>
          <w:sz w:val="32"/>
          <w:szCs w:val="32"/>
        </w:rPr>
        <w:t>11</w:t>
      </w:r>
      <w:r>
        <w:rPr>
          <w:rFonts w:hint="eastAsia" w:ascii="仿宋_GB2312" w:hAnsi="仿宋" w:eastAsia="仿宋_GB2312" w:cs="仿宋"/>
          <w:sz w:val="32"/>
          <w:szCs w:val="32"/>
        </w:rPr>
        <w:t>17.87万元，占89.29</w:t>
      </w:r>
      <w:r>
        <w:rPr>
          <w:rFonts w:ascii="仿宋_GB2312" w:hAnsi="仿宋" w:eastAsia="仿宋_GB2312" w:cs="仿宋"/>
          <w:sz w:val="32"/>
          <w:szCs w:val="32"/>
        </w:rPr>
        <w:t>%</w:t>
      </w:r>
      <w:r>
        <w:rPr>
          <w:rFonts w:hint="eastAsia" w:ascii="仿宋_GB2312" w:hAnsi="仿宋" w:eastAsia="仿宋_GB2312" w:cs="仿宋"/>
          <w:sz w:val="32"/>
          <w:szCs w:val="32"/>
        </w:rPr>
        <w:t>；政府性基金预算财政拨款收入38.98万元，占3.11</w:t>
      </w:r>
      <w:r>
        <w:rPr>
          <w:rFonts w:ascii="仿宋_GB2312" w:hAnsi="仿宋" w:eastAsia="仿宋_GB2312" w:cs="仿宋"/>
          <w:sz w:val="32"/>
          <w:szCs w:val="32"/>
        </w:rPr>
        <w:t>%</w:t>
      </w:r>
      <w:r>
        <w:rPr>
          <w:rFonts w:hint="eastAsia" w:ascii="仿宋_GB2312" w:hAnsi="仿宋" w:eastAsia="仿宋_GB2312" w:cs="仿宋"/>
          <w:sz w:val="32"/>
          <w:szCs w:val="32"/>
        </w:rPr>
        <w:t>；国有资本经营预算财政拨款收入</w:t>
      </w:r>
      <w:r>
        <w:rPr>
          <w:rFonts w:ascii="仿宋_GB2312" w:hAnsi="仿宋" w:eastAsia="仿宋_GB2312" w:cs="仿宋"/>
          <w:sz w:val="32"/>
          <w:szCs w:val="32"/>
        </w:rPr>
        <w:t>0.00</w:t>
      </w:r>
      <w:r>
        <w:rPr>
          <w:rFonts w:hint="eastAsia" w:ascii="仿宋_GB2312" w:hAnsi="仿宋" w:eastAsia="仿宋_GB2312" w:cs="仿宋"/>
          <w:sz w:val="32"/>
          <w:szCs w:val="32"/>
        </w:rPr>
        <w:t>万元，占</w:t>
      </w:r>
      <w:r>
        <w:rPr>
          <w:rFonts w:ascii="仿宋_GB2312" w:hAnsi="仿宋" w:eastAsia="仿宋_GB2312" w:cs="仿宋"/>
          <w:sz w:val="32"/>
          <w:szCs w:val="32"/>
        </w:rPr>
        <w:t>0.00%</w:t>
      </w:r>
      <w:r>
        <w:rPr>
          <w:rFonts w:hint="eastAsia" w:ascii="仿宋_GB2312" w:hAnsi="仿宋" w:eastAsia="仿宋_GB2312" w:cs="仿宋"/>
          <w:sz w:val="32"/>
          <w:szCs w:val="32"/>
        </w:rPr>
        <w:t>；事业收入</w:t>
      </w:r>
      <w:r>
        <w:rPr>
          <w:rFonts w:ascii="仿宋_GB2312" w:hAnsi="仿宋" w:eastAsia="仿宋_GB2312" w:cs="仿宋"/>
          <w:sz w:val="32"/>
          <w:szCs w:val="32"/>
        </w:rPr>
        <w:t>0.00</w:t>
      </w:r>
      <w:r>
        <w:rPr>
          <w:rFonts w:hint="eastAsia" w:ascii="仿宋_GB2312" w:hAnsi="仿宋" w:eastAsia="仿宋_GB2312" w:cs="仿宋"/>
          <w:sz w:val="32"/>
          <w:szCs w:val="32"/>
        </w:rPr>
        <w:t>万元，占</w:t>
      </w:r>
      <w:r>
        <w:rPr>
          <w:rFonts w:ascii="仿宋_GB2312" w:hAnsi="仿宋" w:eastAsia="仿宋_GB2312" w:cs="仿宋"/>
          <w:sz w:val="32"/>
          <w:szCs w:val="32"/>
        </w:rPr>
        <w:t>0.00%</w:t>
      </w:r>
      <w:r>
        <w:rPr>
          <w:rFonts w:hint="eastAsia" w:ascii="仿宋_GB2312" w:hAnsi="仿宋" w:eastAsia="仿宋_GB2312" w:cs="仿宋"/>
          <w:sz w:val="32"/>
          <w:szCs w:val="32"/>
        </w:rPr>
        <w:t>；经营收入</w:t>
      </w:r>
      <w:r>
        <w:rPr>
          <w:rFonts w:ascii="仿宋_GB2312" w:hAnsi="仿宋" w:eastAsia="仿宋_GB2312" w:cs="仿宋"/>
          <w:sz w:val="32"/>
          <w:szCs w:val="32"/>
        </w:rPr>
        <w:t>0.00</w:t>
      </w:r>
      <w:r>
        <w:rPr>
          <w:rFonts w:hint="eastAsia" w:ascii="仿宋_GB2312" w:hAnsi="仿宋" w:eastAsia="仿宋_GB2312" w:cs="仿宋"/>
          <w:sz w:val="32"/>
          <w:szCs w:val="32"/>
        </w:rPr>
        <w:t>万元，占</w:t>
      </w:r>
      <w:r>
        <w:rPr>
          <w:rFonts w:ascii="仿宋_GB2312" w:hAnsi="仿宋" w:eastAsia="仿宋_GB2312" w:cs="仿宋"/>
          <w:sz w:val="32"/>
          <w:szCs w:val="32"/>
        </w:rPr>
        <w:t>0.00%</w:t>
      </w:r>
      <w:r>
        <w:rPr>
          <w:rFonts w:hint="eastAsia" w:ascii="仿宋_GB2312" w:hAnsi="仿宋" w:eastAsia="仿宋_GB2312" w:cs="仿宋"/>
          <w:sz w:val="32"/>
          <w:szCs w:val="32"/>
        </w:rPr>
        <w:t>；附属单位上缴收入</w:t>
      </w:r>
      <w:r>
        <w:rPr>
          <w:rFonts w:ascii="仿宋_GB2312" w:hAnsi="仿宋" w:eastAsia="仿宋_GB2312" w:cs="仿宋"/>
          <w:sz w:val="32"/>
          <w:szCs w:val="32"/>
        </w:rPr>
        <w:t>0.00</w:t>
      </w:r>
      <w:r>
        <w:rPr>
          <w:rFonts w:hint="eastAsia" w:ascii="仿宋_GB2312" w:hAnsi="仿宋" w:eastAsia="仿宋_GB2312" w:cs="仿宋"/>
          <w:sz w:val="32"/>
          <w:szCs w:val="32"/>
        </w:rPr>
        <w:t>万元，占</w:t>
      </w:r>
      <w:r>
        <w:rPr>
          <w:rFonts w:ascii="仿宋_GB2312" w:hAnsi="仿宋" w:eastAsia="仿宋_GB2312" w:cs="仿宋"/>
          <w:sz w:val="32"/>
          <w:szCs w:val="32"/>
        </w:rPr>
        <w:t>0.00%</w:t>
      </w:r>
      <w:r>
        <w:rPr>
          <w:rFonts w:hint="eastAsia" w:ascii="仿宋_GB2312" w:hAnsi="仿宋" w:eastAsia="仿宋_GB2312" w:cs="仿宋"/>
          <w:sz w:val="32"/>
          <w:szCs w:val="32"/>
        </w:rPr>
        <w:t>；其他收入95.10万元，占7.60</w:t>
      </w:r>
      <w:r>
        <w:rPr>
          <w:rFonts w:ascii="仿宋_GB2312" w:hAnsi="仿宋" w:eastAsia="仿宋_GB2312" w:cs="仿宋"/>
          <w:sz w:val="32"/>
          <w:szCs w:val="32"/>
        </w:rPr>
        <w:t>%</w:t>
      </w:r>
      <w:r>
        <w:rPr>
          <w:rFonts w:hint="eastAsia" w:ascii="仿宋_GB2312" w:hAnsi="仿宋" w:eastAsia="仿宋_GB2312" w:cs="仿宋"/>
          <w:sz w:val="32"/>
          <w:szCs w:val="32"/>
        </w:rPr>
        <w:t>。</w:t>
      </w:r>
    </w:p>
    <w:p w14:paraId="54C6DB70">
      <w:pPr>
        <w:spacing w:line="600" w:lineRule="exact"/>
        <w:ind w:firstLine="420" w:firstLineChars="200"/>
        <w:rPr>
          <w:rFonts w:ascii="仿宋" w:hAnsi="仿宋" w:eastAsia="仿宋"/>
          <w:sz w:val="32"/>
          <w:szCs w:val="32"/>
        </w:rPr>
      </w:pPr>
      <w:r>
        <w:pict>
          <v:shape id="_x0000_s1027" o:spid="_x0000_s1027" o:spt="75" type="#_x0000_t75" style="position:absolute;left:0pt;margin-left:8.05pt;margin-top:30pt;height:138.75pt;width:373.15pt;mso-wrap-distance-bottom:0pt;mso-wrap-distance-top:0pt;z-index:251659264;mso-width-relative:page;mso-height-relative:page;" o:ole="t" filled="f" o:preferrelative="t" stroked="f" coordsize="21600,21600">
            <v:path/>
            <v:fill on="f" focussize="0,0"/>
            <v:stroke on="f" joinstyle="miter"/>
            <v:imagedata r:id="rId9" o:title=""/>
            <o:lock v:ext="edit" aspectratio="t"/>
            <w10:wrap type="topAndBottom"/>
          </v:shape>
          <o:OLEObject Type="Embed" ProgID="MSGraph.Chart.8" ShapeID="_x0000_s1027" DrawAspect="Content" ObjectID="_1468075726" r:id="rId8">
            <o:LockedField>false</o:LockedField>
          </o:OLEObject>
        </w:pict>
      </w: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w:t>
      </w:r>
    </w:p>
    <w:p w14:paraId="5D6DE3A7">
      <w:pPr>
        <w:pStyle w:val="28"/>
        <w:spacing w:line="600" w:lineRule="exact"/>
        <w:ind w:firstLine="640"/>
        <w:outlineLvl w:val="1"/>
        <w:rPr>
          <w:rStyle w:val="18"/>
          <w:rFonts w:ascii="黑体" w:hAnsi="黑体" w:eastAsia="黑体" w:cs="Times New Roman"/>
          <w:b w:val="0"/>
          <w:bCs w:val="0"/>
        </w:rPr>
      </w:pPr>
      <w:bookmarkStart w:id="28" w:name="_Toc15396605"/>
      <w:bookmarkStart w:id="29" w:name="_Toc15377207"/>
      <w:r>
        <w:rPr>
          <w:rFonts w:hint="eastAsia" w:ascii="黑体" w:hAnsi="黑体" w:eastAsia="黑体"/>
          <w:sz w:val="32"/>
          <w:szCs w:val="32"/>
        </w:rPr>
        <w:t>三、</w:t>
      </w:r>
      <w:r>
        <w:rPr>
          <w:rFonts w:hint="eastAsia" w:ascii="黑体" w:hAnsi="黑体" w:eastAsia="黑体" w:cs="黑体"/>
          <w:sz w:val="32"/>
          <w:szCs w:val="32"/>
        </w:rPr>
        <w:t>支</w:t>
      </w:r>
      <w:r>
        <w:rPr>
          <w:rStyle w:val="18"/>
          <w:rFonts w:hint="eastAsia" w:ascii="黑体" w:hAnsi="黑体" w:eastAsia="黑体" w:cs="黑体"/>
          <w:b w:val="0"/>
          <w:bCs w:val="0"/>
        </w:rPr>
        <w:t>出决算情况说明</w:t>
      </w:r>
      <w:bookmarkEnd w:id="28"/>
      <w:bookmarkEnd w:id="29"/>
    </w:p>
    <w:p w14:paraId="2AF697DE">
      <w:pPr>
        <w:spacing w:line="600" w:lineRule="exact"/>
        <w:ind w:firstLine="640"/>
        <w:rPr>
          <w:rFonts w:ascii="仿宋_GB2312" w:hAnsi="仿宋" w:eastAsia="仿宋_GB2312"/>
          <w:sz w:val="32"/>
          <w:szCs w:val="32"/>
          <w:shd w:val="pct10" w:color="auto" w:fill="FFFFFF"/>
        </w:rPr>
      </w:pPr>
      <w:r>
        <w:rPr>
          <w:rFonts w:ascii="仿宋_GB2312" w:hAnsi="仿宋" w:eastAsia="仿宋_GB2312" w:cs="仿宋"/>
          <w:sz w:val="32"/>
          <w:szCs w:val="32"/>
        </w:rPr>
        <w:t>2020年</w:t>
      </w:r>
      <w:r>
        <w:rPr>
          <w:rFonts w:hint="eastAsia" w:ascii="仿宋_GB2312" w:hAnsi="仿宋" w:eastAsia="仿宋_GB2312" w:cs="仿宋"/>
          <w:sz w:val="32"/>
          <w:szCs w:val="32"/>
        </w:rPr>
        <w:t>本年支出合计</w:t>
      </w:r>
      <w:r>
        <w:rPr>
          <w:rFonts w:ascii="仿宋_GB2312" w:hAnsi="仿宋" w:eastAsia="仿宋_GB2312" w:cs="仿宋"/>
          <w:sz w:val="32"/>
          <w:szCs w:val="32"/>
        </w:rPr>
        <w:t>1</w:t>
      </w:r>
      <w:r>
        <w:rPr>
          <w:rFonts w:hint="eastAsia" w:ascii="仿宋_GB2312" w:hAnsi="仿宋" w:eastAsia="仿宋_GB2312" w:cs="仿宋"/>
          <w:sz w:val="32"/>
          <w:szCs w:val="32"/>
        </w:rPr>
        <w:t>294.03万元，其中：基本支出654.10万元，占</w:t>
      </w:r>
      <w:r>
        <w:rPr>
          <w:rFonts w:ascii="仿宋_GB2312" w:hAnsi="仿宋" w:eastAsia="仿宋_GB2312" w:cs="仿宋"/>
          <w:sz w:val="32"/>
          <w:szCs w:val="32"/>
        </w:rPr>
        <w:t>5</w:t>
      </w:r>
      <w:r>
        <w:rPr>
          <w:rFonts w:hint="eastAsia" w:ascii="仿宋_GB2312" w:hAnsi="仿宋" w:eastAsia="仿宋_GB2312" w:cs="仿宋"/>
          <w:sz w:val="32"/>
          <w:szCs w:val="32"/>
        </w:rPr>
        <w:t>0.55</w:t>
      </w:r>
      <w:r>
        <w:rPr>
          <w:rFonts w:ascii="仿宋_GB2312" w:hAnsi="仿宋" w:eastAsia="仿宋_GB2312" w:cs="仿宋"/>
          <w:sz w:val="32"/>
          <w:szCs w:val="32"/>
        </w:rPr>
        <w:t>%</w:t>
      </w:r>
      <w:r>
        <w:rPr>
          <w:rFonts w:hint="eastAsia" w:ascii="仿宋_GB2312" w:hAnsi="仿宋" w:eastAsia="仿宋_GB2312" w:cs="仿宋"/>
          <w:sz w:val="32"/>
          <w:szCs w:val="32"/>
        </w:rPr>
        <w:t>；项目支出639.93万元，占49.45</w:t>
      </w:r>
      <w:r>
        <w:rPr>
          <w:rFonts w:ascii="仿宋_GB2312" w:hAnsi="仿宋" w:eastAsia="仿宋_GB2312" w:cs="仿宋"/>
          <w:sz w:val="32"/>
          <w:szCs w:val="32"/>
        </w:rPr>
        <w:t>%</w:t>
      </w:r>
      <w:r>
        <w:rPr>
          <w:rFonts w:hint="eastAsia" w:ascii="仿宋_GB2312" w:hAnsi="仿宋" w:eastAsia="仿宋_GB2312" w:cs="仿宋"/>
          <w:sz w:val="32"/>
          <w:szCs w:val="32"/>
        </w:rPr>
        <w:t>；上缴上级支出</w:t>
      </w:r>
      <w:r>
        <w:rPr>
          <w:rFonts w:ascii="仿宋_GB2312" w:hAnsi="仿宋" w:eastAsia="仿宋_GB2312" w:cs="仿宋"/>
          <w:sz w:val="32"/>
          <w:szCs w:val="32"/>
        </w:rPr>
        <w:t>0.00</w:t>
      </w:r>
      <w:r>
        <w:rPr>
          <w:rFonts w:hint="eastAsia" w:ascii="仿宋_GB2312" w:hAnsi="仿宋" w:eastAsia="仿宋_GB2312" w:cs="仿宋"/>
          <w:sz w:val="32"/>
          <w:szCs w:val="32"/>
        </w:rPr>
        <w:t>万元，占</w:t>
      </w:r>
      <w:r>
        <w:rPr>
          <w:rFonts w:ascii="仿宋_GB2312" w:hAnsi="仿宋" w:eastAsia="仿宋_GB2312" w:cs="仿宋"/>
          <w:sz w:val="32"/>
          <w:szCs w:val="32"/>
        </w:rPr>
        <w:t>0.00%</w:t>
      </w:r>
      <w:r>
        <w:rPr>
          <w:rFonts w:hint="eastAsia" w:ascii="仿宋_GB2312" w:hAnsi="仿宋" w:eastAsia="仿宋_GB2312" w:cs="仿宋"/>
          <w:sz w:val="32"/>
          <w:szCs w:val="32"/>
        </w:rPr>
        <w:t>；经营支出</w:t>
      </w:r>
      <w:r>
        <w:rPr>
          <w:rFonts w:ascii="仿宋_GB2312" w:hAnsi="仿宋" w:eastAsia="仿宋_GB2312" w:cs="仿宋"/>
          <w:sz w:val="32"/>
          <w:szCs w:val="32"/>
        </w:rPr>
        <w:t>0.00</w:t>
      </w:r>
      <w:r>
        <w:rPr>
          <w:rFonts w:hint="eastAsia" w:ascii="仿宋_GB2312" w:hAnsi="仿宋" w:eastAsia="仿宋_GB2312" w:cs="仿宋"/>
          <w:sz w:val="32"/>
          <w:szCs w:val="32"/>
        </w:rPr>
        <w:t>万元，占</w:t>
      </w:r>
      <w:r>
        <w:rPr>
          <w:rFonts w:ascii="仿宋_GB2312" w:hAnsi="仿宋" w:eastAsia="仿宋_GB2312" w:cs="仿宋"/>
          <w:sz w:val="32"/>
          <w:szCs w:val="32"/>
        </w:rPr>
        <w:t>0.00%</w:t>
      </w:r>
      <w:r>
        <w:rPr>
          <w:rFonts w:hint="eastAsia" w:ascii="仿宋_GB2312" w:hAnsi="仿宋" w:eastAsia="仿宋_GB2312" w:cs="仿宋"/>
          <w:sz w:val="32"/>
          <w:szCs w:val="32"/>
        </w:rPr>
        <w:t>；对附属单位补助支出</w:t>
      </w:r>
      <w:r>
        <w:rPr>
          <w:rFonts w:ascii="仿宋_GB2312" w:hAnsi="仿宋" w:eastAsia="仿宋_GB2312" w:cs="仿宋"/>
          <w:sz w:val="32"/>
          <w:szCs w:val="32"/>
        </w:rPr>
        <w:t>0.00</w:t>
      </w:r>
      <w:r>
        <w:rPr>
          <w:rFonts w:hint="eastAsia" w:ascii="仿宋_GB2312" w:hAnsi="仿宋" w:eastAsia="仿宋_GB2312" w:cs="仿宋"/>
          <w:sz w:val="32"/>
          <w:szCs w:val="32"/>
        </w:rPr>
        <w:t>万元，占</w:t>
      </w:r>
      <w:r>
        <w:rPr>
          <w:rFonts w:ascii="仿宋_GB2312" w:hAnsi="仿宋" w:eastAsia="仿宋_GB2312" w:cs="仿宋"/>
          <w:sz w:val="32"/>
          <w:szCs w:val="32"/>
        </w:rPr>
        <w:t>0.00%</w:t>
      </w:r>
      <w:r>
        <w:rPr>
          <w:rFonts w:hint="eastAsia" w:ascii="仿宋_GB2312" w:hAnsi="仿宋" w:eastAsia="仿宋_GB2312" w:cs="仿宋"/>
          <w:sz w:val="32"/>
          <w:szCs w:val="32"/>
        </w:rPr>
        <w:t>。</w:t>
      </w:r>
    </w:p>
    <w:p w14:paraId="468A35B6">
      <w:pPr>
        <w:spacing w:line="600" w:lineRule="exact"/>
        <w:ind w:firstLine="420" w:firstLineChars="200"/>
        <w:rPr>
          <w:rFonts w:ascii="仿宋" w:hAnsi="仿宋" w:eastAsia="仿宋"/>
          <w:sz w:val="32"/>
          <w:szCs w:val="32"/>
        </w:rPr>
      </w:pPr>
      <w:r>
        <w:pict>
          <v:shape id="_x0000_s1028" o:spid="_x0000_s1028" o:spt="75" type="#_x0000_t75" style="position:absolute;left:0pt;margin-left:0pt;margin-top:30pt;height:129pt;width:408.8pt;mso-wrap-distance-bottom:0pt;mso-wrap-distance-top:0pt;z-index:251659264;mso-width-relative:page;mso-height-relative:page;" o:ole="t" filled="f" o:preferrelative="t" stroked="f" coordsize="21600,21600">
            <v:path/>
            <v:fill on="f" focussize="0,0"/>
            <v:stroke on="f" joinstyle="miter"/>
            <v:imagedata r:id="rId11" o:title=""/>
            <o:lock v:ext="edit" aspectratio="t"/>
            <w10:wrap type="topAndBottom"/>
          </v:shape>
          <o:OLEObject Type="Embed" ProgID="MSGraph.Chart.8" ShapeID="_x0000_s1028" DrawAspect="Content" ObjectID="_1468075727" r:id="rId10">
            <o:LockedField>false</o:LockedField>
          </o:OLEObject>
        </w:pict>
      </w: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w:t>
      </w:r>
    </w:p>
    <w:p w14:paraId="0E1B227D">
      <w:pPr>
        <w:spacing w:line="600" w:lineRule="exact"/>
        <w:ind w:firstLine="640" w:firstLineChars="200"/>
        <w:outlineLvl w:val="1"/>
        <w:rPr>
          <w:rStyle w:val="18"/>
          <w:rFonts w:ascii="黑体" w:hAnsi="黑体" w:eastAsia="黑体" w:cs="Times New Roman"/>
          <w:b w:val="0"/>
          <w:bCs w:val="0"/>
        </w:rPr>
      </w:pPr>
      <w:bookmarkStart w:id="30" w:name="_Toc15396606"/>
      <w:bookmarkStart w:id="31" w:name="_Toc15377208"/>
      <w:r>
        <w:rPr>
          <w:rFonts w:hint="eastAsia" w:ascii="黑体" w:hAnsi="黑体" w:eastAsia="黑体" w:cs="黑体"/>
          <w:sz w:val="32"/>
          <w:szCs w:val="32"/>
        </w:rPr>
        <w:t>四、财</w:t>
      </w:r>
      <w:r>
        <w:rPr>
          <w:rStyle w:val="18"/>
          <w:rFonts w:hint="eastAsia" w:ascii="黑体" w:hAnsi="黑体" w:eastAsia="黑体" w:cs="黑体"/>
          <w:b w:val="0"/>
          <w:bCs w:val="0"/>
        </w:rPr>
        <w:t>政拨款收入支出决算总体情况说明</w:t>
      </w:r>
      <w:bookmarkEnd w:id="30"/>
      <w:bookmarkEnd w:id="31"/>
    </w:p>
    <w:p w14:paraId="55C631C1">
      <w:pPr>
        <w:spacing w:line="600" w:lineRule="exact"/>
        <w:ind w:firstLine="640" w:firstLineChars="200"/>
        <w:rPr>
          <w:rFonts w:ascii="仿宋_GB2312" w:eastAsia="仿宋_GB2312"/>
          <w:color w:val="000000"/>
          <w:sz w:val="32"/>
          <w:szCs w:val="32"/>
        </w:rPr>
      </w:pPr>
      <w:r>
        <w:rPr>
          <w:rFonts w:ascii="仿宋_GB2312" w:hAnsi="仿宋" w:eastAsia="仿宋_GB2312" w:cs="仿宋"/>
          <w:sz w:val="32"/>
          <w:szCs w:val="32"/>
        </w:rPr>
        <w:t>2020年</w:t>
      </w:r>
      <w:r>
        <w:rPr>
          <w:rFonts w:hint="eastAsia" w:ascii="仿宋_GB2312" w:hAnsi="仿宋" w:eastAsia="仿宋_GB2312" w:cs="仿宋"/>
          <w:sz w:val="32"/>
          <w:szCs w:val="32"/>
        </w:rPr>
        <w:t>财政拨款收入1156.85万元，其中，一般公共预算财政拨款收入1117.87万元，政府性基金预算财政拨款收入38.98万元。与</w:t>
      </w:r>
      <w:r>
        <w:rPr>
          <w:rFonts w:ascii="仿宋_GB2312" w:hAnsi="仿宋" w:eastAsia="仿宋_GB2312" w:cs="仿宋"/>
          <w:sz w:val="32"/>
          <w:szCs w:val="32"/>
        </w:rPr>
        <w:t>2019年</w:t>
      </w:r>
      <w:r>
        <w:rPr>
          <w:rFonts w:hint="eastAsia" w:ascii="仿宋_GB2312" w:hAnsi="仿宋" w:eastAsia="仿宋_GB2312" w:cs="仿宋"/>
          <w:sz w:val="32"/>
          <w:szCs w:val="32"/>
        </w:rPr>
        <w:t>相比，财政拨款收收入减少102.15万元，下降8.11</w:t>
      </w:r>
      <w:r>
        <w:rPr>
          <w:rFonts w:ascii="仿宋_GB2312" w:hAnsi="仿宋" w:eastAsia="仿宋_GB2312" w:cs="仿宋"/>
          <w:sz w:val="32"/>
          <w:szCs w:val="32"/>
        </w:rPr>
        <w:t>%</w:t>
      </w:r>
      <w:r>
        <w:rPr>
          <w:rFonts w:hint="eastAsia" w:ascii="仿宋_GB2312" w:hAnsi="仿宋" w:eastAsia="仿宋_GB2312" w:cs="仿宋"/>
          <w:sz w:val="32"/>
          <w:szCs w:val="32"/>
        </w:rPr>
        <w:t>。主要变动原因是：一是政府性基金预算财政拨款收入减少；二是行政事业项目经费减少以及人员增（减）变动减少人头经费。</w:t>
      </w:r>
    </w:p>
    <w:p w14:paraId="150E5FF7">
      <w:pPr>
        <w:spacing w:line="600" w:lineRule="exact"/>
        <w:ind w:firstLine="420" w:firstLineChars="200"/>
        <w:rPr>
          <w:rFonts w:ascii="仿宋_GB2312" w:hAnsi="仿宋" w:eastAsia="仿宋_GB2312"/>
          <w:sz w:val="32"/>
          <w:szCs w:val="32"/>
        </w:rPr>
      </w:pPr>
      <w:r>
        <w:pict>
          <v:shape id="_x0000_s1029" o:spid="_x0000_s1029" o:spt="75" type="#_x0000_t75" style="position:absolute;left:0pt;margin-left:-4.5pt;margin-top:78.75pt;height:172.55pt;width:428.45pt;mso-wrap-distance-bottom:0pt;mso-wrap-distance-top:0pt;z-index:251659264;mso-width-relative:page;mso-height-relative:page;" o:ole="t" filled="f" o:preferrelative="t" stroked="f" coordsize="21600,21600">
            <v:path/>
            <v:fill on="f" focussize="0,0"/>
            <v:stroke on="f" joinstyle="miter"/>
            <v:imagedata r:id="rId13" o:title=""/>
            <o:lock v:ext="edit" aspectratio="t"/>
            <w10:wrap type="topAndBottom"/>
          </v:shape>
          <o:OLEObject Type="Embed" ProgID="MSGraph.Chart.8" ShapeID="_x0000_s1029" DrawAspect="Content" ObjectID="_1468075728" r:id="rId12">
            <o:LockedField>false</o:LockedField>
          </o:OLEObject>
        </w:pict>
      </w:r>
      <w:r>
        <w:rPr>
          <w:rFonts w:ascii="仿宋_GB2312" w:eastAsia="仿宋_GB2312"/>
          <w:color w:val="000000"/>
          <w:sz w:val="32"/>
          <w:szCs w:val="32"/>
        </w:rPr>
        <w:t>2020年</w:t>
      </w:r>
      <w:r>
        <w:rPr>
          <w:rFonts w:hint="eastAsia" w:ascii="仿宋_GB2312" w:eastAsia="仿宋_GB2312"/>
          <w:color w:val="000000"/>
          <w:sz w:val="32"/>
          <w:szCs w:val="32"/>
        </w:rPr>
        <w:t>财政拨款支出</w:t>
      </w:r>
      <w:r>
        <w:rPr>
          <w:rFonts w:ascii="仿宋_GB2312" w:eastAsia="仿宋_GB2312"/>
          <w:color w:val="000000"/>
          <w:sz w:val="32"/>
          <w:szCs w:val="32"/>
        </w:rPr>
        <w:t>1</w:t>
      </w:r>
      <w:r>
        <w:rPr>
          <w:rFonts w:hint="eastAsia" w:ascii="仿宋_GB2312" w:eastAsia="仿宋_GB2312"/>
          <w:color w:val="000000"/>
          <w:sz w:val="32"/>
          <w:szCs w:val="32"/>
        </w:rPr>
        <w:t>198.93万元，比上年减少52.13万元，下降4.17</w:t>
      </w:r>
      <w:r>
        <w:rPr>
          <w:rFonts w:ascii="仿宋_GB2312" w:eastAsia="仿宋_GB2312"/>
          <w:color w:val="000000"/>
          <w:sz w:val="32"/>
          <w:szCs w:val="32"/>
        </w:rPr>
        <w:t>%</w:t>
      </w:r>
      <w:r>
        <w:rPr>
          <w:rFonts w:hint="eastAsia" w:ascii="仿宋_GB2312" w:eastAsia="仿宋_GB2312"/>
          <w:color w:val="000000"/>
          <w:sz w:val="32"/>
          <w:szCs w:val="32"/>
        </w:rPr>
        <w:t>。主要原因是基金预算支出减少。</w:t>
      </w:r>
    </w:p>
    <w:p w14:paraId="639B8903">
      <w:pPr>
        <w:spacing w:line="600" w:lineRule="exact"/>
        <w:ind w:firstLine="640" w:firstLineChars="200"/>
        <w:outlineLvl w:val="1"/>
        <w:rPr>
          <w:rStyle w:val="18"/>
          <w:rFonts w:ascii="黑体" w:hAnsi="黑体" w:eastAsia="黑体" w:cs="Times New Roman"/>
          <w:b w:val="0"/>
          <w:bCs w:val="0"/>
        </w:rPr>
      </w:pPr>
      <w:bookmarkStart w:id="32" w:name="_Toc15396607"/>
      <w:bookmarkStart w:id="33" w:name="_Toc15377209"/>
      <w:r>
        <w:rPr>
          <w:rFonts w:hint="eastAsia" w:ascii="黑体" w:hAnsi="黑体" w:eastAsia="黑体" w:cs="黑体"/>
          <w:sz w:val="32"/>
          <w:szCs w:val="32"/>
        </w:rPr>
        <w:t>五、</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般公共预算财政拨款支出决算情况说明</w:t>
      </w:r>
      <w:bookmarkEnd w:id="32"/>
      <w:bookmarkEnd w:id="33"/>
    </w:p>
    <w:p w14:paraId="26FB150D">
      <w:pPr>
        <w:spacing w:line="600" w:lineRule="exact"/>
        <w:ind w:firstLine="643" w:firstLineChars="200"/>
        <w:outlineLvl w:val="2"/>
        <w:rPr>
          <w:rFonts w:ascii="楷体_GB2312" w:hAnsi="仿宋" w:eastAsia="楷体_GB2312"/>
          <w:b/>
          <w:bCs/>
          <w:sz w:val="32"/>
          <w:szCs w:val="32"/>
        </w:rPr>
      </w:pPr>
      <w:bookmarkStart w:id="34" w:name="_Toc15377210"/>
      <w:r>
        <w:rPr>
          <w:rFonts w:hint="eastAsia" w:ascii="楷体_GB2312" w:hAnsi="仿宋" w:eastAsia="楷体_GB2312" w:cs="仿宋"/>
          <w:b/>
          <w:bCs/>
          <w:sz w:val="32"/>
          <w:szCs w:val="32"/>
        </w:rPr>
        <w:t>（一）一般公共预算财政拨款支出决算总体情况</w:t>
      </w:r>
      <w:bookmarkEnd w:id="34"/>
    </w:p>
    <w:p w14:paraId="35329BD1">
      <w:pPr>
        <w:spacing w:line="600" w:lineRule="exact"/>
        <w:ind w:firstLine="640" w:firstLineChars="200"/>
        <w:rPr>
          <w:rFonts w:ascii="仿宋_GB2312" w:hAnsi="仿宋" w:eastAsia="仿宋_GB2312"/>
          <w:sz w:val="32"/>
          <w:szCs w:val="32"/>
        </w:rPr>
      </w:pPr>
      <w:r>
        <w:rPr>
          <w:rFonts w:ascii="仿宋_GB2312" w:hAnsi="仿宋" w:eastAsia="仿宋_GB2312" w:cs="仿宋"/>
          <w:sz w:val="32"/>
          <w:szCs w:val="32"/>
        </w:rPr>
        <w:t>2020年</w:t>
      </w:r>
      <w:r>
        <w:rPr>
          <w:rFonts w:hint="eastAsia" w:ascii="仿宋_GB2312" w:hAnsi="仿宋" w:eastAsia="仿宋_GB2312" w:cs="仿宋"/>
          <w:sz w:val="32"/>
          <w:szCs w:val="32"/>
        </w:rPr>
        <w:t>一般公共预算财政拨款支出</w:t>
      </w:r>
      <w:r>
        <w:rPr>
          <w:rFonts w:ascii="仿宋_GB2312" w:hAnsi="仿宋" w:eastAsia="仿宋_GB2312" w:cs="仿宋"/>
          <w:sz w:val="32"/>
          <w:szCs w:val="32"/>
        </w:rPr>
        <w:t>11</w:t>
      </w:r>
      <w:r>
        <w:rPr>
          <w:rFonts w:hint="eastAsia" w:ascii="仿宋_GB2312" w:hAnsi="仿宋" w:eastAsia="仿宋_GB2312" w:cs="仿宋"/>
          <w:sz w:val="32"/>
          <w:szCs w:val="32"/>
        </w:rPr>
        <w:t>59.95万元，占本年支出合计的</w:t>
      </w:r>
      <w:r>
        <w:rPr>
          <w:rFonts w:ascii="仿宋_GB2312" w:hAnsi="仿宋" w:eastAsia="仿宋_GB2312" w:cs="仿宋"/>
          <w:sz w:val="32"/>
          <w:szCs w:val="32"/>
        </w:rPr>
        <w:t>8</w:t>
      </w:r>
      <w:r>
        <w:rPr>
          <w:rFonts w:hint="eastAsia" w:ascii="仿宋_GB2312" w:hAnsi="仿宋" w:eastAsia="仿宋_GB2312" w:cs="仿宋"/>
          <w:sz w:val="32"/>
          <w:szCs w:val="32"/>
        </w:rPr>
        <w:t>9.64</w:t>
      </w:r>
      <w:r>
        <w:rPr>
          <w:rFonts w:ascii="仿宋_GB2312" w:hAnsi="仿宋" w:eastAsia="仿宋_GB2312" w:cs="仿宋"/>
          <w:sz w:val="32"/>
          <w:szCs w:val="32"/>
        </w:rPr>
        <w:t>%</w:t>
      </w:r>
      <w:r>
        <w:rPr>
          <w:rFonts w:hint="eastAsia" w:ascii="仿宋_GB2312" w:hAnsi="仿宋" w:eastAsia="仿宋_GB2312" w:cs="仿宋"/>
          <w:sz w:val="32"/>
          <w:szCs w:val="32"/>
        </w:rPr>
        <w:t>。与</w:t>
      </w:r>
      <w:r>
        <w:rPr>
          <w:rFonts w:ascii="仿宋_GB2312" w:hAnsi="仿宋" w:eastAsia="仿宋_GB2312" w:cs="仿宋"/>
          <w:sz w:val="32"/>
          <w:szCs w:val="32"/>
        </w:rPr>
        <w:t>2019年</w:t>
      </w:r>
      <w:r>
        <w:rPr>
          <w:rFonts w:hint="eastAsia" w:ascii="仿宋_GB2312" w:hAnsi="仿宋" w:eastAsia="仿宋_GB2312" w:cs="仿宋"/>
          <w:sz w:val="32"/>
          <w:szCs w:val="32"/>
        </w:rPr>
        <w:t>相比，一般公共预算财政拨款支出增加8.89万元，增长0.08</w:t>
      </w:r>
      <w:r>
        <w:rPr>
          <w:rFonts w:ascii="仿宋_GB2312" w:hAnsi="仿宋" w:eastAsia="仿宋_GB2312" w:cs="仿宋"/>
          <w:sz w:val="32"/>
          <w:szCs w:val="32"/>
        </w:rPr>
        <w:t>%</w:t>
      </w:r>
      <w:r>
        <w:rPr>
          <w:rFonts w:hint="eastAsia" w:ascii="仿宋_GB2312" w:hAnsi="仿宋" w:eastAsia="仿宋_GB2312" w:cs="仿宋"/>
          <w:sz w:val="32"/>
          <w:szCs w:val="32"/>
        </w:rPr>
        <w:t>。主要变动原因是：</w:t>
      </w:r>
      <w:r>
        <w:rPr>
          <w:rFonts w:ascii="仿宋_GB2312" w:hAnsi="仿宋" w:eastAsia="仿宋_GB2312" w:cs="仿宋"/>
          <w:sz w:val="32"/>
          <w:szCs w:val="32"/>
        </w:rPr>
        <w:t>2020年</w:t>
      </w:r>
      <w:r>
        <w:rPr>
          <w:rFonts w:hint="eastAsia" w:ascii="仿宋_GB2312" w:hAnsi="仿宋" w:eastAsia="仿宋_GB2312" w:cs="仿宋"/>
          <w:sz w:val="32"/>
          <w:szCs w:val="32"/>
        </w:rPr>
        <w:t>一般行政事业项目经费有所增加和因人员增减变动增加了人员经费和一般公用经费。</w:t>
      </w:r>
    </w:p>
    <w:p w14:paraId="648F3C79">
      <w:pPr>
        <w:spacing w:line="600" w:lineRule="exact"/>
        <w:ind w:firstLine="420" w:firstLineChars="200"/>
        <w:rPr>
          <w:rFonts w:ascii="仿宋" w:hAnsi="仿宋" w:eastAsia="仿宋" w:cs="仿宋"/>
          <w:sz w:val="32"/>
          <w:szCs w:val="32"/>
        </w:rPr>
      </w:pPr>
      <w:r>
        <w:pict>
          <v:shape id="_x0000_s1030" o:spid="_x0000_s1030" o:spt="75" type="#_x0000_t75" style="position:absolute;left:0pt;margin-left:0pt;margin-top:30pt;height:155.3pt;width:406.5pt;mso-wrap-distance-bottom:0pt;mso-wrap-distance-top:0pt;z-index:251659264;mso-width-relative:page;mso-height-relative:page;" o:ole="t" filled="f" o:preferrelative="t" stroked="f" coordsize="21600,21600">
            <v:path/>
            <v:fill on="f" focussize="0,0"/>
            <v:stroke on="f" joinstyle="miter"/>
            <v:imagedata r:id="rId15" o:title=""/>
            <o:lock v:ext="edit" aspectratio="t"/>
            <w10:wrap type="topAndBottom"/>
          </v:shape>
          <o:OLEObject Type="Embed" ProgID="MSGraph.Chart.8" ShapeID="_x0000_s1030" DrawAspect="Content" ObjectID="_1468075729" r:id="rId14">
            <o:LockedField>false</o:LockedField>
          </o:OLEObject>
        </w:pict>
      </w: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w:t>
      </w:r>
    </w:p>
    <w:p w14:paraId="7DCB9D07">
      <w:pPr>
        <w:spacing w:line="600" w:lineRule="exact"/>
        <w:ind w:firstLine="643" w:firstLineChars="200"/>
        <w:outlineLvl w:val="2"/>
        <w:rPr>
          <w:rFonts w:ascii="楷体_GB2312" w:hAnsi="仿宋" w:eastAsia="楷体_GB2312" w:cs="仿宋"/>
          <w:b/>
          <w:bCs/>
          <w:sz w:val="32"/>
          <w:szCs w:val="32"/>
        </w:rPr>
      </w:pPr>
      <w:bookmarkStart w:id="35" w:name="_Toc15377211"/>
    </w:p>
    <w:p w14:paraId="5CF38407">
      <w:pPr>
        <w:spacing w:line="600" w:lineRule="exact"/>
        <w:ind w:firstLine="643" w:firstLineChars="200"/>
        <w:outlineLvl w:val="2"/>
        <w:rPr>
          <w:rFonts w:ascii="楷体_GB2312" w:hAnsi="仿宋" w:eastAsia="楷体_GB2312"/>
          <w:b/>
          <w:bCs/>
          <w:sz w:val="32"/>
          <w:szCs w:val="32"/>
        </w:rPr>
      </w:pPr>
      <w:r>
        <w:rPr>
          <w:rFonts w:hint="eastAsia" w:ascii="楷体_GB2312" w:hAnsi="仿宋" w:eastAsia="楷体_GB2312" w:cs="仿宋"/>
          <w:b/>
          <w:bCs/>
          <w:sz w:val="32"/>
          <w:szCs w:val="32"/>
        </w:rPr>
        <w:t>（二）一般公共预算财政拨款支出决算结构情况</w:t>
      </w:r>
      <w:bookmarkEnd w:id="35"/>
    </w:p>
    <w:p w14:paraId="3EFB7655">
      <w:pPr>
        <w:spacing w:line="600" w:lineRule="exact"/>
        <w:ind w:firstLine="640"/>
        <w:rPr>
          <w:rFonts w:ascii="仿宋" w:hAnsi="仿宋" w:eastAsia="仿宋"/>
          <w:sz w:val="32"/>
          <w:szCs w:val="32"/>
        </w:rPr>
      </w:pPr>
      <w:r>
        <w:rPr>
          <w:rFonts w:ascii="仿宋_GB2312" w:hAnsi="仿宋" w:eastAsia="仿宋_GB2312" w:cs="仿宋"/>
          <w:sz w:val="32"/>
          <w:szCs w:val="32"/>
        </w:rPr>
        <w:t>2020年</w:t>
      </w:r>
      <w:r>
        <w:rPr>
          <w:rFonts w:hint="eastAsia" w:ascii="仿宋_GB2312" w:hAnsi="仿宋" w:eastAsia="仿宋_GB2312" w:cs="仿宋"/>
          <w:sz w:val="32"/>
          <w:szCs w:val="32"/>
        </w:rPr>
        <w:t>，一般公共预算财政拨款支出</w:t>
      </w:r>
      <w:r>
        <w:rPr>
          <w:rFonts w:ascii="仿宋_GB2312" w:hAnsi="仿宋" w:eastAsia="仿宋_GB2312" w:cs="仿宋"/>
          <w:sz w:val="32"/>
          <w:szCs w:val="32"/>
        </w:rPr>
        <w:t>115</w:t>
      </w:r>
      <w:r>
        <w:rPr>
          <w:rFonts w:hint="eastAsia" w:ascii="仿宋_GB2312" w:hAnsi="仿宋" w:eastAsia="仿宋_GB2312" w:cs="仿宋"/>
          <w:sz w:val="32"/>
          <w:szCs w:val="32"/>
        </w:rPr>
        <w:t>9.95万元，主要用于以下方面</w:t>
      </w:r>
      <w:r>
        <w:rPr>
          <w:rFonts w:ascii="仿宋_GB2312" w:hAnsi="仿宋" w:eastAsia="仿宋_GB2312" w:cs="仿宋"/>
          <w:sz w:val="32"/>
          <w:szCs w:val="32"/>
        </w:rPr>
        <w:t>:</w:t>
      </w:r>
      <w:r>
        <w:rPr>
          <w:rFonts w:hint="eastAsia" w:ascii="仿宋_GB2312" w:hAnsi="仿宋" w:eastAsia="仿宋_GB2312" w:cs="仿宋"/>
          <w:b/>
          <w:bCs/>
          <w:sz w:val="32"/>
          <w:szCs w:val="32"/>
        </w:rPr>
        <w:t>一般公共服务（类）</w:t>
      </w:r>
      <w:r>
        <w:rPr>
          <w:rFonts w:hint="eastAsia" w:ascii="仿宋_GB2312" w:hAnsi="仿宋" w:eastAsia="仿宋_GB2312" w:cs="仿宋"/>
          <w:sz w:val="32"/>
          <w:szCs w:val="32"/>
        </w:rPr>
        <w:t>支出361.13万元，占</w:t>
      </w:r>
      <w:r>
        <w:rPr>
          <w:rFonts w:ascii="仿宋_GB2312" w:hAnsi="仿宋" w:eastAsia="仿宋_GB2312" w:cs="仿宋"/>
          <w:sz w:val="32"/>
          <w:szCs w:val="32"/>
        </w:rPr>
        <w:t>3</w:t>
      </w:r>
      <w:r>
        <w:rPr>
          <w:rFonts w:hint="eastAsia" w:ascii="仿宋_GB2312" w:hAnsi="仿宋" w:eastAsia="仿宋_GB2312" w:cs="仿宋"/>
          <w:sz w:val="32"/>
          <w:szCs w:val="32"/>
        </w:rPr>
        <w:t>1.13</w:t>
      </w:r>
      <w:r>
        <w:rPr>
          <w:rFonts w:ascii="仿宋_GB2312" w:hAnsi="仿宋" w:eastAsia="仿宋_GB2312" w:cs="仿宋"/>
          <w:sz w:val="32"/>
          <w:szCs w:val="32"/>
        </w:rPr>
        <w:t>%</w:t>
      </w:r>
      <w:r>
        <w:rPr>
          <w:rFonts w:hint="eastAsia" w:ascii="仿宋_GB2312" w:hAnsi="仿宋" w:eastAsia="仿宋_GB2312" w:cs="仿宋"/>
          <w:sz w:val="32"/>
          <w:szCs w:val="32"/>
        </w:rPr>
        <w:t>；</w:t>
      </w:r>
      <w:r>
        <w:rPr>
          <w:rFonts w:hint="eastAsia" w:ascii="仿宋_GB2312" w:hAnsi="仿宋" w:eastAsia="仿宋_GB2312" w:cs="仿宋"/>
          <w:b/>
          <w:bCs/>
          <w:sz w:val="32"/>
          <w:szCs w:val="32"/>
        </w:rPr>
        <w:t>社会保障和就业（类）</w:t>
      </w:r>
      <w:r>
        <w:rPr>
          <w:rFonts w:hint="eastAsia" w:ascii="仿宋_GB2312" w:hAnsi="仿宋" w:eastAsia="仿宋_GB2312" w:cs="仿宋"/>
          <w:sz w:val="32"/>
          <w:szCs w:val="32"/>
        </w:rPr>
        <w:t>支出135.14万元，占11.65</w:t>
      </w:r>
      <w:r>
        <w:rPr>
          <w:rFonts w:ascii="仿宋_GB2312" w:hAnsi="仿宋" w:eastAsia="仿宋_GB2312" w:cs="仿宋"/>
          <w:sz w:val="32"/>
          <w:szCs w:val="32"/>
        </w:rPr>
        <w:t>%</w:t>
      </w:r>
      <w:r>
        <w:rPr>
          <w:rFonts w:hint="eastAsia" w:ascii="仿宋_GB2312" w:hAnsi="仿宋" w:eastAsia="仿宋_GB2312" w:cs="仿宋"/>
          <w:sz w:val="32"/>
          <w:szCs w:val="32"/>
        </w:rPr>
        <w:t>；</w:t>
      </w:r>
      <w:r>
        <w:rPr>
          <w:rFonts w:hint="eastAsia" w:ascii="仿宋_GB2312" w:hAnsi="仿宋" w:eastAsia="仿宋_GB2312" w:cs="仿宋"/>
          <w:b/>
          <w:sz w:val="32"/>
          <w:szCs w:val="32"/>
        </w:rPr>
        <w:t>医疗卫生与计划生育</w:t>
      </w:r>
      <w:r>
        <w:rPr>
          <w:rFonts w:hint="eastAsia" w:ascii="仿宋_GB2312" w:hAnsi="仿宋" w:eastAsia="仿宋_GB2312" w:cs="仿宋"/>
          <w:b/>
          <w:bCs/>
          <w:sz w:val="32"/>
          <w:szCs w:val="32"/>
        </w:rPr>
        <w:t>（类）</w:t>
      </w:r>
      <w:r>
        <w:rPr>
          <w:rFonts w:hint="eastAsia" w:ascii="仿宋_GB2312" w:hAnsi="仿宋" w:eastAsia="仿宋_GB2312" w:cs="仿宋"/>
          <w:sz w:val="32"/>
          <w:szCs w:val="32"/>
        </w:rPr>
        <w:t>支出24.74万元，占2.13</w:t>
      </w:r>
      <w:r>
        <w:rPr>
          <w:rFonts w:ascii="仿宋_GB2312" w:hAnsi="仿宋" w:eastAsia="仿宋_GB2312" w:cs="仿宋"/>
          <w:sz w:val="32"/>
          <w:szCs w:val="32"/>
        </w:rPr>
        <w:t>%</w:t>
      </w:r>
      <w:r>
        <w:rPr>
          <w:rFonts w:hint="eastAsia" w:ascii="仿宋_GB2312" w:hAnsi="仿宋" w:eastAsia="仿宋_GB2312" w:cs="仿宋"/>
          <w:sz w:val="32"/>
          <w:szCs w:val="32"/>
        </w:rPr>
        <w:t>；</w:t>
      </w:r>
      <w:r>
        <w:rPr>
          <w:rFonts w:hint="eastAsia" w:ascii="仿宋_GB2312" w:hAnsi="仿宋" w:eastAsia="仿宋_GB2312" w:cs="仿宋"/>
          <w:b/>
          <w:sz w:val="32"/>
          <w:szCs w:val="32"/>
        </w:rPr>
        <w:t>城乡社区</w:t>
      </w:r>
      <w:r>
        <w:rPr>
          <w:rFonts w:hint="eastAsia" w:ascii="仿宋_GB2312" w:hAnsi="仿宋" w:eastAsia="仿宋_GB2312" w:cs="仿宋"/>
          <w:b/>
          <w:bCs/>
          <w:sz w:val="32"/>
          <w:szCs w:val="32"/>
        </w:rPr>
        <w:t>（类）</w:t>
      </w:r>
      <w:r>
        <w:rPr>
          <w:rFonts w:hint="eastAsia" w:ascii="仿宋_GB2312" w:hAnsi="仿宋" w:eastAsia="仿宋_GB2312" w:cs="仿宋"/>
          <w:sz w:val="32"/>
          <w:szCs w:val="32"/>
        </w:rPr>
        <w:t>支出</w:t>
      </w:r>
      <w:r>
        <w:rPr>
          <w:rFonts w:ascii="仿宋_GB2312" w:hAnsi="仿宋" w:eastAsia="仿宋_GB2312" w:cs="仿宋"/>
          <w:sz w:val="32"/>
          <w:szCs w:val="32"/>
        </w:rPr>
        <w:t>18.38</w:t>
      </w:r>
      <w:r>
        <w:rPr>
          <w:rFonts w:hint="eastAsia" w:ascii="仿宋_GB2312" w:hAnsi="仿宋" w:eastAsia="仿宋_GB2312" w:cs="仿宋"/>
          <w:sz w:val="32"/>
          <w:szCs w:val="32"/>
        </w:rPr>
        <w:t>万元，占比1.58</w:t>
      </w:r>
      <w:r>
        <w:rPr>
          <w:rFonts w:ascii="仿宋_GB2312" w:hAnsi="仿宋" w:eastAsia="仿宋_GB2312" w:cs="仿宋"/>
          <w:sz w:val="32"/>
          <w:szCs w:val="32"/>
        </w:rPr>
        <w:t>%</w:t>
      </w:r>
      <w:r>
        <w:rPr>
          <w:rFonts w:hint="eastAsia" w:ascii="仿宋_GB2312" w:hAnsi="仿宋" w:eastAsia="仿宋_GB2312" w:cs="仿宋"/>
          <w:sz w:val="32"/>
          <w:szCs w:val="32"/>
        </w:rPr>
        <w:t>；</w:t>
      </w:r>
      <w:r>
        <w:rPr>
          <w:rFonts w:hint="eastAsia" w:ascii="仿宋_GB2312" w:hAnsi="仿宋" w:eastAsia="仿宋_GB2312" w:cs="仿宋"/>
          <w:b/>
          <w:sz w:val="32"/>
          <w:szCs w:val="32"/>
        </w:rPr>
        <w:t>农林水</w:t>
      </w:r>
      <w:r>
        <w:rPr>
          <w:rFonts w:hint="eastAsia" w:ascii="仿宋_GB2312" w:hAnsi="仿宋" w:eastAsia="仿宋_GB2312" w:cs="仿宋"/>
          <w:b/>
          <w:bCs/>
          <w:sz w:val="32"/>
          <w:szCs w:val="32"/>
        </w:rPr>
        <w:t>（类）</w:t>
      </w:r>
      <w:r>
        <w:rPr>
          <w:rFonts w:hint="eastAsia" w:ascii="仿宋_GB2312" w:hAnsi="仿宋" w:eastAsia="仿宋_GB2312" w:cs="仿宋"/>
          <w:sz w:val="32"/>
          <w:szCs w:val="32"/>
        </w:rPr>
        <w:t>支出589.56万元，占比50.83</w:t>
      </w:r>
      <w:r>
        <w:rPr>
          <w:rFonts w:ascii="仿宋_GB2312" w:hAnsi="仿宋" w:eastAsia="仿宋_GB2312" w:cs="仿宋"/>
          <w:sz w:val="32"/>
          <w:szCs w:val="32"/>
        </w:rPr>
        <w:t>%</w:t>
      </w:r>
      <w:r>
        <w:rPr>
          <w:rFonts w:hint="eastAsia" w:ascii="仿宋_GB2312" w:hAnsi="仿宋" w:eastAsia="仿宋_GB2312" w:cs="仿宋"/>
          <w:sz w:val="32"/>
          <w:szCs w:val="32"/>
        </w:rPr>
        <w:t>；</w:t>
      </w:r>
      <w:r>
        <w:rPr>
          <w:rFonts w:hint="eastAsia" w:ascii="仿宋_GB2312" w:hAnsi="仿宋" w:eastAsia="仿宋_GB2312" w:cs="仿宋"/>
          <w:b/>
          <w:sz w:val="32"/>
          <w:szCs w:val="32"/>
        </w:rPr>
        <w:t>住房保障</w:t>
      </w:r>
      <w:r>
        <w:rPr>
          <w:rFonts w:hint="eastAsia" w:ascii="仿宋_GB2312" w:hAnsi="仿宋" w:eastAsia="仿宋_GB2312" w:cs="仿宋"/>
          <w:b/>
          <w:bCs/>
          <w:sz w:val="32"/>
          <w:szCs w:val="32"/>
        </w:rPr>
        <w:t>（类）</w:t>
      </w:r>
      <w:r>
        <w:rPr>
          <w:rFonts w:hint="eastAsia" w:ascii="仿宋_GB2312" w:hAnsi="仿宋" w:eastAsia="仿宋_GB2312" w:cs="仿宋"/>
          <w:sz w:val="32"/>
          <w:szCs w:val="32"/>
        </w:rPr>
        <w:t>支出31.00万元，占</w:t>
      </w:r>
      <w:r>
        <w:rPr>
          <w:rFonts w:ascii="仿宋_GB2312" w:hAnsi="仿宋" w:eastAsia="仿宋_GB2312" w:cs="仿宋"/>
          <w:sz w:val="32"/>
          <w:szCs w:val="32"/>
        </w:rPr>
        <w:t>2.</w:t>
      </w:r>
      <w:r>
        <w:rPr>
          <w:rFonts w:hint="eastAsia" w:ascii="仿宋_GB2312" w:hAnsi="仿宋" w:eastAsia="仿宋_GB2312" w:cs="仿宋"/>
          <w:sz w:val="32"/>
          <w:szCs w:val="32"/>
        </w:rPr>
        <w:t>67</w:t>
      </w:r>
      <w:r>
        <w:rPr>
          <w:rFonts w:ascii="仿宋_GB2312" w:hAnsi="仿宋" w:eastAsia="仿宋_GB2312" w:cs="仿宋"/>
          <w:sz w:val="32"/>
          <w:szCs w:val="32"/>
        </w:rPr>
        <w:t>%</w:t>
      </w:r>
      <w:r>
        <w:rPr>
          <w:rFonts w:hint="eastAsia" w:ascii="仿宋_GB2312" w:hAnsi="仿宋" w:eastAsia="仿宋_GB2312" w:cs="仿宋"/>
          <w:sz w:val="32"/>
          <w:szCs w:val="32"/>
        </w:rPr>
        <w:t>。</w:t>
      </w:r>
    </w:p>
    <w:p w14:paraId="00AB645F">
      <w:pPr>
        <w:spacing w:line="600" w:lineRule="exact"/>
        <w:ind w:firstLine="420" w:firstLineChars="200"/>
        <w:rPr>
          <w:rFonts w:ascii="仿宋" w:hAnsi="仿宋" w:eastAsia="仿宋" w:cs="仿宋"/>
          <w:sz w:val="32"/>
          <w:szCs w:val="32"/>
        </w:rPr>
      </w:pPr>
      <w:r>
        <w:pict>
          <v:shape id="_x0000_s1031" o:spid="_x0000_s1031" o:spt="75" type="#_x0000_t75" style="position:absolute;left:0pt;margin-left:0pt;margin-top:30pt;height:210pt;width:409.5pt;mso-wrap-distance-bottom:0pt;mso-wrap-distance-top:0pt;z-index:251659264;mso-width-relative:page;mso-height-relative:page;" o:ole="t" filled="f" o:preferrelative="t" stroked="f" coordsize="21600,21600">
            <v:path/>
            <v:fill on="f" focussize="0,0"/>
            <v:stroke on="f" joinstyle="miter"/>
            <v:imagedata r:id="rId17" o:title=""/>
            <o:lock v:ext="edit" aspectratio="t"/>
            <w10:wrap type="topAndBottom"/>
          </v:shape>
          <o:OLEObject Type="Embed" ProgID="MSGraph.Chart.8" ShapeID="_x0000_s1031" DrawAspect="Content" ObjectID="_1468075730" r:id="rId16">
            <o:LockedField>false</o:LockedField>
          </o:OLEObject>
        </w:pict>
      </w: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w:t>
      </w:r>
    </w:p>
    <w:p w14:paraId="08A3B2F9">
      <w:pPr>
        <w:spacing w:line="600" w:lineRule="exact"/>
        <w:ind w:firstLine="640" w:firstLineChars="200"/>
        <w:rPr>
          <w:rFonts w:ascii="仿宋" w:hAnsi="仿宋" w:eastAsia="仿宋"/>
          <w:sz w:val="32"/>
          <w:szCs w:val="32"/>
        </w:rPr>
      </w:pPr>
    </w:p>
    <w:p w14:paraId="524C1D67">
      <w:pPr>
        <w:spacing w:line="600" w:lineRule="exact"/>
        <w:ind w:firstLine="643" w:firstLineChars="200"/>
        <w:outlineLvl w:val="2"/>
        <w:rPr>
          <w:rFonts w:ascii="楷体_GB2312" w:hAnsi="仿宋" w:eastAsia="楷体_GB2312"/>
          <w:b/>
          <w:bCs/>
          <w:sz w:val="32"/>
          <w:szCs w:val="32"/>
        </w:rPr>
      </w:pPr>
      <w:bookmarkStart w:id="36" w:name="_Toc15377212"/>
      <w:r>
        <w:rPr>
          <w:rFonts w:hint="eastAsia" w:ascii="楷体_GB2312" w:hAnsi="仿宋" w:eastAsia="楷体_GB2312" w:cs="仿宋"/>
          <w:b/>
          <w:bCs/>
          <w:sz w:val="32"/>
          <w:szCs w:val="32"/>
        </w:rPr>
        <w:t>（三）一般公共预算财政拨款支出决算具体情况</w:t>
      </w:r>
      <w:bookmarkEnd w:id="36"/>
    </w:p>
    <w:p w14:paraId="759C336D">
      <w:pPr>
        <w:spacing w:line="600" w:lineRule="exact"/>
        <w:ind w:firstLine="800" w:firstLineChars="250"/>
        <w:outlineLvl w:val="2"/>
        <w:rPr>
          <w:rFonts w:ascii="仿宋_GB2312" w:hAnsi="仿宋" w:eastAsia="仿宋_GB2312"/>
          <w:sz w:val="32"/>
          <w:szCs w:val="32"/>
        </w:rPr>
      </w:pPr>
      <w:bookmarkStart w:id="37" w:name="_Toc15377444"/>
      <w:bookmarkStart w:id="38" w:name="_Toc15377213"/>
      <w:bookmarkStart w:id="39" w:name="_Toc15378460"/>
      <w:r>
        <w:rPr>
          <w:rFonts w:ascii="仿宋_GB2312" w:hAnsi="仿宋" w:eastAsia="仿宋_GB2312" w:cs="仿宋"/>
          <w:bCs/>
          <w:sz w:val="32"/>
          <w:szCs w:val="32"/>
        </w:rPr>
        <w:t>2020年</w:t>
      </w:r>
      <w:r>
        <w:rPr>
          <w:rFonts w:hint="eastAsia" w:ascii="仿宋_GB2312" w:hAnsi="仿宋" w:eastAsia="仿宋_GB2312" w:cs="仿宋"/>
          <w:bCs/>
          <w:sz w:val="32"/>
          <w:szCs w:val="32"/>
        </w:rPr>
        <w:t>一般公共预算支出决算数为</w:t>
      </w:r>
      <w:r>
        <w:rPr>
          <w:rFonts w:ascii="仿宋_GB2312" w:hAnsi="仿宋" w:eastAsia="仿宋_GB2312" w:cs="仿宋"/>
          <w:bCs/>
          <w:sz w:val="32"/>
          <w:szCs w:val="32"/>
        </w:rPr>
        <w:t>115</w:t>
      </w:r>
      <w:r>
        <w:rPr>
          <w:rFonts w:hint="eastAsia" w:ascii="仿宋_GB2312" w:hAnsi="仿宋" w:eastAsia="仿宋_GB2312" w:cs="仿宋"/>
          <w:bCs/>
          <w:sz w:val="32"/>
          <w:szCs w:val="32"/>
        </w:rPr>
        <w:t>9.95万元</w:t>
      </w:r>
      <w:r>
        <w:rPr>
          <w:rFonts w:hint="eastAsia" w:ascii="仿宋_GB2312" w:hAnsi="仿宋" w:eastAsia="仿宋_GB2312" w:cs="仿宋"/>
          <w:sz w:val="32"/>
          <w:szCs w:val="32"/>
        </w:rPr>
        <w:t>，</w:t>
      </w:r>
      <w:r>
        <w:rPr>
          <w:rStyle w:val="15"/>
          <w:rFonts w:hint="eastAsia" w:ascii="仿宋_GB2312" w:hAnsi="仿宋" w:eastAsia="仿宋_GB2312" w:cs="仿宋"/>
          <w:b w:val="0"/>
          <w:sz w:val="32"/>
          <w:szCs w:val="32"/>
        </w:rPr>
        <w:t>完成预算收入支出的</w:t>
      </w:r>
      <w:r>
        <w:rPr>
          <w:rStyle w:val="15"/>
          <w:rFonts w:ascii="仿宋_GB2312" w:hAnsi="仿宋" w:eastAsia="仿宋_GB2312" w:cs="仿宋"/>
          <w:b w:val="0"/>
          <w:sz w:val="32"/>
          <w:szCs w:val="32"/>
        </w:rPr>
        <w:t>9</w:t>
      </w:r>
      <w:r>
        <w:rPr>
          <w:rStyle w:val="15"/>
          <w:rFonts w:hint="eastAsia" w:ascii="仿宋_GB2312" w:hAnsi="仿宋" w:eastAsia="仿宋_GB2312" w:cs="仿宋"/>
          <w:b w:val="0"/>
          <w:sz w:val="32"/>
          <w:szCs w:val="32"/>
        </w:rPr>
        <w:t>9.98</w:t>
      </w:r>
      <w:r>
        <w:rPr>
          <w:rStyle w:val="15"/>
          <w:rFonts w:ascii="仿宋_GB2312" w:hAnsi="仿宋" w:eastAsia="仿宋_GB2312" w:cs="仿宋"/>
          <w:b w:val="0"/>
          <w:sz w:val="32"/>
          <w:szCs w:val="32"/>
        </w:rPr>
        <w:t>%</w:t>
      </w:r>
      <w:r>
        <w:rPr>
          <w:rStyle w:val="15"/>
          <w:rFonts w:hint="eastAsia" w:ascii="仿宋_GB2312" w:hAnsi="仿宋" w:eastAsia="仿宋_GB2312" w:cs="仿宋"/>
          <w:b w:val="0"/>
          <w:sz w:val="32"/>
          <w:szCs w:val="32"/>
        </w:rPr>
        <w:t>。其中：</w:t>
      </w:r>
      <w:bookmarkEnd w:id="37"/>
      <w:bookmarkEnd w:id="38"/>
      <w:bookmarkEnd w:id="39"/>
    </w:p>
    <w:p w14:paraId="29857965">
      <w:pPr>
        <w:spacing w:line="600" w:lineRule="exact"/>
        <w:ind w:firstLine="787" w:firstLineChars="246"/>
        <w:rPr>
          <w:rFonts w:ascii="仿宋_GB2312" w:eastAsia="仿宋_GB2312"/>
          <w:color w:val="000000"/>
          <w:sz w:val="32"/>
          <w:szCs w:val="32"/>
        </w:rPr>
      </w:pPr>
      <w:r>
        <w:rPr>
          <w:rStyle w:val="15"/>
          <w:rFonts w:ascii="仿宋_GB2312" w:eastAsia="仿宋_GB2312"/>
          <w:b w:val="0"/>
          <w:color w:val="000000"/>
          <w:sz w:val="32"/>
          <w:szCs w:val="32"/>
        </w:rPr>
        <w:t>1.</w:t>
      </w:r>
      <w:r>
        <w:rPr>
          <w:rStyle w:val="15"/>
          <w:rFonts w:hint="eastAsia" w:ascii="仿宋_GB2312" w:eastAsia="仿宋_GB2312"/>
          <w:b w:val="0"/>
          <w:color w:val="000000"/>
          <w:sz w:val="32"/>
          <w:szCs w:val="32"/>
        </w:rPr>
        <w:t>一般公共服务（类）人大事务（款）代表工作（项）支出决算为</w:t>
      </w:r>
      <w:r>
        <w:rPr>
          <w:rStyle w:val="15"/>
          <w:rFonts w:ascii="仿宋_GB2312" w:eastAsia="仿宋_GB2312"/>
          <w:b w:val="0"/>
          <w:color w:val="000000"/>
          <w:sz w:val="32"/>
          <w:szCs w:val="32"/>
        </w:rPr>
        <w:t>3.00</w:t>
      </w:r>
      <w:r>
        <w:rPr>
          <w:rStyle w:val="15"/>
          <w:rFonts w:hint="eastAsia" w:ascii="仿宋_GB2312" w:eastAsia="仿宋_GB2312"/>
          <w:b w:val="0"/>
          <w:color w:val="000000"/>
          <w:sz w:val="32"/>
          <w:szCs w:val="32"/>
        </w:rPr>
        <w:t>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；一般公共服务（类）政府办公厅（室）及相关机构事务（款）行政运行（项）支出决算为294.83万元，完成预算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；一般公共服务（类）政府办公厅（室）及相关机构事务（款）一般行政管理事务（项）支出决算为</w:t>
      </w:r>
      <w:r>
        <w:rPr>
          <w:rStyle w:val="15"/>
          <w:rFonts w:ascii="仿宋_GB2312" w:eastAsia="仿宋_GB2312"/>
          <w:b w:val="0"/>
          <w:color w:val="000000"/>
          <w:sz w:val="32"/>
          <w:szCs w:val="32"/>
        </w:rPr>
        <w:t>0.50</w:t>
      </w:r>
      <w:r>
        <w:rPr>
          <w:rStyle w:val="15"/>
          <w:rFonts w:hint="eastAsia" w:ascii="仿宋_GB2312" w:eastAsia="仿宋_GB2312"/>
          <w:b w:val="0"/>
          <w:color w:val="000000"/>
          <w:sz w:val="32"/>
          <w:szCs w:val="32"/>
        </w:rPr>
        <w:t>万元，完成</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；一般公共服务（类）政府办公厅（室）及相关机构事务（款）信访事务（项）支出决算为21.30万元，完成预算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；一般公共服务（类）政府办公厅（室）及相关机构事务（款）其他政府办公厅（室）及相关机构事务支出（项）支出决算为40.00万元，完成预算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w:t>
      </w:r>
      <w:r>
        <w:rPr>
          <w:rStyle w:val="15"/>
          <w:rFonts w:ascii="仿宋_GB2312" w:eastAsia="仿宋_GB2312"/>
          <w:b w:val="0"/>
          <w:color w:val="000000"/>
          <w:sz w:val="32"/>
          <w:szCs w:val="32"/>
        </w:rPr>
        <w:t xml:space="preserve"> </w:t>
      </w:r>
      <w:r>
        <w:rPr>
          <w:rStyle w:val="15"/>
          <w:rFonts w:hint="eastAsia" w:ascii="仿宋_GB2312" w:eastAsia="仿宋_GB2312"/>
          <w:b w:val="0"/>
          <w:color w:val="000000"/>
          <w:sz w:val="32"/>
          <w:szCs w:val="32"/>
        </w:rPr>
        <w:t>一般公共服务（类）财政事务（款）其他财政事务支出（项）支出决算为</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；一般公共服务（类）群众团体事务（款）其他群众团体事务支出（项）支出决算为</w:t>
      </w:r>
      <w:r>
        <w:rPr>
          <w:rStyle w:val="15"/>
          <w:rFonts w:ascii="仿宋_GB2312" w:eastAsia="仿宋_GB2312"/>
          <w:b w:val="0"/>
          <w:color w:val="000000"/>
          <w:sz w:val="32"/>
          <w:szCs w:val="32"/>
        </w:rPr>
        <w:t>0.50</w:t>
      </w:r>
      <w:r>
        <w:rPr>
          <w:rStyle w:val="15"/>
          <w:rFonts w:hint="eastAsia" w:ascii="仿宋_GB2312" w:eastAsia="仿宋_GB2312"/>
          <w:b w:val="0"/>
          <w:color w:val="000000"/>
          <w:sz w:val="32"/>
          <w:szCs w:val="32"/>
        </w:rPr>
        <w:t>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w:t>
      </w:r>
      <w:r>
        <w:rPr>
          <w:rFonts w:ascii="仿宋_GB2312" w:eastAsia="仿宋_GB2312"/>
          <w:color w:val="000000"/>
          <w:sz w:val="32"/>
          <w:szCs w:val="32"/>
        </w:rPr>
        <w:t xml:space="preserve"> </w:t>
      </w:r>
    </w:p>
    <w:p w14:paraId="2ACAFC48">
      <w:pPr>
        <w:spacing w:line="600" w:lineRule="exact"/>
        <w:ind w:firstLine="640" w:firstLineChars="200"/>
        <w:rPr>
          <w:rFonts w:ascii="仿宋_GB2312" w:eastAsia="仿宋_GB2312"/>
          <w:color w:val="000000"/>
          <w:sz w:val="32"/>
          <w:szCs w:val="32"/>
        </w:rPr>
      </w:pPr>
      <w:r>
        <w:rPr>
          <w:rStyle w:val="15"/>
          <w:rFonts w:hint="eastAsia" w:ascii="仿宋_GB2312" w:eastAsia="仿宋_GB2312"/>
          <w:b w:val="0"/>
          <w:color w:val="000000"/>
          <w:sz w:val="32"/>
          <w:szCs w:val="32"/>
        </w:rPr>
        <w:t>2</w:t>
      </w:r>
      <w:r>
        <w:rPr>
          <w:rStyle w:val="15"/>
          <w:rFonts w:ascii="仿宋_GB2312" w:eastAsia="仿宋_GB2312"/>
          <w:b w:val="0"/>
          <w:color w:val="000000"/>
          <w:sz w:val="32"/>
          <w:szCs w:val="32"/>
        </w:rPr>
        <w:t>.</w:t>
      </w:r>
      <w:r>
        <w:rPr>
          <w:rStyle w:val="15"/>
          <w:rFonts w:hint="eastAsia" w:ascii="仿宋_GB2312" w:eastAsia="仿宋_GB2312"/>
          <w:b w:val="0"/>
          <w:color w:val="000000"/>
          <w:sz w:val="32"/>
          <w:szCs w:val="32"/>
        </w:rPr>
        <w:t>社会保障和就业支出（类）行政事业单位养老支出（款）机关事业单位基本养老保险缴费支出（项）支出决算为30.30万元，完成预算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；社会保障和就业支出（类）行政事业单位养老支出（款）机关事业单位职业年金缴费支出（项）支出决算为14.43万元，完成预算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；社会保障和就业支出（类）行政事业单位养老支出（款）其他行政事业单位养老支出（项）支出决算为</w:t>
      </w:r>
      <w:r>
        <w:rPr>
          <w:rStyle w:val="15"/>
          <w:rFonts w:ascii="仿宋_GB2312" w:eastAsia="仿宋_GB2312"/>
          <w:b w:val="0"/>
          <w:color w:val="000000"/>
          <w:sz w:val="32"/>
          <w:szCs w:val="32"/>
        </w:rPr>
        <w:t xml:space="preserve"> </w:t>
      </w:r>
      <w:r>
        <w:rPr>
          <w:rStyle w:val="15"/>
          <w:rFonts w:hint="eastAsia" w:ascii="仿宋_GB2312" w:eastAsia="仿宋_GB2312"/>
          <w:b w:val="0"/>
          <w:color w:val="000000"/>
          <w:sz w:val="32"/>
          <w:szCs w:val="32"/>
        </w:rPr>
        <w:t>89.83万元，完成支出预算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；社会保障和就业支出（类）其他社会保障和就业支出（款）其他社会保障和就业支出（项）支出决算为0.58万元，完成预算100</w:t>
      </w:r>
      <w:r>
        <w:rPr>
          <w:rStyle w:val="15"/>
          <w:rFonts w:ascii="仿宋_GB2312" w:eastAsia="仿宋_GB2312"/>
          <w:b w:val="0"/>
          <w:color w:val="000000"/>
          <w:sz w:val="32"/>
          <w:szCs w:val="32"/>
        </w:rPr>
        <w:t>%</w:t>
      </w:r>
      <w:r>
        <w:rPr>
          <w:rStyle w:val="15"/>
          <w:rFonts w:hint="eastAsia" w:ascii="仿宋_GB2312" w:eastAsia="仿宋_GB2312"/>
          <w:b w:val="0"/>
          <w:color w:val="000000"/>
          <w:sz w:val="32"/>
          <w:szCs w:val="32"/>
        </w:rPr>
        <w:t>。</w:t>
      </w:r>
    </w:p>
    <w:p w14:paraId="0A54D577">
      <w:pPr>
        <w:spacing w:line="600" w:lineRule="exact"/>
        <w:ind w:firstLine="640" w:firstLineChars="200"/>
        <w:rPr>
          <w:rStyle w:val="15"/>
          <w:rFonts w:ascii="仿宋_GB2312" w:eastAsia="仿宋_GB2312"/>
          <w:b w:val="0"/>
          <w:color w:val="000000"/>
          <w:sz w:val="32"/>
          <w:szCs w:val="32"/>
        </w:rPr>
      </w:pPr>
      <w:r>
        <w:rPr>
          <w:rStyle w:val="15"/>
          <w:rFonts w:ascii="仿宋_GB2312" w:eastAsia="仿宋_GB2312"/>
          <w:b w:val="0"/>
          <w:color w:val="000000"/>
          <w:sz w:val="32"/>
          <w:szCs w:val="32"/>
        </w:rPr>
        <w:t>3.</w:t>
      </w:r>
      <w:r>
        <w:rPr>
          <w:rStyle w:val="15"/>
          <w:rFonts w:hint="eastAsia" w:ascii="仿宋_GB2312" w:eastAsia="仿宋_GB2312"/>
          <w:b w:val="0"/>
          <w:color w:val="000000"/>
          <w:sz w:val="32"/>
          <w:szCs w:val="32"/>
        </w:rPr>
        <w:t xml:space="preserve"> 卫生健康支出（类）公共卫生（款）突发公共卫生事件应急处理（项）支出决算为9.23万元，完成预算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；卫生健康支出（类）行政事业单位医疗（款）行政单位医疗（项）支出决算为6.80万元，完成预算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；卫生健康支出（类）行政事业单位医疗（款）事业单位医疗（项）支出决算为4.57万元，完成预算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；卫生健康支出（类）行政事业单位医疗（款）其他行政事业单位医疗支出（项）支出决算为4.14万元，完成预算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w:t>
      </w:r>
    </w:p>
    <w:p w14:paraId="57355914">
      <w:pPr>
        <w:spacing w:line="600" w:lineRule="exact"/>
        <w:ind w:firstLine="640" w:firstLineChars="200"/>
        <w:rPr>
          <w:rStyle w:val="15"/>
          <w:rFonts w:ascii="仿宋_GB2312" w:eastAsia="仿宋_GB2312"/>
          <w:b w:val="0"/>
          <w:color w:val="000000"/>
          <w:sz w:val="32"/>
          <w:szCs w:val="32"/>
        </w:rPr>
      </w:pPr>
      <w:r>
        <w:rPr>
          <w:rStyle w:val="15"/>
          <w:rFonts w:ascii="仿宋_GB2312" w:eastAsia="仿宋_GB2312"/>
          <w:b w:val="0"/>
          <w:color w:val="000000"/>
          <w:sz w:val="32"/>
          <w:szCs w:val="32"/>
        </w:rPr>
        <w:t>4</w:t>
      </w:r>
      <w:r>
        <w:rPr>
          <w:rStyle w:val="15"/>
          <w:rFonts w:hint="eastAsia" w:ascii="仿宋_GB2312" w:eastAsia="仿宋_GB2312"/>
          <w:b w:val="0"/>
          <w:color w:val="000000"/>
          <w:sz w:val="32"/>
          <w:szCs w:val="32"/>
        </w:rPr>
        <w:t>．城乡社区支出（类）城乡社区管理事务（款）其他城乡社区管理事务支出（项）支出决算为</w:t>
      </w:r>
      <w:r>
        <w:rPr>
          <w:rStyle w:val="15"/>
          <w:rFonts w:ascii="仿宋_GB2312" w:eastAsia="仿宋_GB2312"/>
          <w:b w:val="0"/>
          <w:color w:val="000000"/>
          <w:sz w:val="32"/>
          <w:szCs w:val="32"/>
        </w:rPr>
        <w:t>18.38</w:t>
      </w:r>
      <w:r>
        <w:rPr>
          <w:rStyle w:val="15"/>
          <w:rFonts w:hint="eastAsia" w:ascii="仿宋_GB2312" w:eastAsia="仿宋_GB2312"/>
          <w:b w:val="0"/>
          <w:color w:val="000000"/>
          <w:sz w:val="32"/>
          <w:szCs w:val="32"/>
        </w:rPr>
        <w:t>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w:t>
      </w:r>
    </w:p>
    <w:p w14:paraId="6F2D7C6D">
      <w:pPr>
        <w:spacing w:line="600" w:lineRule="exact"/>
        <w:ind w:firstLine="640" w:firstLineChars="200"/>
        <w:rPr>
          <w:rStyle w:val="15"/>
          <w:rFonts w:ascii="仿宋_GB2312" w:eastAsia="仿宋_GB2312"/>
          <w:b w:val="0"/>
          <w:color w:val="000000"/>
          <w:sz w:val="32"/>
          <w:szCs w:val="32"/>
        </w:rPr>
      </w:pPr>
      <w:r>
        <w:rPr>
          <w:rStyle w:val="15"/>
          <w:rFonts w:hint="eastAsia" w:ascii="仿宋_GB2312" w:eastAsia="仿宋_GB2312"/>
          <w:b w:val="0"/>
          <w:color w:val="000000"/>
          <w:sz w:val="32"/>
          <w:szCs w:val="32"/>
        </w:rPr>
        <w:t>5．农林水支出（类）农业农村（款）事业运行（项）支出预算为140.52万元，完成预算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；农林水支出（类）农业农村（款）对高校毕业生到基层任职补助（项）支出预算为18.72万元，完成预算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；农林水支出（类）农业农村（款）其他农业农村支出（项）支出预算为17.10万元，完成预算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；农林水支出（类）农村综合改革（款）对村民委员会和村党支部的补助（项）支出预算为341.37万元，完成预算100</w:t>
      </w:r>
      <w:r>
        <w:rPr>
          <w:rStyle w:val="15"/>
          <w:rFonts w:ascii="仿宋_GB2312" w:eastAsia="仿宋_GB2312"/>
          <w:b w:val="0"/>
          <w:color w:val="000000"/>
          <w:sz w:val="32"/>
          <w:szCs w:val="32"/>
        </w:rPr>
        <w:t>%</w:t>
      </w:r>
      <w:r>
        <w:rPr>
          <w:rStyle w:val="15"/>
          <w:rFonts w:hint="eastAsia" w:ascii="仿宋_GB2312" w:eastAsia="仿宋_GB2312"/>
          <w:b w:val="0"/>
          <w:color w:val="000000"/>
          <w:sz w:val="32"/>
          <w:szCs w:val="32"/>
        </w:rPr>
        <w:t>；农林水支出（类）农村综合改革（款）其他农村综合改革支出（项）支出预算为</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万元，完成预算支出的</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；农林水支出（类）其他农林水支出（款）其他农林水支出（项）支出预算为28.51万元，完成预算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w:t>
      </w:r>
    </w:p>
    <w:p w14:paraId="78CE732F">
      <w:pPr>
        <w:spacing w:line="600" w:lineRule="exact"/>
        <w:ind w:firstLine="640" w:firstLineChars="200"/>
        <w:rPr>
          <w:rFonts w:ascii="仿宋_GB2312" w:eastAsia="仿宋_GB2312"/>
          <w:color w:val="000000"/>
          <w:sz w:val="32"/>
          <w:szCs w:val="32"/>
        </w:rPr>
      </w:pPr>
      <w:r>
        <w:rPr>
          <w:rStyle w:val="15"/>
          <w:rFonts w:ascii="仿宋_GB2312" w:eastAsia="仿宋_GB2312"/>
          <w:b w:val="0"/>
          <w:color w:val="000000"/>
          <w:sz w:val="32"/>
          <w:szCs w:val="32"/>
        </w:rPr>
        <w:t>6</w:t>
      </w:r>
      <w:r>
        <w:rPr>
          <w:rStyle w:val="15"/>
          <w:rFonts w:hint="eastAsia" w:ascii="仿宋_GB2312" w:eastAsia="仿宋_GB2312"/>
          <w:b w:val="0"/>
          <w:color w:val="000000"/>
          <w:sz w:val="32"/>
          <w:szCs w:val="32"/>
        </w:rPr>
        <w:t>．住房保障支出（类）住房改革支出（款）住房公积金（项）支出决算为31.00万元，完成预算</w:t>
      </w:r>
      <w:r>
        <w:rPr>
          <w:rStyle w:val="15"/>
          <w:rFonts w:ascii="仿宋_GB2312" w:eastAsia="仿宋_GB2312"/>
          <w:b w:val="0"/>
          <w:color w:val="000000"/>
          <w:sz w:val="32"/>
          <w:szCs w:val="32"/>
        </w:rPr>
        <w:t>100%</w:t>
      </w:r>
      <w:r>
        <w:rPr>
          <w:rStyle w:val="15"/>
          <w:rFonts w:hint="eastAsia" w:ascii="仿宋_GB2312" w:eastAsia="仿宋_GB2312"/>
          <w:b w:val="0"/>
          <w:color w:val="000000"/>
          <w:sz w:val="32"/>
          <w:szCs w:val="32"/>
        </w:rPr>
        <w:t>。</w:t>
      </w:r>
    </w:p>
    <w:p w14:paraId="4A66B8C6">
      <w:pPr>
        <w:tabs>
          <w:tab w:val="right" w:pos="8306"/>
        </w:tabs>
        <w:spacing w:line="600" w:lineRule="exact"/>
        <w:ind w:firstLine="640"/>
        <w:outlineLvl w:val="1"/>
        <w:rPr>
          <w:rStyle w:val="18"/>
          <w:rFonts w:ascii="黑体" w:hAnsi="黑体" w:eastAsia="黑体" w:cs="黑体"/>
          <w:b w:val="0"/>
          <w:bCs w:val="0"/>
        </w:rPr>
      </w:pPr>
      <w:bookmarkStart w:id="40" w:name="_Toc15377214"/>
      <w:bookmarkStart w:id="41" w:name="_Toc15396608"/>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般公共预算财政拨款基本支出决算情况说明</w:t>
      </w:r>
      <w:bookmarkEnd w:id="40"/>
      <w:bookmarkEnd w:id="41"/>
    </w:p>
    <w:p w14:paraId="4D79A5F4">
      <w:pPr>
        <w:tabs>
          <w:tab w:val="right" w:pos="8306"/>
        </w:tabs>
        <w:spacing w:line="600" w:lineRule="exact"/>
        <w:ind w:firstLine="640"/>
        <w:outlineLvl w:val="1"/>
        <w:rPr>
          <w:rFonts w:ascii="仿宋_GB2312" w:hAnsi="仿宋" w:eastAsia="仿宋_GB2312"/>
          <w:sz w:val="32"/>
          <w:szCs w:val="32"/>
        </w:rPr>
      </w:pPr>
      <w:r>
        <w:rPr>
          <w:rFonts w:ascii="仿宋_GB2312" w:hAnsi="仿宋" w:eastAsia="仿宋_GB2312" w:cs="仿宋"/>
          <w:sz w:val="32"/>
          <w:szCs w:val="32"/>
        </w:rPr>
        <w:t>2020年</w:t>
      </w:r>
      <w:r>
        <w:rPr>
          <w:rFonts w:hint="eastAsia" w:ascii="仿宋_GB2312" w:hAnsi="仿宋" w:eastAsia="仿宋_GB2312" w:cs="仿宋"/>
          <w:sz w:val="32"/>
          <w:szCs w:val="32"/>
        </w:rPr>
        <w:t>一般公共预算财政拨款基本支出654.10万元，其中：</w:t>
      </w:r>
    </w:p>
    <w:p w14:paraId="24E5CCCB">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人员经费591.10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14:paraId="4F110542">
      <w:pPr>
        <w:spacing w:line="600" w:lineRule="exact"/>
        <w:ind w:firstLine="645"/>
        <w:rPr>
          <w:rFonts w:ascii="仿宋_GB2312" w:hAnsi="仿宋" w:eastAsia="仿宋_GB2312"/>
          <w:sz w:val="32"/>
          <w:szCs w:val="32"/>
        </w:rPr>
      </w:pPr>
      <w:r>
        <w:rPr>
          <w:rFonts w:hint="eastAsia" w:ascii="仿宋_GB2312" w:hAnsi="仿宋" w:eastAsia="仿宋_GB2312" w:cs="仿宋"/>
          <w:sz w:val="32"/>
          <w:szCs w:val="32"/>
        </w:rPr>
        <w:t>公用经费63.00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1BD4366">
      <w:pPr>
        <w:spacing w:line="600" w:lineRule="exact"/>
        <w:ind w:firstLine="640"/>
        <w:outlineLvl w:val="1"/>
        <w:rPr>
          <w:rStyle w:val="18"/>
          <w:rFonts w:ascii="黑体" w:hAnsi="黑体" w:eastAsia="黑体" w:cs="Times New Roman"/>
          <w:b w:val="0"/>
          <w:bCs w:val="0"/>
        </w:rPr>
      </w:pPr>
      <w:bookmarkStart w:id="42" w:name="_Toc15377215"/>
      <w:bookmarkStart w:id="43" w:name="_Toc15396609"/>
      <w:r>
        <w:rPr>
          <w:rFonts w:hint="eastAsia" w:ascii="黑体" w:eastAsia="黑体" w:cs="黑体"/>
          <w:sz w:val="32"/>
          <w:szCs w:val="32"/>
        </w:rPr>
        <w:t>七、</w:t>
      </w:r>
      <w:r>
        <w:rPr>
          <w:rStyle w:val="18"/>
          <w:rFonts w:hint="eastAsia" w:ascii="黑体" w:hAnsi="黑体" w:eastAsia="黑体" w:cs="黑体"/>
        </w:rPr>
        <w:t>“</w:t>
      </w:r>
      <w:r>
        <w:rPr>
          <w:rStyle w:val="18"/>
          <w:rFonts w:hint="eastAsia" w:ascii="黑体" w:hAnsi="黑体" w:eastAsia="黑体" w:cs="黑体"/>
          <w:b w:val="0"/>
          <w:bCs w:val="0"/>
        </w:rPr>
        <w:t>三公”经费财政拨款支出决算情况说明</w:t>
      </w:r>
      <w:bookmarkEnd w:id="42"/>
      <w:bookmarkEnd w:id="43"/>
    </w:p>
    <w:p w14:paraId="62E0603D">
      <w:pPr>
        <w:spacing w:line="600" w:lineRule="exact"/>
        <w:ind w:firstLine="640"/>
        <w:outlineLvl w:val="2"/>
        <w:rPr>
          <w:rFonts w:ascii="楷体_GB2312" w:hAnsi="仿宋" w:eastAsia="楷体_GB2312"/>
          <w:b/>
          <w:bCs/>
          <w:sz w:val="32"/>
          <w:szCs w:val="32"/>
        </w:rPr>
      </w:pPr>
      <w:bookmarkStart w:id="44" w:name="_Toc15377216"/>
      <w:r>
        <w:rPr>
          <w:rFonts w:hint="eastAsia" w:ascii="楷体_GB2312" w:hAnsi="仿宋" w:eastAsia="楷体_GB2312" w:cs="仿宋"/>
          <w:b/>
          <w:bCs/>
          <w:sz w:val="32"/>
          <w:szCs w:val="32"/>
        </w:rPr>
        <w:t>（一）“三公”经费财政拨款支出决算总体情况说明</w:t>
      </w:r>
      <w:bookmarkEnd w:id="44"/>
    </w:p>
    <w:p w14:paraId="4B8936C0">
      <w:pPr>
        <w:spacing w:line="600" w:lineRule="exact"/>
        <w:ind w:firstLine="640"/>
        <w:rPr>
          <w:rFonts w:ascii="仿宋_GB2312" w:hAnsi="仿宋" w:eastAsia="仿宋_GB2312"/>
          <w:sz w:val="32"/>
          <w:szCs w:val="32"/>
        </w:rPr>
      </w:pPr>
      <w:r>
        <w:rPr>
          <w:rFonts w:ascii="仿宋_GB2312" w:hAnsi="仿宋" w:eastAsia="仿宋_GB2312" w:cs="仿宋"/>
          <w:sz w:val="32"/>
          <w:szCs w:val="32"/>
        </w:rPr>
        <w:t>2020年</w:t>
      </w:r>
      <w:r>
        <w:rPr>
          <w:rFonts w:hint="eastAsia" w:ascii="仿宋_GB2312" w:hAnsi="仿宋" w:eastAsia="仿宋_GB2312" w:cs="仿宋"/>
          <w:sz w:val="32"/>
          <w:szCs w:val="32"/>
        </w:rPr>
        <w:t>“三公”经费财政拨款支出决算为5.28万元，完成预算90.26</w:t>
      </w:r>
      <w:r>
        <w:rPr>
          <w:rFonts w:ascii="仿宋_GB2312" w:hAnsi="仿宋" w:eastAsia="仿宋_GB2312" w:cs="仿宋"/>
          <w:sz w:val="32"/>
          <w:szCs w:val="32"/>
        </w:rPr>
        <w:t>%</w:t>
      </w:r>
      <w:r>
        <w:rPr>
          <w:rFonts w:hint="eastAsia" w:ascii="仿宋_GB2312" w:hAnsi="仿宋" w:eastAsia="仿宋_GB2312" w:cs="仿宋"/>
          <w:sz w:val="32"/>
          <w:szCs w:val="32"/>
        </w:rPr>
        <w:t>，决算数小于预算数的主要原因是：公务接待费减少</w:t>
      </w:r>
      <w:r>
        <w:rPr>
          <w:rFonts w:ascii="仿宋_GB2312" w:hAnsi="仿宋" w:eastAsia="仿宋_GB2312" w:cs="仿宋"/>
          <w:sz w:val="32"/>
          <w:szCs w:val="32"/>
        </w:rPr>
        <w:t>0.</w:t>
      </w:r>
      <w:r>
        <w:rPr>
          <w:rFonts w:hint="eastAsia" w:ascii="仿宋_GB2312" w:hAnsi="仿宋" w:eastAsia="仿宋_GB2312" w:cs="仿宋"/>
          <w:sz w:val="32"/>
          <w:szCs w:val="32"/>
        </w:rPr>
        <w:t>36万元，减幅24.00</w:t>
      </w:r>
      <w:r>
        <w:rPr>
          <w:rFonts w:ascii="仿宋_GB2312" w:hAnsi="仿宋" w:eastAsia="仿宋_GB2312" w:cs="仿宋"/>
          <w:sz w:val="32"/>
          <w:szCs w:val="32"/>
        </w:rPr>
        <w:t>%</w:t>
      </w:r>
      <w:r>
        <w:rPr>
          <w:rFonts w:hint="eastAsia" w:ascii="仿宋_GB2312" w:hAnsi="仿宋" w:eastAsia="仿宋_GB2312" w:cs="仿宋"/>
          <w:sz w:val="32"/>
          <w:szCs w:val="32"/>
        </w:rPr>
        <w:t>；公务车运行维护费减少</w:t>
      </w:r>
      <w:r>
        <w:rPr>
          <w:rFonts w:ascii="仿宋_GB2312" w:hAnsi="仿宋" w:eastAsia="仿宋_GB2312" w:cs="仿宋"/>
          <w:sz w:val="32"/>
          <w:szCs w:val="32"/>
        </w:rPr>
        <w:t>0.2</w:t>
      </w:r>
      <w:r>
        <w:rPr>
          <w:rFonts w:hint="eastAsia" w:ascii="仿宋_GB2312" w:hAnsi="仿宋" w:eastAsia="仿宋_GB2312" w:cs="仿宋"/>
          <w:sz w:val="32"/>
          <w:szCs w:val="32"/>
        </w:rPr>
        <w:t>1万元，减幅4.83</w:t>
      </w:r>
      <w:r>
        <w:rPr>
          <w:rFonts w:ascii="仿宋_GB2312" w:hAnsi="仿宋" w:eastAsia="仿宋_GB2312" w:cs="仿宋"/>
          <w:sz w:val="32"/>
          <w:szCs w:val="32"/>
        </w:rPr>
        <w:t>%</w:t>
      </w:r>
      <w:r>
        <w:rPr>
          <w:rFonts w:hint="eastAsia" w:ascii="仿宋_GB2312" w:hAnsi="仿宋" w:eastAsia="仿宋_GB2312" w:cs="仿宋"/>
          <w:sz w:val="32"/>
          <w:szCs w:val="32"/>
        </w:rPr>
        <w:t>。</w:t>
      </w:r>
    </w:p>
    <w:p w14:paraId="123B2656">
      <w:pPr>
        <w:spacing w:line="600" w:lineRule="exact"/>
        <w:ind w:firstLine="640"/>
        <w:outlineLvl w:val="2"/>
        <w:rPr>
          <w:rFonts w:ascii="楷体_GB2312" w:hAnsi="仿宋" w:eastAsia="楷体_GB2312"/>
          <w:b/>
          <w:bCs/>
          <w:sz w:val="32"/>
          <w:szCs w:val="32"/>
        </w:rPr>
      </w:pPr>
      <w:bookmarkStart w:id="45" w:name="_Toc15377217"/>
      <w:r>
        <w:rPr>
          <w:rFonts w:hint="eastAsia" w:ascii="楷体_GB2312" w:hAnsi="仿宋" w:eastAsia="楷体_GB2312" w:cs="仿宋"/>
          <w:b/>
          <w:bCs/>
          <w:sz w:val="32"/>
          <w:szCs w:val="32"/>
        </w:rPr>
        <w:t>（二）“三公”经费财政拨款支出决算具体情况说明</w:t>
      </w:r>
      <w:bookmarkEnd w:id="45"/>
    </w:p>
    <w:p w14:paraId="6891155A">
      <w:pPr>
        <w:spacing w:line="600" w:lineRule="exact"/>
        <w:ind w:firstLine="640"/>
        <w:rPr>
          <w:rFonts w:ascii="仿宋_GB2312" w:hAnsi="仿宋" w:eastAsia="仿宋_GB2312"/>
          <w:sz w:val="32"/>
          <w:szCs w:val="32"/>
        </w:rPr>
      </w:pPr>
      <w:r>
        <w:rPr>
          <w:rFonts w:ascii="仿宋_GB2312" w:hAnsi="仿宋" w:eastAsia="仿宋_GB2312" w:cs="仿宋"/>
          <w:sz w:val="32"/>
          <w:szCs w:val="32"/>
        </w:rPr>
        <w:t>2020年</w:t>
      </w:r>
      <w:r>
        <w:rPr>
          <w:rFonts w:hint="eastAsia" w:ascii="仿宋_GB2312" w:hAnsi="仿宋" w:eastAsia="仿宋_GB2312" w:cs="仿宋"/>
          <w:sz w:val="32"/>
          <w:szCs w:val="32"/>
        </w:rPr>
        <w:t>“三公”经费财政拨款支出决算中，因公出国（境）费支出决算</w:t>
      </w:r>
      <w:r>
        <w:rPr>
          <w:rFonts w:ascii="仿宋_GB2312" w:hAnsi="仿宋" w:eastAsia="仿宋_GB2312" w:cs="仿宋"/>
          <w:sz w:val="32"/>
          <w:szCs w:val="32"/>
        </w:rPr>
        <w:t>0.00</w:t>
      </w:r>
      <w:r>
        <w:rPr>
          <w:rFonts w:hint="eastAsia" w:ascii="仿宋_GB2312" w:hAnsi="仿宋" w:eastAsia="仿宋_GB2312" w:cs="仿宋"/>
          <w:sz w:val="32"/>
          <w:szCs w:val="32"/>
        </w:rPr>
        <w:t>万元，占</w:t>
      </w:r>
      <w:r>
        <w:rPr>
          <w:rFonts w:ascii="仿宋_GB2312" w:hAnsi="仿宋" w:eastAsia="仿宋_GB2312" w:cs="仿宋"/>
          <w:sz w:val="32"/>
          <w:szCs w:val="32"/>
        </w:rPr>
        <w:t>0.00%</w:t>
      </w:r>
      <w:r>
        <w:rPr>
          <w:rFonts w:hint="eastAsia" w:ascii="仿宋_GB2312" w:hAnsi="仿宋" w:eastAsia="仿宋_GB2312" w:cs="仿宋"/>
          <w:sz w:val="32"/>
          <w:szCs w:val="32"/>
        </w:rPr>
        <w:t>；公务用车购置及运行维护费支出决算</w:t>
      </w:r>
      <w:r>
        <w:rPr>
          <w:rFonts w:ascii="仿宋_GB2312" w:hAnsi="仿宋" w:eastAsia="仿宋_GB2312" w:cs="仿宋"/>
          <w:sz w:val="32"/>
          <w:szCs w:val="32"/>
        </w:rPr>
        <w:t>4.</w:t>
      </w:r>
      <w:r>
        <w:rPr>
          <w:rFonts w:hint="eastAsia" w:ascii="仿宋_GB2312" w:hAnsi="仿宋" w:eastAsia="仿宋_GB2312" w:cs="仿宋"/>
          <w:sz w:val="32"/>
          <w:szCs w:val="32"/>
        </w:rPr>
        <w:t>14万元，占78.41</w:t>
      </w:r>
      <w:r>
        <w:rPr>
          <w:rFonts w:ascii="仿宋_GB2312" w:hAnsi="仿宋" w:eastAsia="仿宋_GB2312" w:cs="仿宋"/>
          <w:sz w:val="32"/>
          <w:szCs w:val="32"/>
        </w:rPr>
        <w:t>%</w:t>
      </w:r>
      <w:r>
        <w:rPr>
          <w:rFonts w:hint="eastAsia" w:ascii="仿宋_GB2312" w:hAnsi="仿宋" w:eastAsia="仿宋_GB2312" w:cs="仿宋"/>
          <w:sz w:val="32"/>
          <w:szCs w:val="32"/>
        </w:rPr>
        <w:t>；公务接待费支出决算</w:t>
      </w:r>
      <w:r>
        <w:rPr>
          <w:rFonts w:ascii="仿宋_GB2312" w:hAnsi="仿宋" w:eastAsia="仿宋_GB2312" w:cs="仿宋"/>
          <w:sz w:val="32"/>
          <w:szCs w:val="32"/>
        </w:rPr>
        <w:t>1.</w:t>
      </w:r>
      <w:r>
        <w:rPr>
          <w:rFonts w:hint="eastAsia" w:ascii="仿宋_GB2312" w:hAnsi="仿宋" w:eastAsia="仿宋_GB2312" w:cs="仿宋"/>
          <w:sz w:val="32"/>
          <w:szCs w:val="32"/>
        </w:rPr>
        <w:t>14万元，占21.59</w:t>
      </w:r>
      <w:r>
        <w:rPr>
          <w:rFonts w:ascii="仿宋_GB2312" w:hAnsi="仿宋" w:eastAsia="仿宋_GB2312" w:cs="仿宋"/>
          <w:sz w:val="32"/>
          <w:szCs w:val="32"/>
        </w:rPr>
        <w:t>%</w:t>
      </w:r>
      <w:r>
        <w:rPr>
          <w:rFonts w:hint="eastAsia" w:ascii="仿宋_GB2312" w:hAnsi="仿宋" w:eastAsia="仿宋_GB2312" w:cs="仿宋"/>
          <w:sz w:val="32"/>
          <w:szCs w:val="32"/>
        </w:rPr>
        <w:t>。具体情况如下：</w:t>
      </w:r>
    </w:p>
    <w:p w14:paraId="2962359F">
      <w:pPr>
        <w:spacing w:line="600" w:lineRule="exact"/>
        <w:ind w:firstLine="64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8</w:t>
      </w:r>
      <w:r>
        <w:rPr>
          <w:rFonts w:hint="eastAsia" w:ascii="仿宋" w:hAnsi="仿宋" w:eastAsia="仿宋" w:cs="仿宋"/>
          <w:sz w:val="32"/>
          <w:szCs w:val="32"/>
        </w:rPr>
        <w:t>：“三公”经费财政拨款支出结构）</w:t>
      </w:r>
    </w:p>
    <w:p w14:paraId="33BB4FCC">
      <w:pPr>
        <w:spacing w:line="600" w:lineRule="exact"/>
        <w:ind w:firstLine="640"/>
        <w:rPr>
          <w:rFonts w:ascii="仿宋" w:hAnsi="仿宋" w:eastAsia="仿宋"/>
          <w:sz w:val="32"/>
          <w:szCs w:val="32"/>
        </w:rPr>
      </w:pPr>
      <w:r>
        <w:pict>
          <v:shape id="_x0000_s1032" o:spid="_x0000_s1032" o:spt="75" type="#_x0000_t75" style="position:absolute;left:0pt;margin-left:0pt;margin-top:0pt;height:164.5pt;width:391.55pt;mso-wrap-distance-bottom:0pt;mso-wrap-distance-top:0pt;z-index:251659264;mso-width-relative:page;mso-height-relative:page;" o:ole="t" filled="f" o:preferrelative="t" stroked="f" coordsize="21600,21600">
            <v:path/>
            <v:fill on="f" focussize="0,0"/>
            <v:stroke on="f" joinstyle="miter"/>
            <v:imagedata r:id="rId19" o:title=""/>
            <o:lock v:ext="edit" aspectratio="t"/>
            <w10:wrap type="topAndBottom"/>
          </v:shape>
          <o:OLEObject Type="Embed" ProgID="MSGraph.Chart.8" ShapeID="_x0000_s1032" DrawAspect="Content" ObjectID="_1468075731" r:id="rId18">
            <o:LockedField>false</o:LockedField>
          </o:OLEObject>
        </w:pict>
      </w:r>
    </w:p>
    <w:p w14:paraId="1E397F32">
      <w:pPr>
        <w:spacing w:line="600" w:lineRule="exact"/>
        <w:ind w:firstLine="640"/>
        <w:rPr>
          <w:rFonts w:ascii="仿宋_GB2312" w:eastAsia="仿宋_GB2312"/>
          <w:bCs/>
          <w:sz w:val="32"/>
          <w:szCs w:val="32"/>
        </w:rPr>
      </w:pPr>
      <w:r>
        <w:rPr>
          <w:rFonts w:ascii="仿宋_GB2312" w:eastAsia="仿宋_GB2312" w:cs="仿宋_GB2312"/>
          <w:bCs/>
          <w:sz w:val="32"/>
          <w:szCs w:val="32"/>
        </w:rPr>
        <w:t>1.</w:t>
      </w:r>
      <w:r>
        <w:rPr>
          <w:rFonts w:hint="eastAsia" w:ascii="仿宋_GB2312" w:eastAsia="仿宋_GB2312" w:cs="仿宋_GB2312"/>
          <w:bCs/>
          <w:sz w:val="32"/>
          <w:szCs w:val="32"/>
        </w:rPr>
        <w:t>因公出国（境）经费本年没有预算支出</w:t>
      </w:r>
      <w:r>
        <w:rPr>
          <w:rFonts w:hint="eastAsia" w:ascii="仿宋_GB2312" w:eastAsia="仿宋_GB2312" w:cs="仿宋_GB2312"/>
          <w:sz w:val="32"/>
          <w:szCs w:val="32"/>
        </w:rPr>
        <w:t>。</w:t>
      </w:r>
    </w:p>
    <w:p w14:paraId="59F57834">
      <w:pPr>
        <w:spacing w:line="600" w:lineRule="exact"/>
        <w:ind w:firstLine="640"/>
        <w:rPr>
          <w:rFonts w:ascii="仿宋_GB2312" w:eastAsia="仿宋_GB2312"/>
          <w:bCs/>
          <w:sz w:val="32"/>
          <w:szCs w:val="32"/>
        </w:rPr>
      </w:pPr>
      <w:r>
        <w:rPr>
          <w:rFonts w:ascii="仿宋_GB2312" w:eastAsia="仿宋_GB2312" w:cs="仿宋_GB2312"/>
          <w:bCs/>
          <w:sz w:val="32"/>
          <w:szCs w:val="32"/>
        </w:rPr>
        <w:t>2.</w:t>
      </w:r>
      <w:r>
        <w:rPr>
          <w:rFonts w:hint="eastAsia" w:ascii="仿宋_GB2312" w:eastAsia="仿宋_GB2312" w:cs="仿宋_GB2312"/>
          <w:bCs/>
          <w:sz w:val="32"/>
          <w:szCs w:val="32"/>
        </w:rPr>
        <w:t>公务用车购置及运行维护费决算支出</w:t>
      </w:r>
      <w:r>
        <w:rPr>
          <w:rFonts w:ascii="仿宋_GB2312" w:eastAsia="仿宋_GB2312" w:cs="仿宋_GB2312"/>
          <w:sz w:val="32"/>
          <w:szCs w:val="32"/>
        </w:rPr>
        <w:t>4.</w:t>
      </w:r>
      <w:r>
        <w:rPr>
          <w:rFonts w:hint="eastAsia" w:ascii="仿宋_GB2312" w:eastAsia="仿宋_GB2312" w:cs="仿宋_GB2312"/>
          <w:sz w:val="32"/>
          <w:szCs w:val="32"/>
        </w:rPr>
        <w:t>14万元</w:t>
      </w:r>
      <w:r>
        <w:rPr>
          <w:rFonts w:ascii="仿宋_GB2312" w:eastAsia="仿宋_GB2312" w:cs="仿宋_GB2312"/>
          <w:sz w:val="32"/>
          <w:szCs w:val="32"/>
        </w:rPr>
        <w:t>,</w:t>
      </w:r>
      <w:r>
        <w:rPr>
          <w:rStyle w:val="15"/>
          <w:rFonts w:hint="eastAsia" w:ascii="仿宋_GB2312" w:hAnsi="仿宋" w:eastAsia="仿宋_GB2312" w:cs="仿宋"/>
          <w:b w:val="0"/>
          <w:bCs w:val="0"/>
          <w:sz w:val="32"/>
          <w:szCs w:val="32"/>
        </w:rPr>
        <w:t>完成预算95.17%。</w:t>
      </w:r>
      <w:r>
        <w:rPr>
          <w:rFonts w:hint="eastAsia" w:ascii="仿宋_GB2312" w:eastAsia="仿宋_GB2312" w:cs="仿宋_GB2312"/>
          <w:sz w:val="32"/>
          <w:szCs w:val="32"/>
        </w:rPr>
        <w:t>公务用车购置及运行维护费支出决算比</w:t>
      </w:r>
      <w:r>
        <w:rPr>
          <w:rFonts w:ascii="仿宋_GB2312" w:eastAsia="仿宋_GB2312" w:cs="仿宋_GB2312"/>
          <w:sz w:val="32"/>
          <w:szCs w:val="32"/>
        </w:rPr>
        <w:t>2020年</w:t>
      </w:r>
      <w:r>
        <w:rPr>
          <w:rFonts w:hint="eastAsia" w:ascii="仿宋_GB2312" w:eastAsia="仿宋_GB2312" w:cs="仿宋_GB2312"/>
          <w:sz w:val="32"/>
          <w:szCs w:val="32"/>
        </w:rPr>
        <w:t>预算减少</w:t>
      </w:r>
      <w:r>
        <w:rPr>
          <w:rFonts w:ascii="仿宋_GB2312" w:eastAsia="仿宋_GB2312" w:cs="仿宋_GB2312"/>
          <w:sz w:val="32"/>
          <w:szCs w:val="32"/>
        </w:rPr>
        <w:t>0.</w:t>
      </w:r>
      <w:r>
        <w:rPr>
          <w:rFonts w:hint="eastAsia" w:ascii="仿宋_GB2312" w:eastAsia="仿宋_GB2312" w:cs="仿宋_GB2312"/>
          <w:sz w:val="32"/>
          <w:szCs w:val="32"/>
        </w:rPr>
        <w:t>64万元，下降13.39</w:t>
      </w:r>
      <w:r>
        <w:rPr>
          <w:rFonts w:ascii="仿宋_GB2312" w:eastAsia="仿宋_GB2312" w:cs="仿宋_GB2312"/>
          <w:sz w:val="32"/>
          <w:szCs w:val="32"/>
        </w:rPr>
        <w:t>%</w:t>
      </w:r>
      <w:r>
        <w:rPr>
          <w:rFonts w:hint="eastAsia" w:ascii="仿宋_GB2312" w:eastAsia="仿宋_GB2312" w:cs="仿宋_GB2312"/>
          <w:sz w:val="32"/>
          <w:szCs w:val="32"/>
        </w:rPr>
        <w:t>。主要原因是：日常工作公务用车有所减少。</w:t>
      </w:r>
    </w:p>
    <w:p w14:paraId="7F8587B3">
      <w:pPr>
        <w:spacing w:line="600" w:lineRule="exact"/>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Cs/>
          <w:sz w:val="32"/>
          <w:szCs w:val="32"/>
        </w:rPr>
        <w:t>公务用车购置支出</w:t>
      </w:r>
      <w:r>
        <w:rPr>
          <w:rFonts w:ascii="仿宋_GB2312" w:eastAsia="仿宋_GB2312" w:cs="仿宋_GB2312"/>
          <w:sz w:val="32"/>
          <w:szCs w:val="32"/>
        </w:rPr>
        <w:t>0.00</w:t>
      </w:r>
      <w:r>
        <w:rPr>
          <w:rFonts w:hint="eastAsia" w:ascii="仿宋_GB2312" w:eastAsia="仿宋_GB2312" w:cs="仿宋_GB2312"/>
          <w:sz w:val="32"/>
          <w:szCs w:val="32"/>
        </w:rPr>
        <w:t>万元。全年按规定更新购置公务用车</w:t>
      </w:r>
      <w:r>
        <w:rPr>
          <w:rFonts w:ascii="仿宋_GB2312" w:eastAsia="仿宋_GB2312" w:cs="仿宋_GB2312"/>
          <w:sz w:val="32"/>
          <w:szCs w:val="32"/>
        </w:rPr>
        <w:t>0</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0.00</w:t>
      </w:r>
      <w:r>
        <w:rPr>
          <w:rFonts w:hint="eastAsia" w:ascii="仿宋_GB2312" w:eastAsia="仿宋_GB2312" w:cs="仿宋_GB2312"/>
          <w:sz w:val="32"/>
          <w:szCs w:val="32"/>
        </w:rPr>
        <w:t>万元，越野车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0.00</w:t>
      </w:r>
      <w:r>
        <w:rPr>
          <w:rFonts w:hint="eastAsia" w:ascii="仿宋_GB2312" w:eastAsia="仿宋_GB2312" w:cs="仿宋_GB2312"/>
          <w:sz w:val="32"/>
          <w:szCs w:val="32"/>
        </w:rPr>
        <w:t>万元，载客汽车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0.00</w:t>
      </w:r>
      <w:r>
        <w:rPr>
          <w:rFonts w:hint="eastAsia" w:ascii="仿宋_GB2312" w:eastAsia="仿宋_GB2312" w:cs="仿宋_GB2312"/>
          <w:sz w:val="32"/>
          <w:szCs w:val="32"/>
        </w:rPr>
        <w:t>万元。截至</w:t>
      </w:r>
      <w:r>
        <w:rPr>
          <w:rFonts w:ascii="仿宋_GB2312" w:eastAsia="仿宋_GB2312" w:cs="仿宋_GB2312"/>
          <w:sz w:val="32"/>
          <w:szCs w:val="32"/>
        </w:rPr>
        <w:t>2020年12</w:t>
      </w:r>
      <w:r>
        <w:rPr>
          <w:rFonts w:hint="eastAsia" w:ascii="仿宋_GB2312" w:eastAsia="仿宋_GB2312" w:cs="仿宋_GB2312"/>
          <w:sz w:val="32"/>
          <w:szCs w:val="32"/>
        </w:rPr>
        <w:t>月底，单位共有公务用车</w:t>
      </w:r>
      <w:r>
        <w:rPr>
          <w:rFonts w:ascii="仿宋_GB2312" w:eastAsia="仿宋_GB2312" w:cs="仿宋_GB2312"/>
          <w:sz w:val="32"/>
          <w:szCs w:val="32"/>
        </w:rPr>
        <w:t>1</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辆、越野车</w:t>
      </w:r>
      <w:r>
        <w:rPr>
          <w:rFonts w:ascii="仿宋_GB2312" w:eastAsia="仿宋_GB2312" w:cs="仿宋_GB2312"/>
          <w:sz w:val="32"/>
          <w:szCs w:val="32"/>
        </w:rPr>
        <w:t>0</w:t>
      </w:r>
      <w:r>
        <w:rPr>
          <w:rFonts w:hint="eastAsia" w:ascii="仿宋_GB2312" w:eastAsia="仿宋_GB2312" w:cs="仿宋_GB2312"/>
          <w:sz w:val="32"/>
          <w:szCs w:val="32"/>
        </w:rPr>
        <w:t>辆、载客汽车</w:t>
      </w:r>
      <w:r>
        <w:rPr>
          <w:rFonts w:ascii="仿宋_GB2312" w:eastAsia="仿宋_GB2312" w:cs="仿宋_GB2312"/>
          <w:sz w:val="32"/>
          <w:szCs w:val="32"/>
        </w:rPr>
        <w:t>0</w:t>
      </w:r>
      <w:r>
        <w:rPr>
          <w:rFonts w:hint="eastAsia" w:ascii="仿宋_GB2312" w:eastAsia="仿宋_GB2312" w:cs="仿宋_GB2312"/>
          <w:sz w:val="32"/>
          <w:szCs w:val="32"/>
        </w:rPr>
        <w:t>辆。</w:t>
      </w:r>
    </w:p>
    <w:p w14:paraId="536F36ED">
      <w:pPr>
        <w:spacing w:line="600" w:lineRule="exact"/>
        <w:ind w:firstLine="640"/>
        <w:rPr>
          <w:rFonts w:ascii="仿宋_GB2312" w:eastAsia="仿宋_GB2312"/>
          <w:sz w:val="32"/>
          <w:szCs w:val="32"/>
        </w:rPr>
      </w:pPr>
      <w:r>
        <w:rPr>
          <w:rFonts w:hint="eastAsia" w:ascii="仿宋_GB2312" w:eastAsia="仿宋_GB2312" w:cs="仿宋_GB2312"/>
          <w:bCs/>
          <w:sz w:val="32"/>
          <w:szCs w:val="32"/>
        </w:rPr>
        <w:t>公务用车运行维护费支出</w:t>
      </w:r>
      <w:r>
        <w:rPr>
          <w:rFonts w:ascii="仿宋_GB2312" w:eastAsia="仿宋_GB2312" w:cs="仿宋_GB2312"/>
          <w:sz w:val="32"/>
          <w:szCs w:val="32"/>
        </w:rPr>
        <w:t>4.</w:t>
      </w:r>
      <w:r>
        <w:rPr>
          <w:rFonts w:hint="eastAsia" w:ascii="仿宋_GB2312" w:eastAsia="仿宋_GB2312" w:cs="仿宋_GB2312"/>
          <w:sz w:val="32"/>
          <w:szCs w:val="32"/>
        </w:rPr>
        <w:t>14万元。</w:t>
      </w:r>
      <w:r>
        <w:rPr>
          <w:rFonts w:hint="eastAsia" w:ascii="仿宋_GB2312" w:eastAsia="仿宋_GB2312"/>
          <w:color w:val="000000"/>
          <w:sz w:val="32"/>
          <w:szCs w:val="32"/>
        </w:rPr>
        <w:t>主要用于日常公务活动如参加会议、培训、出差等公务用车；开展环保、露天秸秆禁烧工作巡查、检查、督察以及安全稳定、防汛、救灾、抢险等活动所需的公务用车燃料费、维修费、过路过桥费、保险费等支出。</w:t>
      </w:r>
      <w:r>
        <w:rPr>
          <w:rFonts w:hint="eastAsia" w:ascii="仿宋_GB2312" w:eastAsia="仿宋_GB2312" w:cs="仿宋_GB2312"/>
          <w:sz w:val="32"/>
          <w:szCs w:val="32"/>
        </w:rPr>
        <w:t>等所需的公务用车燃料费、维修费、过路过桥费、保险费等支出。</w:t>
      </w:r>
    </w:p>
    <w:p w14:paraId="26A2C3D2">
      <w:pPr>
        <w:spacing w:line="600" w:lineRule="exact"/>
        <w:ind w:firstLine="640"/>
        <w:rPr>
          <w:rFonts w:ascii="仿宋_GB2312" w:eastAsia="仿宋_GB2312"/>
          <w:sz w:val="32"/>
          <w:szCs w:val="32"/>
        </w:rPr>
      </w:pPr>
      <w:r>
        <w:rPr>
          <w:rFonts w:ascii="仿宋_GB2312" w:eastAsia="仿宋_GB2312" w:cs="仿宋_GB2312"/>
          <w:bCs/>
          <w:sz w:val="32"/>
          <w:szCs w:val="32"/>
        </w:rPr>
        <w:t>3.</w:t>
      </w:r>
      <w:r>
        <w:rPr>
          <w:rFonts w:hint="eastAsia" w:ascii="仿宋_GB2312" w:eastAsia="仿宋_GB2312" w:cs="仿宋_GB2312"/>
          <w:bCs/>
          <w:sz w:val="32"/>
          <w:szCs w:val="32"/>
        </w:rPr>
        <w:t>公务接待费支出</w:t>
      </w:r>
      <w:r>
        <w:rPr>
          <w:rFonts w:ascii="仿宋_GB2312" w:eastAsia="仿宋_GB2312" w:cs="仿宋_GB2312"/>
          <w:sz w:val="32"/>
          <w:szCs w:val="32"/>
        </w:rPr>
        <w:t>1.</w:t>
      </w:r>
      <w:r>
        <w:rPr>
          <w:rFonts w:hint="eastAsia" w:ascii="仿宋_GB2312" w:eastAsia="仿宋_GB2312" w:cs="仿宋_GB2312"/>
          <w:sz w:val="32"/>
          <w:szCs w:val="32"/>
        </w:rPr>
        <w:t>14万元，</w:t>
      </w:r>
      <w:r>
        <w:rPr>
          <w:rStyle w:val="15"/>
          <w:rFonts w:hint="eastAsia" w:ascii="仿宋_GB2312" w:hAnsi="仿宋" w:eastAsia="仿宋_GB2312" w:cs="仿宋"/>
          <w:b w:val="0"/>
          <w:bCs w:val="0"/>
          <w:sz w:val="32"/>
          <w:szCs w:val="32"/>
        </w:rPr>
        <w:t>完成预算76%。</w:t>
      </w:r>
      <w:r>
        <w:rPr>
          <w:rFonts w:hint="eastAsia" w:ascii="仿宋_GB2312" w:eastAsia="仿宋_GB2312" w:cs="仿宋_GB2312"/>
          <w:sz w:val="32"/>
          <w:szCs w:val="32"/>
        </w:rPr>
        <w:t>公务接待费支出决算比</w:t>
      </w:r>
      <w:r>
        <w:rPr>
          <w:rFonts w:ascii="仿宋_GB2312" w:eastAsia="仿宋_GB2312" w:cs="仿宋_GB2312"/>
          <w:sz w:val="32"/>
          <w:szCs w:val="32"/>
        </w:rPr>
        <w:t>2020年</w:t>
      </w:r>
      <w:r>
        <w:rPr>
          <w:rFonts w:hint="eastAsia" w:ascii="仿宋_GB2312" w:eastAsia="仿宋_GB2312" w:cs="仿宋_GB2312"/>
          <w:sz w:val="32"/>
          <w:szCs w:val="32"/>
        </w:rPr>
        <w:t>预算减少</w:t>
      </w:r>
      <w:r>
        <w:rPr>
          <w:rFonts w:ascii="仿宋_GB2312" w:eastAsia="仿宋_GB2312" w:cs="仿宋_GB2312"/>
          <w:sz w:val="32"/>
          <w:szCs w:val="32"/>
        </w:rPr>
        <w:t>0.</w:t>
      </w:r>
      <w:r>
        <w:rPr>
          <w:rFonts w:hint="eastAsia" w:ascii="仿宋_GB2312" w:eastAsia="仿宋_GB2312" w:cs="仿宋_GB2312"/>
          <w:sz w:val="32"/>
          <w:szCs w:val="32"/>
        </w:rPr>
        <w:t>25万元，下降17.99</w:t>
      </w:r>
      <w:r>
        <w:rPr>
          <w:rFonts w:ascii="仿宋_GB2312" w:eastAsia="仿宋_GB2312" w:cs="仿宋_GB2312"/>
          <w:sz w:val="32"/>
          <w:szCs w:val="32"/>
        </w:rPr>
        <w:t>%</w:t>
      </w:r>
      <w:r>
        <w:rPr>
          <w:rFonts w:hint="eastAsia" w:ascii="仿宋_GB2312" w:eastAsia="仿宋_GB2312" w:cs="仿宋_GB2312"/>
          <w:sz w:val="32"/>
          <w:szCs w:val="32"/>
        </w:rPr>
        <w:t>，主要原因是商务活动接待和一般性公务接待均有所减少。</w:t>
      </w:r>
    </w:p>
    <w:p w14:paraId="7F4B9F28">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国内公务接待支出</w:t>
      </w:r>
      <w:r>
        <w:rPr>
          <w:rFonts w:ascii="仿宋_GB2312" w:eastAsia="仿宋_GB2312" w:cs="仿宋_GB2312"/>
          <w:sz w:val="32"/>
          <w:szCs w:val="32"/>
        </w:rPr>
        <w:t>1.</w:t>
      </w:r>
      <w:r>
        <w:rPr>
          <w:rFonts w:hint="eastAsia" w:ascii="仿宋_GB2312" w:eastAsia="仿宋_GB2312" w:cs="仿宋_GB2312"/>
          <w:sz w:val="32"/>
          <w:szCs w:val="32"/>
        </w:rPr>
        <w:t>14万元，主要用于执行公务、开展业务活动开支的交通费、住宿费、用餐费等。国内公务接待10批次，</w:t>
      </w:r>
      <w:r>
        <w:rPr>
          <w:rFonts w:ascii="仿宋_GB2312" w:eastAsia="仿宋_GB2312" w:cs="仿宋_GB2312"/>
          <w:sz w:val="32"/>
          <w:szCs w:val="32"/>
        </w:rPr>
        <w:t>1</w:t>
      </w:r>
      <w:r>
        <w:rPr>
          <w:rFonts w:hint="eastAsia" w:ascii="仿宋_GB2312" w:eastAsia="仿宋_GB2312" w:cs="仿宋_GB2312"/>
          <w:sz w:val="32"/>
          <w:szCs w:val="32"/>
        </w:rPr>
        <w:t>23人次（不包括陪同人员），共计支出</w:t>
      </w:r>
      <w:r>
        <w:rPr>
          <w:rFonts w:ascii="仿宋_GB2312" w:eastAsia="仿宋_GB2312" w:cs="仿宋_GB2312"/>
          <w:sz w:val="32"/>
          <w:szCs w:val="32"/>
        </w:rPr>
        <w:t>1.</w:t>
      </w:r>
      <w:r>
        <w:rPr>
          <w:rFonts w:hint="eastAsia" w:ascii="仿宋_GB2312" w:eastAsia="仿宋_GB2312" w:cs="仿宋_GB2312"/>
          <w:sz w:val="32"/>
          <w:szCs w:val="32"/>
        </w:rPr>
        <w:t>14万元，具体内容包括：农业招商引资项目洽谈9批次116人次，支出1.05万元；省农业农村局工作调研1批次</w:t>
      </w:r>
      <w:r>
        <w:rPr>
          <w:rFonts w:ascii="仿宋_GB2312" w:eastAsia="仿宋_GB2312" w:cs="仿宋_GB2312"/>
          <w:sz w:val="32"/>
          <w:szCs w:val="32"/>
        </w:rPr>
        <w:t>7</w:t>
      </w:r>
      <w:r>
        <w:rPr>
          <w:rFonts w:hint="eastAsia" w:ascii="仿宋_GB2312" w:eastAsia="仿宋_GB2312" w:cs="仿宋_GB2312"/>
          <w:sz w:val="32"/>
          <w:szCs w:val="32"/>
        </w:rPr>
        <w:t>人次，支出</w:t>
      </w:r>
      <w:r>
        <w:rPr>
          <w:rFonts w:ascii="仿宋_GB2312" w:eastAsia="仿宋_GB2312" w:cs="仿宋_GB2312"/>
          <w:sz w:val="32"/>
          <w:szCs w:val="32"/>
        </w:rPr>
        <w:t>0.</w:t>
      </w:r>
      <w:r>
        <w:rPr>
          <w:rFonts w:hint="eastAsia" w:ascii="仿宋_GB2312" w:eastAsia="仿宋_GB2312" w:cs="仿宋_GB2312"/>
          <w:sz w:val="32"/>
          <w:szCs w:val="32"/>
        </w:rPr>
        <w:t>09万元。</w:t>
      </w:r>
    </w:p>
    <w:p w14:paraId="49C39AEA">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外事接待支出：无。</w:t>
      </w:r>
    </w:p>
    <w:p w14:paraId="1E00FD22">
      <w:pPr>
        <w:spacing w:line="600" w:lineRule="exact"/>
        <w:ind w:firstLine="640"/>
        <w:rPr>
          <w:rFonts w:ascii="仿宋_GB2312" w:eastAsia="仿宋_GB2312"/>
          <w:sz w:val="32"/>
          <w:szCs w:val="32"/>
        </w:rPr>
      </w:pPr>
      <w:r>
        <w:rPr>
          <w:rFonts w:hint="eastAsia" w:ascii="仿宋_GB2312" w:hAnsi="仿宋" w:eastAsia="仿宋_GB2312" w:cs="仿宋"/>
          <w:bCs/>
          <w:sz w:val="32"/>
          <w:szCs w:val="32"/>
        </w:rPr>
        <w:t>其他国内公务接待支出：无。</w:t>
      </w:r>
    </w:p>
    <w:p w14:paraId="4452910A">
      <w:pPr>
        <w:spacing w:line="600" w:lineRule="exact"/>
        <w:ind w:firstLine="640"/>
        <w:outlineLvl w:val="1"/>
        <w:rPr>
          <w:rStyle w:val="18"/>
          <w:rFonts w:ascii="黑体" w:hAnsi="黑体" w:eastAsia="黑体" w:cs="Times New Roman"/>
        </w:rPr>
      </w:pPr>
      <w:bookmarkStart w:id="46" w:name="_Toc15377218"/>
      <w:bookmarkStart w:id="47" w:name="_Toc15396610"/>
      <w:r>
        <w:rPr>
          <w:rFonts w:hint="eastAsia" w:ascii="黑体" w:eastAsia="黑体" w:cs="黑体"/>
          <w:sz w:val="32"/>
          <w:szCs w:val="32"/>
        </w:rPr>
        <w:t>八、</w:t>
      </w:r>
      <w:r>
        <w:rPr>
          <w:rStyle w:val="18"/>
          <w:rFonts w:hint="eastAsia" w:ascii="黑体" w:hAnsi="黑体" w:eastAsia="黑体" w:cs="黑体"/>
          <w:b w:val="0"/>
          <w:bCs w:val="0"/>
        </w:rPr>
        <w:t>政府性基金预算支出决算情况说明</w:t>
      </w:r>
      <w:bookmarkEnd w:id="46"/>
      <w:bookmarkEnd w:id="47"/>
    </w:p>
    <w:p w14:paraId="35DE485C">
      <w:pPr>
        <w:spacing w:line="600" w:lineRule="exact"/>
        <w:ind w:firstLine="640"/>
        <w:rPr>
          <w:rFonts w:ascii="仿宋_GB2312" w:eastAsia="仿宋_GB2312"/>
          <w:sz w:val="32"/>
          <w:szCs w:val="32"/>
        </w:rPr>
      </w:pPr>
      <w:r>
        <w:rPr>
          <w:rFonts w:ascii="仿宋_GB2312" w:eastAsia="仿宋_GB2312" w:cs="仿宋_GB2312"/>
          <w:sz w:val="32"/>
          <w:szCs w:val="32"/>
        </w:rPr>
        <w:t>2020年</w:t>
      </w:r>
      <w:r>
        <w:rPr>
          <w:rFonts w:hint="eastAsia" w:ascii="仿宋_GB2312" w:eastAsia="仿宋_GB2312" w:cs="仿宋_GB2312"/>
          <w:sz w:val="32"/>
          <w:szCs w:val="32"/>
        </w:rPr>
        <w:t>政府性基金预算拨款支出38.98万元。</w:t>
      </w:r>
    </w:p>
    <w:p w14:paraId="55655F97">
      <w:pPr>
        <w:numPr>
          <w:ilvl w:val="0"/>
          <w:numId w:val="2"/>
        </w:numPr>
        <w:spacing w:line="600" w:lineRule="exact"/>
        <w:ind w:firstLine="640"/>
        <w:outlineLvl w:val="1"/>
        <w:rPr>
          <w:rStyle w:val="18"/>
          <w:rFonts w:ascii="黑体" w:hAnsi="黑体" w:eastAsia="黑体" w:cs="Times New Roman"/>
          <w:b w:val="0"/>
          <w:bCs w:val="0"/>
        </w:rPr>
      </w:pPr>
      <w:bookmarkStart w:id="48" w:name="_Toc15396611"/>
      <w:bookmarkStart w:id="49" w:name="_Toc15377219"/>
      <w:r>
        <w:rPr>
          <w:rStyle w:val="18"/>
          <w:rFonts w:hint="eastAsia" w:ascii="黑体" w:hAnsi="黑体" w:eastAsia="黑体" w:cs="黑体"/>
          <w:b w:val="0"/>
          <w:bCs w:val="0"/>
        </w:rPr>
        <w:t>国有资本经营预算支出决算情况说明</w:t>
      </w:r>
      <w:bookmarkEnd w:id="48"/>
      <w:bookmarkEnd w:id="49"/>
    </w:p>
    <w:p w14:paraId="41BBC847">
      <w:pPr>
        <w:spacing w:line="600" w:lineRule="exact"/>
        <w:ind w:firstLine="640"/>
        <w:rPr>
          <w:rFonts w:ascii="仿宋_GB2312" w:eastAsia="仿宋_GB2312" w:cs="仿宋_GB2312"/>
          <w:sz w:val="32"/>
          <w:szCs w:val="32"/>
        </w:rPr>
      </w:pPr>
      <w:r>
        <w:rPr>
          <w:rFonts w:ascii="仿宋_GB2312" w:eastAsia="仿宋_GB2312" w:cs="仿宋_GB2312"/>
          <w:sz w:val="32"/>
          <w:szCs w:val="32"/>
        </w:rPr>
        <w:t>2020年</w:t>
      </w:r>
      <w:r>
        <w:rPr>
          <w:rFonts w:hint="eastAsia" w:ascii="仿宋_GB2312" w:eastAsia="仿宋_GB2312" w:cs="仿宋_GB2312"/>
          <w:sz w:val="32"/>
          <w:szCs w:val="32"/>
        </w:rPr>
        <w:t>，没有国有资本经营预算拨款支出。</w:t>
      </w:r>
    </w:p>
    <w:p w14:paraId="0F92D1BC">
      <w:pPr>
        <w:spacing w:line="600" w:lineRule="exact"/>
        <w:ind w:firstLine="640" w:firstLineChars="200"/>
        <w:outlineLvl w:val="1"/>
        <w:rPr>
          <w:rStyle w:val="18"/>
          <w:rFonts w:ascii="黑体" w:hAnsi="黑体" w:eastAsia="黑体" w:cs="Times New Roman"/>
        </w:rPr>
      </w:pPr>
      <w:bookmarkStart w:id="50" w:name="_Toc15396612"/>
      <w:bookmarkStart w:id="51" w:name="_Toc15377221"/>
      <w:r>
        <w:rPr>
          <w:rFonts w:hint="eastAsia" w:ascii="黑体" w:hAnsi="黑体" w:eastAsia="黑体" w:cs="黑体"/>
          <w:sz w:val="32"/>
          <w:szCs w:val="32"/>
        </w:rPr>
        <w:t>十</w:t>
      </w:r>
      <w:r>
        <w:rPr>
          <w:rStyle w:val="18"/>
          <w:rFonts w:hint="eastAsia" w:ascii="黑体" w:hAnsi="黑体" w:eastAsia="黑体" w:cs="黑体"/>
        </w:rPr>
        <w:t>、</w:t>
      </w:r>
      <w:r>
        <w:rPr>
          <w:rStyle w:val="18"/>
          <w:rFonts w:hint="eastAsia" w:ascii="黑体" w:hAnsi="黑体" w:eastAsia="黑体" w:cs="黑体"/>
          <w:b w:val="0"/>
          <w:bCs w:val="0"/>
        </w:rPr>
        <w:t>其他重要事项的情况说明</w:t>
      </w:r>
      <w:bookmarkEnd w:id="50"/>
      <w:bookmarkEnd w:id="51"/>
    </w:p>
    <w:p w14:paraId="1A4F44B9">
      <w:pPr>
        <w:spacing w:line="600" w:lineRule="exact"/>
        <w:ind w:firstLine="643" w:firstLineChars="200"/>
        <w:outlineLvl w:val="2"/>
        <w:rPr>
          <w:rFonts w:ascii="楷体_GB2312" w:hAnsi="仿宋" w:eastAsia="楷体_GB2312"/>
          <w:sz w:val="32"/>
          <w:szCs w:val="32"/>
        </w:rPr>
      </w:pPr>
      <w:bookmarkStart w:id="52" w:name="_Toc15377222"/>
      <w:r>
        <w:rPr>
          <w:rFonts w:hint="eastAsia" w:ascii="楷体_GB2312" w:hAnsi="仿宋" w:eastAsia="楷体_GB2312" w:cs="仿宋"/>
          <w:b/>
          <w:bCs/>
          <w:sz w:val="32"/>
          <w:szCs w:val="32"/>
        </w:rPr>
        <w:t>（一）机关运行经费支出情况</w:t>
      </w:r>
      <w:bookmarkEnd w:id="52"/>
    </w:p>
    <w:p w14:paraId="2FAAB9B5">
      <w:pPr>
        <w:spacing w:line="600" w:lineRule="exact"/>
        <w:ind w:firstLine="640" w:firstLineChars="200"/>
        <w:rPr>
          <w:rFonts w:ascii="仿宋_GB2312" w:eastAsia="仿宋_GB2312"/>
          <w:sz w:val="32"/>
          <w:szCs w:val="32"/>
        </w:rPr>
      </w:pPr>
      <w:r>
        <w:rPr>
          <w:rFonts w:ascii="仿宋_GB2312" w:eastAsia="仿宋_GB2312" w:cs="仿宋_GB2312"/>
          <w:sz w:val="32"/>
          <w:szCs w:val="32"/>
        </w:rPr>
        <w:t>2020年</w:t>
      </w:r>
      <w:r>
        <w:rPr>
          <w:rFonts w:hint="eastAsia" w:ascii="仿宋_GB2312" w:eastAsia="仿宋_GB2312" w:cs="仿宋_GB2312"/>
          <w:sz w:val="32"/>
          <w:szCs w:val="32"/>
        </w:rPr>
        <w:t>，德阳市罗江区略坪镇人民政府机关运行经费支出</w:t>
      </w:r>
      <w:r>
        <w:rPr>
          <w:rFonts w:ascii="仿宋_GB2312" w:eastAsia="仿宋_GB2312" w:cs="仿宋_GB2312"/>
          <w:sz w:val="32"/>
          <w:szCs w:val="32"/>
        </w:rPr>
        <w:t>6</w:t>
      </w:r>
      <w:r>
        <w:rPr>
          <w:rFonts w:hint="eastAsia" w:ascii="仿宋_GB2312" w:eastAsia="仿宋_GB2312" w:cs="仿宋_GB2312"/>
          <w:sz w:val="32"/>
          <w:szCs w:val="32"/>
        </w:rPr>
        <w:t>3.00万元，比</w:t>
      </w:r>
      <w:r>
        <w:rPr>
          <w:rFonts w:ascii="仿宋_GB2312" w:eastAsia="仿宋_GB2312" w:cs="仿宋_GB2312"/>
          <w:sz w:val="32"/>
          <w:szCs w:val="32"/>
        </w:rPr>
        <w:t>2019年</w:t>
      </w:r>
      <w:r>
        <w:rPr>
          <w:rFonts w:hint="eastAsia" w:ascii="仿宋_GB2312" w:eastAsia="仿宋_GB2312" w:cs="仿宋_GB2312"/>
          <w:sz w:val="32"/>
          <w:szCs w:val="32"/>
        </w:rPr>
        <w:t>减少1.92万元。主要原因是：预算（含调整预算）公用经费减少。</w:t>
      </w:r>
    </w:p>
    <w:p w14:paraId="47ACDDFF">
      <w:pPr>
        <w:autoSpaceDE w:val="0"/>
        <w:autoSpaceDN w:val="0"/>
        <w:adjustRightInd w:val="0"/>
        <w:spacing w:line="600" w:lineRule="exact"/>
        <w:ind w:firstLine="643" w:firstLineChars="200"/>
        <w:jc w:val="left"/>
        <w:outlineLvl w:val="2"/>
        <w:rPr>
          <w:rFonts w:ascii="楷体_GB2312" w:hAnsi="仿宋" w:eastAsia="楷体_GB2312"/>
          <w:b/>
          <w:bCs/>
          <w:sz w:val="32"/>
          <w:szCs w:val="32"/>
        </w:rPr>
      </w:pPr>
      <w:bookmarkStart w:id="53" w:name="_Toc15377223"/>
      <w:r>
        <w:rPr>
          <w:rFonts w:hint="eastAsia" w:ascii="楷体_GB2312" w:hAnsi="仿宋" w:eastAsia="楷体_GB2312" w:cs="仿宋"/>
          <w:b/>
          <w:bCs/>
          <w:sz w:val="32"/>
          <w:szCs w:val="32"/>
        </w:rPr>
        <w:t>（二）政府采购支出情况</w:t>
      </w:r>
      <w:bookmarkEnd w:id="53"/>
    </w:p>
    <w:p w14:paraId="5C659B61">
      <w:pPr>
        <w:spacing w:line="600" w:lineRule="exact"/>
        <w:ind w:firstLine="640" w:firstLineChars="200"/>
        <w:rPr>
          <w:rFonts w:ascii="仿宋_GB2312" w:eastAsia="仿宋_GB2312"/>
          <w:sz w:val="32"/>
          <w:szCs w:val="32"/>
        </w:rPr>
      </w:pPr>
      <w:r>
        <w:rPr>
          <w:rFonts w:ascii="仿宋_GB2312" w:eastAsia="仿宋_GB2312" w:cs="仿宋_GB2312"/>
          <w:sz w:val="32"/>
          <w:szCs w:val="32"/>
        </w:rPr>
        <w:t xml:space="preserve"> 2020年</w:t>
      </w:r>
      <w:r>
        <w:rPr>
          <w:rFonts w:hint="eastAsia" w:ascii="仿宋_GB2312" w:eastAsia="仿宋_GB2312" w:cs="仿宋_GB2312"/>
          <w:sz w:val="32"/>
          <w:szCs w:val="32"/>
        </w:rPr>
        <w:t>，德阳市罗江区略坪镇人民政府政府采购支出总额1.81万元，其中：政府采购货物支出1.51万元，主要通过分散采购办公设备和办公桌椅支出、政府采购工程支出</w:t>
      </w:r>
      <w:r>
        <w:rPr>
          <w:rFonts w:ascii="仿宋_GB2312" w:eastAsia="仿宋_GB2312" w:cs="仿宋_GB2312"/>
          <w:sz w:val="32"/>
          <w:szCs w:val="32"/>
        </w:rPr>
        <w:t>0.00</w:t>
      </w:r>
      <w:r>
        <w:rPr>
          <w:rFonts w:hint="eastAsia" w:ascii="仿宋_GB2312" w:eastAsia="仿宋_GB2312" w:cs="仿宋_GB2312"/>
          <w:sz w:val="32"/>
          <w:szCs w:val="32"/>
        </w:rPr>
        <w:t>万元、政府采购服务支出</w:t>
      </w:r>
      <w:r>
        <w:rPr>
          <w:rFonts w:ascii="仿宋_GB2312" w:eastAsia="仿宋_GB2312" w:cs="仿宋_GB2312"/>
          <w:sz w:val="32"/>
          <w:szCs w:val="32"/>
        </w:rPr>
        <w:t>0.3</w:t>
      </w:r>
      <w:r>
        <w:rPr>
          <w:rFonts w:hint="eastAsia" w:ascii="仿宋_GB2312" w:eastAsia="仿宋_GB2312" w:cs="仿宋_GB2312"/>
          <w:sz w:val="32"/>
          <w:szCs w:val="32"/>
        </w:rPr>
        <w:t>0万元，主要通过集中采购</w:t>
      </w:r>
      <w:r>
        <w:rPr>
          <w:rFonts w:hint="eastAsia" w:ascii="仿宋_GB2312" w:eastAsia="仿宋_GB2312"/>
          <w:sz w:val="32"/>
          <w:szCs w:val="32"/>
        </w:rPr>
        <w:t>公务用车保险费缴费支出</w:t>
      </w:r>
      <w:r>
        <w:rPr>
          <w:rFonts w:hint="eastAsia" w:ascii="仿宋_GB2312" w:eastAsia="仿宋_GB2312" w:cs="仿宋_GB2312"/>
          <w:sz w:val="32"/>
          <w:szCs w:val="32"/>
        </w:rPr>
        <w:t>。</w:t>
      </w:r>
    </w:p>
    <w:p w14:paraId="726B1842">
      <w:pPr>
        <w:autoSpaceDE w:val="0"/>
        <w:autoSpaceDN w:val="0"/>
        <w:adjustRightInd w:val="0"/>
        <w:spacing w:line="600" w:lineRule="exact"/>
        <w:ind w:firstLine="643" w:firstLineChars="200"/>
        <w:jc w:val="left"/>
        <w:outlineLvl w:val="2"/>
        <w:rPr>
          <w:rFonts w:ascii="楷体_GB2312" w:hAnsi="仿宋" w:eastAsia="楷体_GB2312"/>
          <w:b/>
          <w:bCs/>
          <w:sz w:val="32"/>
          <w:szCs w:val="32"/>
        </w:rPr>
      </w:pPr>
      <w:bookmarkStart w:id="54" w:name="_Toc15377224"/>
      <w:r>
        <w:rPr>
          <w:rFonts w:hint="eastAsia" w:ascii="楷体_GB2312" w:hAnsi="仿宋" w:eastAsia="楷体_GB2312" w:cs="仿宋"/>
          <w:b/>
          <w:bCs/>
          <w:sz w:val="32"/>
          <w:szCs w:val="32"/>
        </w:rPr>
        <w:t>（三）国有资产占有使用情况</w:t>
      </w:r>
      <w:bookmarkEnd w:id="54"/>
    </w:p>
    <w:p w14:paraId="3C2C70BB">
      <w:pPr>
        <w:autoSpaceDE w:val="0"/>
        <w:autoSpaceDN w:val="0"/>
        <w:adjustRightInd w:val="0"/>
        <w:spacing w:line="60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2020年12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日，德阳市罗江区略坪镇人民政府共有车辆</w:t>
      </w:r>
      <w:r>
        <w:rPr>
          <w:rFonts w:ascii="仿宋_GB2312" w:eastAsia="仿宋_GB2312" w:cs="仿宋_GB2312"/>
          <w:sz w:val="32"/>
          <w:szCs w:val="32"/>
        </w:rPr>
        <w:t>1</w:t>
      </w:r>
      <w:r>
        <w:rPr>
          <w:rFonts w:hint="eastAsia" w:ascii="仿宋_GB2312" w:eastAsia="仿宋_GB2312" w:cs="仿宋_GB2312"/>
          <w:sz w:val="32"/>
          <w:szCs w:val="32"/>
        </w:rPr>
        <w:t>辆，其中：部级领导干部用车</w:t>
      </w:r>
      <w:r>
        <w:rPr>
          <w:rFonts w:ascii="仿宋_GB2312" w:eastAsia="仿宋_GB2312" w:cs="仿宋_GB2312"/>
          <w:sz w:val="32"/>
          <w:szCs w:val="32"/>
        </w:rPr>
        <w:t>0</w:t>
      </w:r>
      <w:r>
        <w:rPr>
          <w:rFonts w:hint="eastAsia" w:ascii="仿宋_GB2312" w:eastAsia="仿宋_GB2312" w:cs="仿宋_GB2312"/>
          <w:sz w:val="32"/>
          <w:szCs w:val="32"/>
        </w:rPr>
        <w:t>辆、一般公务用车</w:t>
      </w:r>
      <w:r>
        <w:rPr>
          <w:rFonts w:ascii="仿宋_GB2312" w:eastAsia="仿宋_GB2312" w:cs="仿宋_GB2312"/>
          <w:sz w:val="32"/>
          <w:szCs w:val="32"/>
        </w:rPr>
        <w:t>1</w:t>
      </w:r>
      <w:r>
        <w:rPr>
          <w:rFonts w:hint="eastAsia" w:ascii="仿宋_GB2312" w:eastAsia="仿宋_GB2312" w:cs="仿宋_GB2312"/>
          <w:sz w:val="32"/>
          <w:szCs w:val="32"/>
        </w:rPr>
        <w:t>辆、一般执法执勤用车</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辆，其他用车主要是用于……单价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14:paraId="4464FC22">
      <w:pPr>
        <w:autoSpaceDE w:val="0"/>
        <w:autoSpaceDN w:val="0"/>
        <w:adjustRightInd w:val="0"/>
        <w:spacing w:line="600" w:lineRule="exact"/>
        <w:ind w:firstLine="643" w:firstLineChars="200"/>
        <w:jc w:val="left"/>
        <w:outlineLvl w:val="2"/>
        <w:rPr>
          <w:rFonts w:ascii="楷体_GB2312" w:hAnsi="仿宋" w:eastAsia="楷体_GB2312"/>
          <w:b/>
          <w:bCs/>
          <w:sz w:val="32"/>
          <w:szCs w:val="32"/>
        </w:rPr>
      </w:pPr>
      <w:r>
        <w:rPr>
          <w:rFonts w:hint="eastAsia" w:ascii="楷体_GB2312" w:hAnsi="仿宋" w:eastAsia="楷体_GB2312" w:cs="仿宋"/>
          <w:b/>
          <w:bCs/>
          <w:sz w:val="32"/>
          <w:szCs w:val="32"/>
        </w:rPr>
        <w:t>（四）预算绩效管理情况</w:t>
      </w:r>
    </w:p>
    <w:p w14:paraId="424B585A">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个项目开展了绩效目标完成情况梳理填报。</w:t>
      </w:r>
    </w:p>
    <w:p w14:paraId="64E9FB71">
      <w:pPr>
        <w:snapToGrid w:val="0"/>
        <w:spacing w:line="52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2020年</w:t>
      </w:r>
      <w:r>
        <w:rPr>
          <w:rFonts w:hint="eastAsia" w:ascii="仿宋_GB2312" w:hAnsi="仿宋_GB2312" w:eastAsia="仿宋_GB2312" w:cs="仿宋_GB2312"/>
          <w:sz w:val="32"/>
          <w:szCs w:val="32"/>
        </w:rPr>
        <w:t>部门整体支出开展绩效自评，从评价情况来看，</w:t>
      </w:r>
      <w:r>
        <w:rPr>
          <w:rFonts w:ascii="仿宋_GB2312" w:hAnsi="仿宋" w:eastAsia="仿宋_GB2312"/>
          <w:sz w:val="32"/>
          <w:szCs w:val="32"/>
        </w:rPr>
        <w:t>2020年</w:t>
      </w:r>
      <w:r>
        <w:rPr>
          <w:rFonts w:hint="eastAsia" w:ascii="仿宋_GB2312" w:hAnsi="仿宋" w:eastAsia="仿宋_GB2312"/>
          <w:sz w:val="32"/>
          <w:szCs w:val="32"/>
        </w:rPr>
        <w:t>部门整体支出绩效共设置评价指标</w:t>
      </w:r>
      <w:r>
        <w:rPr>
          <w:rFonts w:ascii="仿宋_GB2312" w:hAnsi="仿宋" w:eastAsia="仿宋_GB2312"/>
          <w:sz w:val="32"/>
          <w:szCs w:val="32"/>
        </w:rPr>
        <w:t>50</w:t>
      </w:r>
      <w:r>
        <w:rPr>
          <w:rFonts w:hint="eastAsia" w:ascii="仿宋_GB2312" w:hAnsi="仿宋" w:eastAsia="仿宋_GB2312"/>
          <w:sz w:val="32"/>
          <w:szCs w:val="32"/>
        </w:rPr>
        <w:t>项，其中：一级指标</w:t>
      </w:r>
      <w:r>
        <w:rPr>
          <w:rFonts w:ascii="仿宋_GB2312" w:hAnsi="仿宋" w:eastAsia="仿宋_GB2312"/>
          <w:sz w:val="32"/>
          <w:szCs w:val="32"/>
        </w:rPr>
        <w:t>3</w:t>
      </w:r>
      <w:r>
        <w:rPr>
          <w:rFonts w:hint="eastAsia" w:ascii="仿宋_GB2312" w:hAnsi="仿宋" w:eastAsia="仿宋_GB2312"/>
          <w:sz w:val="32"/>
          <w:szCs w:val="32"/>
        </w:rPr>
        <w:t>项，分别是：预算编制及预算执行情况、财务状况、人员情况；二级指标设置</w:t>
      </w:r>
      <w:r>
        <w:rPr>
          <w:rFonts w:ascii="仿宋_GB2312" w:hAnsi="仿宋" w:eastAsia="仿宋_GB2312"/>
          <w:sz w:val="32"/>
          <w:szCs w:val="32"/>
        </w:rPr>
        <w:t>11</w:t>
      </w:r>
      <w:r>
        <w:rPr>
          <w:rFonts w:hint="eastAsia" w:ascii="仿宋_GB2312" w:hAnsi="仿宋" w:eastAsia="仿宋_GB2312"/>
          <w:sz w:val="32"/>
          <w:szCs w:val="32"/>
        </w:rPr>
        <w:t>项，三级指标设置</w:t>
      </w:r>
      <w:r>
        <w:rPr>
          <w:rFonts w:ascii="仿宋_GB2312" w:hAnsi="仿宋" w:eastAsia="仿宋_GB2312"/>
          <w:sz w:val="32"/>
          <w:szCs w:val="32"/>
        </w:rPr>
        <w:t>18</w:t>
      </w:r>
      <w:r>
        <w:rPr>
          <w:rFonts w:hint="eastAsia" w:ascii="仿宋_GB2312" w:hAnsi="仿宋" w:eastAsia="仿宋_GB2312"/>
          <w:sz w:val="32"/>
          <w:szCs w:val="32"/>
        </w:rPr>
        <w:t>项。</w:t>
      </w:r>
    </w:p>
    <w:p w14:paraId="19724A7E">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2020年</w:t>
      </w:r>
      <w:r>
        <w:rPr>
          <w:rFonts w:hint="eastAsia" w:ascii="仿宋_GB2312" w:hAnsi="仿宋" w:eastAsia="仿宋_GB2312"/>
          <w:sz w:val="32"/>
          <w:szCs w:val="32"/>
        </w:rPr>
        <w:t>部门整体支出绩效评价得分83.5分。</w:t>
      </w:r>
    </w:p>
    <w:p w14:paraId="628EDEFD">
      <w:pPr>
        <w:snapToGrid w:val="0"/>
        <w:spacing w:line="52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本部门还自行组织开展了6个项目的绩效评价工作，</w:t>
      </w:r>
      <w:r>
        <w:rPr>
          <w:rFonts w:hint="eastAsia" w:ascii="仿宋_GB2312" w:hAnsi="仿宋" w:eastAsia="仿宋_GB2312"/>
          <w:sz w:val="32"/>
          <w:szCs w:val="32"/>
        </w:rPr>
        <w:t>分别是：村级组织活动和公共服务运行维护费项目76.57万元，抗疫特别国债支出（防疫一线人员工作补助）和疫情防控工作经费项目42.98万元，疑难上访人员范玉明“维稳”专项工作经费项目21.30万元，创建乡村振兴先进县（区）工作经费项目20.00万元，内城河整治和污水处理站建设占地及青苗补偿费项目28.51万元和人大代表专项工作经费等预算项目支出6.00万元。</w:t>
      </w:r>
      <w:r>
        <w:rPr>
          <w:rFonts w:hint="eastAsia" w:ascii="仿宋_GB2312" w:hAnsi="仿宋_GB2312" w:eastAsia="仿宋_GB2312" w:cs="仿宋_GB2312"/>
          <w:sz w:val="32"/>
          <w:szCs w:val="32"/>
        </w:rPr>
        <w:t>从评价情况来看，</w:t>
      </w:r>
      <w:r>
        <w:rPr>
          <w:rFonts w:hint="eastAsia" w:ascii="仿宋_GB2312" w:hAnsi="仿宋" w:eastAsia="仿宋_GB2312"/>
          <w:sz w:val="32"/>
          <w:szCs w:val="32"/>
        </w:rPr>
        <w:t>上述项目于</w:t>
      </w:r>
      <w:r>
        <w:rPr>
          <w:rFonts w:ascii="仿宋_GB2312" w:hAnsi="仿宋" w:eastAsia="仿宋_GB2312"/>
          <w:sz w:val="32"/>
          <w:szCs w:val="32"/>
        </w:rPr>
        <w:t>2020年</w:t>
      </w:r>
      <w:r>
        <w:rPr>
          <w:rFonts w:hint="eastAsia" w:ascii="仿宋_GB2312" w:hAnsi="仿宋" w:eastAsia="仿宋_GB2312"/>
          <w:sz w:val="32"/>
          <w:szCs w:val="32"/>
        </w:rPr>
        <w:t>底已全部实施完毕，项目绩效目标自评得分</w:t>
      </w:r>
      <w:r>
        <w:rPr>
          <w:rFonts w:ascii="仿宋_GB2312" w:hAnsi="仿宋" w:eastAsia="仿宋_GB2312"/>
          <w:sz w:val="32"/>
          <w:szCs w:val="32"/>
        </w:rPr>
        <w:t>9</w:t>
      </w:r>
      <w:r>
        <w:rPr>
          <w:rFonts w:hint="eastAsia" w:ascii="仿宋_GB2312" w:hAnsi="仿宋" w:eastAsia="仿宋_GB2312"/>
          <w:sz w:val="32"/>
          <w:szCs w:val="32"/>
        </w:rPr>
        <w:t>1.5分。</w:t>
      </w:r>
    </w:p>
    <w:p w14:paraId="1D5B9276">
      <w:pPr>
        <w:spacing w:line="580" w:lineRule="exact"/>
        <w:ind w:firstLine="643" w:firstLineChars="200"/>
        <w:rPr>
          <w:rFonts w:ascii="仿宋_GB2312" w:hAnsi="仿宋_GB2312" w:eastAsia="仿宋_GB2312"/>
          <w:sz w:val="32"/>
          <w:szCs w:val="32"/>
        </w:rPr>
      </w:pPr>
      <w:r>
        <w:rPr>
          <w:rFonts w:ascii="仿宋_GB2312" w:hAnsi="仿宋" w:eastAsia="仿宋_GB2312" w:cs="仿宋"/>
          <w:b/>
          <w:bCs/>
          <w:sz w:val="32"/>
          <w:szCs w:val="32"/>
        </w:rPr>
        <w:t>1</w:t>
      </w:r>
      <w:r>
        <w:rPr>
          <w:rFonts w:hint="eastAsia" w:ascii="仿宋_GB2312" w:hAnsi="仿宋" w:eastAsia="仿宋_GB2312" w:cs="仿宋"/>
          <w:b/>
          <w:bCs/>
          <w:sz w:val="32"/>
          <w:szCs w:val="32"/>
        </w:rPr>
        <w:t>．项目绩效目标完成情况。</w:t>
      </w:r>
    </w:p>
    <w:p w14:paraId="558D05EF">
      <w:pPr>
        <w:spacing w:line="580" w:lineRule="exact"/>
        <w:ind w:firstLine="643" w:firstLineChars="200"/>
        <w:rPr>
          <w:rFonts w:ascii="仿宋_GB2312" w:hAnsi="宋体" w:eastAsia="仿宋_GB2312"/>
          <w:sz w:val="32"/>
          <w:szCs w:val="32"/>
          <w:lang w:val="zh-CN"/>
        </w:rPr>
      </w:pPr>
      <w:r>
        <w:rPr>
          <w:rFonts w:hint="eastAsia" w:ascii="宋体" w:hAnsi="宋体"/>
          <w:b/>
          <w:sz w:val="32"/>
          <w:szCs w:val="32"/>
        </w:rPr>
        <w:t>（</w:t>
      </w:r>
      <w:r>
        <w:rPr>
          <w:rFonts w:ascii="宋体" w:hAnsi="宋体"/>
          <w:b/>
          <w:sz w:val="32"/>
          <w:szCs w:val="32"/>
        </w:rPr>
        <w:t>1</w:t>
      </w:r>
      <w:r>
        <w:rPr>
          <w:rFonts w:hint="eastAsia" w:ascii="宋体" w:hAnsi="宋体"/>
          <w:b/>
          <w:sz w:val="32"/>
          <w:szCs w:val="32"/>
        </w:rPr>
        <w:t>）</w:t>
      </w:r>
      <w:r>
        <w:rPr>
          <w:rFonts w:hint="eastAsia" w:ascii="宋体" w:hAnsi="宋体" w:cs="仿宋_GB2312"/>
          <w:b/>
          <w:sz w:val="32"/>
          <w:szCs w:val="32"/>
        </w:rPr>
        <w:t>“村级组织活动和公共服务运行维护费”</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6.57万元，执行数为76.57万元，完成预算的100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宋体" w:eastAsia="仿宋_GB2312"/>
          <w:sz w:val="32"/>
          <w:szCs w:val="32"/>
          <w:lang w:val="zh-CN"/>
        </w:rPr>
        <w:t>该项目完成了全年辖区内日常保洁、生活垃圾收集及无害化处理，大幅度提升了人居环境质量；维修农业排灌沟渠33米，维修村组道路45米，“村村响”广播维护14个村。工程项目符合施工规范、质量优良；“村村响”广播全年无故障率达100%，为抗疫宣传发挥了重要作用。</w:t>
      </w:r>
    </w:p>
    <w:p w14:paraId="6C92EE7F">
      <w:pPr>
        <w:adjustRightInd w:val="0"/>
        <w:snapToGrid w:val="0"/>
        <w:spacing w:line="560" w:lineRule="exact"/>
        <w:ind w:firstLine="643" w:firstLineChars="200"/>
        <w:rPr>
          <w:rFonts w:ascii="仿宋_GB2312" w:hAnsi="宋体" w:eastAsia="仿宋_GB2312"/>
          <w:sz w:val="32"/>
          <w:szCs w:val="32"/>
          <w:lang w:val="zh-CN"/>
        </w:rPr>
      </w:pPr>
      <w:r>
        <w:rPr>
          <w:rFonts w:hint="eastAsia" w:ascii="宋体" w:hAnsi="宋体"/>
          <w:b/>
          <w:sz w:val="32"/>
          <w:szCs w:val="32"/>
        </w:rPr>
        <w:t>（</w:t>
      </w:r>
      <w:r>
        <w:rPr>
          <w:rFonts w:ascii="宋体" w:hAnsi="宋体"/>
          <w:b/>
          <w:sz w:val="32"/>
          <w:szCs w:val="32"/>
        </w:rPr>
        <w:t>2</w:t>
      </w:r>
      <w:r>
        <w:rPr>
          <w:rFonts w:hint="eastAsia" w:ascii="宋体" w:hAnsi="宋体"/>
          <w:b/>
          <w:sz w:val="32"/>
          <w:szCs w:val="32"/>
        </w:rPr>
        <w:t>）</w:t>
      </w:r>
      <w:r>
        <w:rPr>
          <w:rFonts w:hint="eastAsia" w:ascii="仿宋_GB2312" w:hAnsi="宋体" w:eastAsia="仿宋_GB2312" w:cs="仿宋_GB2312"/>
          <w:b/>
          <w:sz w:val="32"/>
          <w:szCs w:val="32"/>
        </w:rPr>
        <w:t>“</w:t>
      </w:r>
      <w:r>
        <w:rPr>
          <w:rFonts w:hint="eastAsia" w:ascii="仿宋_GB2312" w:hAnsi="宋体" w:eastAsia="仿宋_GB2312"/>
          <w:b/>
          <w:sz w:val="32"/>
          <w:szCs w:val="32"/>
          <w:lang w:val="zh-CN"/>
        </w:rPr>
        <w:t>抗疫特别国债支出（防疫一线人员工作补助）和疫情防控工作经费</w:t>
      </w:r>
      <w:r>
        <w:rPr>
          <w:rFonts w:hint="eastAsia" w:ascii="仿宋_GB2312" w:hAnsi="宋体" w:eastAsia="仿宋_GB2312" w:cs="仿宋_GB2312"/>
          <w:b/>
          <w:sz w:val="32"/>
          <w:szCs w:val="32"/>
        </w:rPr>
        <w:t>”</w:t>
      </w:r>
      <w:r>
        <w:rPr>
          <w:rFonts w:hint="eastAsia" w:ascii="仿宋_GB2312" w:hAnsi="仿宋_GB2312" w:eastAsia="仿宋_GB2312" w:cs="仿宋_GB2312"/>
          <w:sz w:val="32"/>
          <w:szCs w:val="32"/>
        </w:rPr>
        <w:t>项目绩效目标完成情况综述。项目全年预算数42.98万元，执行数为42.98万元，完成预算的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ascii="仿宋_GB2312" w:hAnsi="宋体" w:eastAsia="仿宋_GB2312"/>
          <w:sz w:val="32"/>
          <w:szCs w:val="32"/>
          <w:lang w:val="zh-CN"/>
        </w:rPr>
        <w:t>为我镇团结抗疫，打赢疫情防控阻击战发挥了重要作用。疫情防控期间，全镇组织防疫队伍16只，参与抗疫人员550余人；设置卡点59处，昼夜值守；采购各类防疫物资5批次3500余件，有力有效地保护了广大群众生命和健康，为经济社会发展、生产生活恢复正常秩序打下了坚实基础。</w:t>
      </w:r>
    </w:p>
    <w:p w14:paraId="022662CA">
      <w:pPr>
        <w:adjustRightInd w:val="0"/>
        <w:snapToGrid w:val="0"/>
        <w:spacing w:line="560" w:lineRule="exact"/>
        <w:ind w:left="105" w:leftChars="50" w:firstLine="643" w:firstLineChars="200"/>
        <w:rPr>
          <w:rFonts w:ascii="仿宋_GB2312" w:hAnsi="宋体"/>
          <w:szCs w:val="32"/>
          <w:lang w:val="zh-CN"/>
        </w:rPr>
      </w:pPr>
      <w:r>
        <w:rPr>
          <w:rFonts w:hint="eastAsia" w:ascii="宋体" w:hAnsi="宋体" w:cs="仿宋_GB2312"/>
          <w:b/>
          <w:sz w:val="32"/>
          <w:szCs w:val="32"/>
        </w:rPr>
        <w:t>（</w:t>
      </w:r>
      <w:r>
        <w:rPr>
          <w:rFonts w:ascii="宋体" w:hAnsi="宋体" w:cs="仿宋_GB2312"/>
          <w:b/>
          <w:sz w:val="32"/>
          <w:szCs w:val="32"/>
        </w:rPr>
        <w:t>3</w:t>
      </w:r>
      <w:r>
        <w:rPr>
          <w:rFonts w:hint="eastAsia" w:ascii="宋体" w:hAnsi="宋体" w:cs="仿宋_GB2312"/>
          <w:b/>
          <w:sz w:val="32"/>
          <w:szCs w:val="32"/>
        </w:rPr>
        <w:t>）“</w:t>
      </w:r>
      <w:r>
        <w:rPr>
          <w:rFonts w:hint="eastAsia" w:ascii="仿宋_GB2312" w:hAnsi="宋体" w:eastAsia="仿宋_GB2312"/>
          <w:b/>
          <w:sz w:val="32"/>
          <w:szCs w:val="32"/>
          <w:lang w:val="zh-CN"/>
        </w:rPr>
        <w:t>范玉明维稳专项工作经费</w:t>
      </w:r>
      <w:r>
        <w:rPr>
          <w:rFonts w:hint="eastAsia" w:ascii="宋体" w:hAnsi="宋体" w:cs="仿宋_GB2312"/>
          <w:b/>
          <w:sz w:val="32"/>
          <w:szCs w:val="32"/>
        </w:rPr>
        <w:t>”</w:t>
      </w:r>
      <w:r>
        <w:rPr>
          <w:rFonts w:hint="eastAsia" w:ascii="仿宋_GB2312" w:hAnsi="仿宋_GB2312" w:eastAsia="仿宋_GB2312" w:cs="仿宋_GB2312"/>
          <w:sz w:val="32"/>
          <w:szCs w:val="32"/>
        </w:rPr>
        <w:t>项目绩效目标完成情况综述。项目全年预算数21.30万元，执行数为21.30万元，完成预算的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宋体" w:eastAsia="仿宋_GB2312" w:cs="宋体"/>
          <w:sz w:val="32"/>
          <w:szCs w:val="32"/>
        </w:rPr>
        <w:t>该</w:t>
      </w:r>
      <w:r>
        <w:rPr>
          <w:rFonts w:hint="eastAsia" w:ascii="仿宋_GB2312" w:hAnsi="宋体" w:eastAsia="仿宋_GB2312"/>
          <w:sz w:val="32"/>
          <w:szCs w:val="32"/>
          <w:lang w:val="zh-CN"/>
        </w:rPr>
        <w:t>项目实施的内容主要发生于2018年11月至2019年9月期间，完成了三次进京上访的疑难上访人员范玉明进行劝返工作，第三次劝返后进行了医学鉴定，落实了专人管控措施，到2020年初已全面完成，符合预期绩效目标。</w:t>
      </w:r>
    </w:p>
    <w:p w14:paraId="264E73B7">
      <w:pPr>
        <w:adjustRightInd w:val="0"/>
        <w:snapToGrid w:val="0"/>
        <w:spacing w:line="560" w:lineRule="exact"/>
        <w:ind w:left="105" w:leftChars="50" w:firstLine="643" w:firstLineChars="200"/>
        <w:rPr>
          <w:rFonts w:ascii="仿宋_GB2312" w:hAnsi="宋体" w:eastAsia="仿宋_GB2312"/>
          <w:sz w:val="32"/>
          <w:szCs w:val="32"/>
          <w:lang w:val="zh-CN"/>
        </w:rPr>
      </w:pPr>
      <w:r>
        <w:rPr>
          <w:rFonts w:hint="eastAsia" w:ascii="宋体" w:hAnsi="宋体" w:cs="仿宋_GB2312"/>
          <w:b/>
          <w:sz w:val="32"/>
          <w:szCs w:val="32"/>
        </w:rPr>
        <w:t>（</w:t>
      </w:r>
      <w:r>
        <w:rPr>
          <w:rFonts w:ascii="宋体" w:hAnsi="宋体" w:cs="仿宋_GB2312"/>
          <w:b/>
          <w:sz w:val="32"/>
          <w:szCs w:val="32"/>
        </w:rPr>
        <w:t>4</w:t>
      </w:r>
      <w:r>
        <w:rPr>
          <w:rFonts w:hint="eastAsia" w:ascii="宋体" w:hAnsi="宋体" w:cs="仿宋_GB2312"/>
          <w:b/>
          <w:sz w:val="32"/>
          <w:szCs w:val="32"/>
        </w:rPr>
        <w:t>）</w:t>
      </w:r>
      <w:r>
        <w:rPr>
          <w:rFonts w:hint="eastAsia" w:ascii="仿宋_GB2312" w:hAnsi="宋体" w:eastAsia="仿宋_GB2312" w:cs="仿宋_GB2312"/>
          <w:b/>
          <w:sz w:val="32"/>
          <w:szCs w:val="32"/>
        </w:rPr>
        <w:t>“</w:t>
      </w:r>
      <w:r>
        <w:rPr>
          <w:rFonts w:hint="eastAsia" w:ascii="仿宋_GB2312" w:hAnsi="宋体" w:eastAsia="仿宋_GB2312"/>
          <w:b/>
          <w:sz w:val="32"/>
          <w:szCs w:val="32"/>
          <w:lang w:val="zh-CN"/>
        </w:rPr>
        <w:t>创建乡村振兴先进县（区）工作经费</w:t>
      </w:r>
      <w:r>
        <w:rPr>
          <w:rFonts w:hint="eastAsia" w:ascii="仿宋_GB2312" w:hAnsi="宋体" w:eastAsia="仿宋_GB2312" w:cs="仿宋_GB2312"/>
          <w:b/>
          <w:sz w:val="32"/>
          <w:szCs w:val="32"/>
        </w:rPr>
        <w:t>”</w:t>
      </w:r>
      <w:r>
        <w:rPr>
          <w:rFonts w:hint="eastAsia" w:ascii="仿宋_GB2312" w:hAnsi="仿宋_GB2312" w:eastAsia="仿宋_GB2312" w:cs="仿宋_GB2312"/>
          <w:sz w:val="32"/>
          <w:szCs w:val="32"/>
        </w:rPr>
        <w:t>项目绩效目标完成情况综述。项目全年预算数20.00万元，执行数为20.00万元，完成预算的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宋体" w:eastAsia="仿宋_GB2312"/>
          <w:sz w:val="32"/>
          <w:szCs w:val="32"/>
          <w:lang w:val="zh-CN"/>
        </w:rPr>
        <w:t>该项目完成乡村振兴示范点（松花村）建设，村内主要交通干线安装太阳能露灯47盏，公路沿线设置护栏、植绿培绿3.3千米，建设垃圾分类箱置放点2处；根据全镇生活垃圾分类桶置放点数量，集中采购生活垃圾分类收集桶1500个，为我镇创建乡村振兴探索出有效途径，为全面加强我镇生态环境综合治理建设、上台阶打下了良好基础。</w:t>
      </w:r>
    </w:p>
    <w:p w14:paraId="68FBF809">
      <w:pPr>
        <w:adjustRightInd w:val="0"/>
        <w:snapToGrid w:val="0"/>
        <w:spacing w:line="560" w:lineRule="exact"/>
        <w:ind w:left="105" w:leftChars="50" w:firstLine="643" w:firstLineChars="200"/>
        <w:rPr>
          <w:rFonts w:ascii="仿宋_GB2312" w:hAnsi="宋体" w:eastAsia="仿宋_GB2312"/>
          <w:sz w:val="32"/>
          <w:szCs w:val="32"/>
          <w:lang w:val="zh-CN"/>
        </w:rPr>
      </w:pPr>
      <w:r>
        <w:rPr>
          <w:rFonts w:hint="eastAsia" w:ascii="宋体" w:hAnsi="宋体" w:cs="仿宋_GB2312"/>
          <w:b/>
          <w:sz w:val="32"/>
          <w:szCs w:val="32"/>
        </w:rPr>
        <w:t>（</w:t>
      </w:r>
      <w:r>
        <w:rPr>
          <w:rFonts w:ascii="宋体" w:hAnsi="宋体" w:cs="仿宋_GB2312"/>
          <w:b/>
          <w:sz w:val="32"/>
          <w:szCs w:val="32"/>
        </w:rPr>
        <w:t>5</w:t>
      </w:r>
      <w:r>
        <w:rPr>
          <w:rFonts w:hint="eastAsia" w:ascii="宋体" w:hAnsi="宋体" w:cs="仿宋_GB2312"/>
          <w:b/>
          <w:sz w:val="32"/>
          <w:szCs w:val="32"/>
        </w:rPr>
        <w:t>）“</w:t>
      </w:r>
      <w:r>
        <w:rPr>
          <w:rFonts w:hint="eastAsia" w:ascii="仿宋_GB2312" w:hAnsi="宋体" w:eastAsia="仿宋_GB2312"/>
          <w:b/>
          <w:sz w:val="32"/>
          <w:szCs w:val="32"/>
          <w:lang w:val="zh-CN"/>
        </w:rPr>
        <w:t>内城河整治和污水处理站建设占地及青苗补偿费</w:t>
      </w:r>
      <w:r>
        <w:rPr>
          <w:rFonts w:hint="eastAsia" w:ascii="宋体" w:hAnsi="宋体" w:cs="仿宋_GB2312"/>
          <w:b/>
          <w:sz w:val="32"/>
          <w:szCs w:val="32"/>
        </w:rPr>
        <w:t>”</w:t>
      </w:r>
      <w:r>
        <w:rPr>
          <w:rFonts w:hint="eastAsia" w:ascii="仿宋_GB2312" w:hAnsi="仿宋_GB2312" w:eastAsia="仿宋_GB2312" w:cs="仿宋_GB2312"/>
          <w:sz w:val="32"/>
          <w:szCs w:val="32"/>
        </w:rPr>
        <w:t>项目绩效目标完成情况综述。项目全年预算数28.51万元，执行数为28.51万元，完成预算的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宋体" w:eastAsia="仿宋_GB2312"/>
          <w:sz w:val="32"/>
          <w:szCs w:val="32"/>
          <w:lang w:val="zh-CN"/>
        </w:rPr>
        <w:t>该项目于2020年12月底前全面完成，项目资金已全额兑付到3个村17个组138户受益农户手中，无一差错，群众反映良好，深受群众好评。</w:t>
      </w:r>
    </w:p>
    <w:p w14:paraId="57F89F0A">
      <w:pPr>
        <w:adjustRightInd w:val="0"/>
        <w:snapToGrid w:val="0"/>
        <w:spacing w:line="560" w:lineRule="exact"/>
        <w:ind w:left="105" w:leftChars="50" w:firstLine="643" w:firstLineChars="200"/>
        <w:rPr>
          <w:rFonts w:ascii="仿宋_GB2312" w:hAnsi="宋体" w:eastAsia="仿宋_GB2312"/>
          <w:sz w:val="32"/>
          <w:szCs w:val="32"/>
        </w:rPr>
      </w:pPr>
      <w:r>
        <w:rPr>
          <w:rFonts w:hint="eastAsia" w:ascii="仿宋_GB2312" w:hAnsi="仿宋_GB2312" w:eastAsia="仿宋_GB2312" w:cs="仿宋_GB2312"/>
          <w:b/>
          <w:sz w:val="32"/>
          <w:szCs w:val="32"/>
        </w:rPr>
        <w:t>（6）</w:t>
      </w:r>
      <w:r>
        <w:rPr>
          <w:rFonts w:hint="eastAsia" w:ascii="仿宋_GB2312" w:hAnsi="宋体" w:eastAsia="仿宋_GB2312"/>
          <w:b/>
          <w:sz w:val="32"/>
          <w:szCs w:val="32"/>
        </w:rPr>
        <w:t>“人大代表专项工作经费等项目”</w:t>
      </w:r>
      <w:r>
        <w:rPr>
          <w:rFonts w:hint="eastAsia" w:ascii="仿宋_GB2312" w:hAnsi="宋体" w:eastAsia="仿宋_GB2312"/>
          <w:sz w:val="32"/>
          <w:szCs w:val="32"/>
        </w:rPr>
        <w:t>项目绩效目标完成情况综述。</w:t>
      </w:r>
    </w:p>
    <w:p w14:paraId="6DD28E7E">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①“人大代表工作专项经费”项目绩效目标实现年度内完成人大代表会议3次，组织代表考察、调研活动1次，采购办公设备1台（套），符合绩效目标。</w:t>
      </w:r>
    </w:p>
    <w:p w14:paraId="4E00DB89">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②“乡镇财政所专项工作经费”项目绩效目标主要是确保了日常办公、设备运转维护。</w:t>
      </w:r>
    </w:p>
    <w:p w14:paraId="3616EFB1">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③“‘三资’管理中心运转经费”项目绩效目标主要是临时聘用人员2人次劳务费、日常办公和设备运行维护。</w:t>
      </w:r>
    </w:p>
    <w:p w14:paraId="7143CE94">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④“老协、关工委等群众团体工作经费”项目绩效目标实现走访慰问贫困（留守）儿童1人，老协开展疫情防控宣传活动3次。</w:t>
      </w:r>
    </w:p>
    <w:p w14:paraId="4F6726EA">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⑤“惠农补贴‘一卡通’发放专项工作经费”项目绩效目标实现全年各项惠农补贴“一卡通”发放零差错，办公设备运转正常，资金发放及时准确。</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36"/>
        <w:gridCol w:w="56"/>
        <w:gridCol w:w="2394"/>
        <w:gridCol w:w="2392"/>
      </w:tblGrid>
      <w:tr w14:paraId="69089CF2">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14:paraId="1D42B5C0">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2091076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66C5B">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4EBA3">
            <w:pPr>
              <w:widowControl/>
              <w:jc w:val="center"/>
              <w:textAlignment w:val="center"/>
              <w:rPr>
                <w:rFonts w:ascii="宋体" w:hAnsi="宋体" w:cs="宋体"/>
                <w:color w:val="000000"/>
                <w:sz w:val="24"/>
              </w:rPr>
            </w:pPr>
            <w:r>
              <w:rPr>
                <w:rFonts w:hint="eastAsia" w:ascii="宋体" w:hAnsi="宋体" w:cs="宋体"/>
                <w:color w:val="000000"/>
                <w:sz w:val="24"/>
              </w:rPr>
              <w:t>村级组织活动和公共服务运行维护费</w:t>
            </w:r>
          </w:p>
        </w:tc>
      </w:tr>
      <w:tr w14:paraId="73EA0FB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71D0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F4092">
            <w:pPr>
              <w:widowControl/>
              <w:jc w:val="center"/>
              <w:textAlignment w:val="center"/>
              <w:rPr>
                <w:rFonts w:ascii="宋体" w:hAnsi="宋体" w:cs="宋体"/>
                <w:color w:val="000000"/>
                <w:sz w:val="24"/>
              </w:rPr>
            </w:pPr>
            <w:r>
              <w:rPr>
                <w:rFonts w:hint="eastAsia" w:ascii="宋体" w:hAnsi="宋体" w:cs="宋体"/>
                <w:color w:val="000000"/>
                <w:sz w:val="24"/>
              </w:rPr>
              <w:t>德阳市罗江区略坪镇人民政府</w:t>
            </w:r>
          </w:p>
        </w:tc>
      </w:tr>
      <w:tr w14:paraId="30CEEDC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1A1EF">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F8E32">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5A01B">
            <w:pPr>
              <w:widowControl/>
              <w:jc w:val="center"/>
              <w:textAlignment w:val="center"/>
              <w:rPr>
                <w:rFonts w:ascii="宋体" w:hAnsi="宋体" w:cs="宋体"/>
                <w:color w:val="000000"/>
                <w:sz w:val="24"/>
              </w:rPr>
            </w:pPr>
            <w:r>
              <w:rPr>
                <w:rFonts w:hint="eastAsia" w:ascii="宋体" w:hAnsi="宋体" w:cs="宋体"/>
                <w:color w:val="000000"/>
                <w:sz w:val="24"/>
              </w:rPr>
              <w:t>76.57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AE695">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532B7">
            <w:pPr>
              <w:widowControl/>
              <w:jc w:val="center"/>
              <w:textAlignment w:val="center"/>
              <w:rPr>
                <w:rFonts w:ascii="宋体" w:hAnsi="宋体" w:cs="宋体"/>
                <w:color w:val="000000"/>
                <w:sz w:val="24"/>
              </w:rPr>
            </w:pPr>
            <w:r>
              <w:rPr>
                <w:rFonts w:hint="eastAsia" w:ascii="宋体" w:hAnsi="宋体" w:cs="宋体"/>
                <w:color w:val="000000"/>
                <w:sz w:val="24"/>
              </w:rPr>
              <w:t>76.57</w:t>
            </w:r>
          </w:p>
        </w:tc>
      </w:tr>
      <w:tr w14:paraId="73AAD576">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90212">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35F5C">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E4FD9">
            <w:pPr>
              <w:widowControl/>
              <w:jc w:val="center"/>
              <w:textAlignment w:val="center"/>
              <w:rPr>
                <w:rFonts w:ascii="宋体" w:hAnsi="宋体" w:cs="宋体"/>
                <w:color w:val="000000"/>
                <w:sz w:val="24"/>
              </w:rPr>
            </w:pPr>
            <w:r>
              <w:rPr>
                <w:rFonts w:hint="eastAsia" w:ascii="宋体" w:hAnsi="宋体" w:cs="宋体"/>
                <w:color w:val="000000"/>
                <w:sz w:val="24"/>
              </w:rPr>
              <w:t>76.57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A857C">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FA902">
            <w:pPr>
              <w:widowControl/>
              <w:jc w:val="center"/>
              <w:textAlignment w:val="center"/>
              <w:rPr>
                <w:rFonts w:ascii="宋体" w:hAnsi="宋体" w:cs="宋体"/>
                <w:color w:val="000000"/>
                <w:sz w:val="24"/>
              </w:rPr>
            </w:pPr>
            <w:r>
              <w:rPr>
                <w:rFonts w:hint="eastAsia" w:ascii="宋体" w:hAnsi="宋体" w:cs="宋体"/>
                <w:color w:val="000000"/>
                <w:sz w:val="24"/>
              </w:rPr>
              <w:t>76.57</w:t>
            </w:r>
          </w:p>
        </w:tc>
      </w:tr>
      <w:tr w14:paraId="2176D20A">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023E0">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4DEA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95D69">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7125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13A69">
            <w:pPr>
              <w:jc w:val="center"/>
              <w:rPr>
                <w:rFonts w:ascii="宋体" w:hAnsi="宋体" w:cs="宋体"/>
                <w:color w:val="000000"/>
                <w:sz w:val="24"/>
              </w:rPr>
            </w:pPr>
            <w:r>
              <w:rPr>
                <w:rFonts w:hint="eastAsia" w:ascii="宋体" w:hAnsi="宋体" w:cs="宋体"/>
                <w:color w:val="000000"/>
                <w:sz w:val="24"/>
              </w:rPr>
              <w:t>0</w:t>
            </w:r>
          </w:p>
        </w:tc>
      </w:tr>
      <w:tr w14:paraId="5728B475">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C69F4">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F729B">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0F90D">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778817F">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02E8D">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14119">
            <w:pPr>
              <w:jc w:val="left"/>
              <w:rPr>
                <w:rFonts w:ascii="仿宋_GB2312" w:hAnsi="宋体" w:eastAsia="仿宋_GB2312" w:cs="宋体"/>
                <w:sz w:val="32"/>
                <w:szCs w:val="32"/>
              </w:rPr>
            </w:pPr>
            <w:r>
              <w:rPr>
                <w:rFonts w:hint="eastAsia" w:ascii="仿宋_GB2312" w:eastAsia="仿宋_GB2312"/>
                <w:sz w:val="32"/>
                <w:szCs w:val="32"/>
              </w:rPr>
              <w:t>保持镇辖区内特别是主要道路两旁无白色垃圾、纸片，无生活垃圾、建筑垃圾倾倒现象，垃圾池内垃圾及时清运、无外溢现象，保持垃圾池外观整洁，无小广告污染</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BB193">
            <w:pPr>
              <w:jc w:val="left"/>
              <w:rPr>
                <w:rFonts w:ascii="仿宋_GB2312" w:hAnsi="宋体" w:eastAsia="仿宋_GB2312" w:cs="宋体"/>
                <w:sz w:val="32"/>
                <w:szCs w:val="32"/>
              </w:rPr>
            </w:pPr>
            <w:r>
              <w:rPr>
                <w:rFonts w:hint="eastAsia" w:ascii="仿宋_GB2312" w:eastAsia="仿宋_GB2312"/>
                <w:sz w:val="32"/>
                <w:szCs w:val="32"/>
              </w:rPr>
              <w:t>保持镇辖区内特别是主要道路两旁无白色垃圾、纸片，无生活垃圾、建筑垃圾倾倒现象，垃圾池内垃圾及时清运、无外溢现象，保持垃圾池外观整洁，无小广告污染</w:t>
            </w:r>
          </w:p>
        </w:tc>
      </w:tr>
      <w:tr w14:paraId="2265CAE4">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C10F3BB">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3181B">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5DF5E">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28675">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E1D98">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A4B91">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3DD49389">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55B3E7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F967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FAE1F">
            <w:pPr>
              <w:jc w:val="center"/>
              <w:rPr>
                <w:rFonts w:ascii="宋体" w:hAnsi="宋体" w:cs="宋体"/>
                <w:sz w:val="24"/>
                <w:szCs w:val="24"/>
              </w:rPr>
            </w:pPr>
            <w:r>
              <w:rPr>
                <w:rFonts w:hint="eastAsia"/>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6D633">
            <w:pPr>
              <w:rPr>
                <w:rFonts w:ascii="宋体" w:hAnsi="宋体" w:cs="宋体"/>
                <w:sz w:val="20"/>
                <w:szCs w:val="20"/>
              </w:rPr>
            </w:pPr>
            <w:r>
              <w:rPr>
                <w:rFonts w:hint="eastAsia"/>
                <w:sz w:val="20"/>
                <w:szCs w:val="20"/>
              </w:rPr>
              <w:t>每天定时清运垃圾池，保洁员每天8小时以上在岗时间，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1FDBE">
            <w:pPr>
              <w:rPr>
                <w:rFonts w:ascii="宋体" w:hAnsi="宋体" w:cs="宋体"/>
                <w:sz w:val="20"/>
                <w:szCs w:val="20"/>
              </w:rPr>
            </w:pPr>
            <w:r>
              <w:rPr>
                <w:rFonts w:hint="eastAsia"/>
                <w:sz w:val="20"/>
                <w:szCs w:val="20"/>
              </w:rPr>
              <w:t>每天早晚各1次/天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C3A6F">
            <w:pPr>
              <w:rPr>
                <w:rFonts w:ascii="宋体" w:hAnsi="宋体" w:cs="宋体"/>
                <w:sz w:val="20"/>
                <w:szCs w:val="20"/>
              </w:rPr>
            </w:pPr>
            <w:r>
              <w:rPr>
                <w:rFonts w:hint="eastAsia"/>
                <w:sz w:val="20"/>
                <w:szCs w:val="20"/>
              </w:rPr>
              <w:t>每天早晚各1次/天</w:t>
            </w:r>
          </w:p>
        </w:tc>
      </w:tr>
      <w:tr w14:paraId="1E5F075A">
        <w:tblPrEx>
          <w:tblCellMar>
            <w:top w:w="0" w:type="dxa"/>
            <w:left w:w="0" w:type="dxa"/>
            <w:bottom w:w="0" w:type="dxa"/>
            <w:right w:w="0" w:type="dxa"/>
          </w:tblCellMar>
        </w:tblPrEx>
        <w:trPr>
          <w:trHeight w:val="9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603F99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994FE">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41CF1">
            <w:pPr>
              <w:jc w:val="center"/>
            </w:pPr>
            <w:r>
              <w:rPr>
                <w:rFonts w:hint="eastAsia"/>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ED0E8">
            <w:pPr>
              <w:rPr>
                <w:sz w:val="20"/>
                <w:szCs w:val="2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A9739">
            <w:pPr>
              <w:rPr>
                <w:sz w:val="20"/>
                <w:szCs w:val="20"/>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15841">
            <w:pPr>
              <w:rPr>
                <w:sz w:val="20"/>
                <w:szCs w:val="20"/>
              </w:rPr>
            </w:pPr>
            <w:r>
              <w:rPr>
                <w:rFonts w:hint="eastAsia"/>
                <w:sz w:val="20"/>
                <w:szCs w:val="20"/>
              </w:rPr>
              <w:t>维修沟渠33米，维修道路45米，村村响广播维护14个村</w:t>
            </w:r>
          </w:p>
        </w:tc>
      </w:tr>
      <w:tr w14:paraId="02519725">
        <w:tblPrEx>
          <w:tblCellMar>
            <w:top w:w="0" w:type="dxa"/>
            <w:left w:w="0" w:type="dxa"/>
            <w:bottom w:w="0" w:type="dxa"/>
            <w:right w:w="0" w:type="dxa"/>
          </w:tblCellMar>
        </w:tblPrEx>
        <w:trPr>
          <w:trHeight w:val="94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1BE751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1C36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9EB2D">
            <w:pPr>
              <w:jc w:val="center"/>
              <w:rPr>
                <w:rFonts w:ascii="宋体" w:hAnsi="宋体" w:cs="宋体"/>
                <w:sz w:val="24"/>
                <w:szCs w:val="24"/>
              </w:rPr>
            </w:pPr>
            <w:r>
              <w:rPr>
                <w:rFonts w:hint="eastAsia"/>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234C5">
            <w:pPr>
              <w:rPr>
                <w:rFonts w:ascii="宋体" w:hAnsi="宋体" w:cs="宋体"/>
                <w:sz w:val="20"/>
                <w:szCs w:val="20"/>
              </w:rPr>
            </w:pPr>
            <w:r>
              <w:rPr>
                <w:rFonts w:hint="eastAsia"/>
                <w:sz w:val="20"/>
                <w:szCs w:val="20"/>
              </w:rPr>
              <w:t>垃圾池无外溢，外观整洁，辖区内环境整洁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CCFFB">
            <w:pPr>
              <w:rPr>
                <w:rFonts w:ascii="宋体" w:hAnsi="宋体" w:cs="宋体"/>
                <w:sz w:val="20"/>
                <w:szCs w:val="20"/>
              </w:rPr>
            </w:pPr>
            <w:r>
              <w:rPr>
                <w:rFonts w:hint="eastAsia"/>
                <w:sz w:val="20"/>
                <w:szCs w:val="20"/>
              </w:rPr>
              <w:t>1次/天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93945">
            <w:pPr>
              <w:rPr>
                <w:rFonts w:ascii="宋体" w:hAnsi="宋体" w:cs="宋体"/>
                <w:sz w:val="20"/>
                <w:szCs w:val="20"/>
              </w:rPr>
            </w:pPr>
            <w:r>
              <w:rPr>
                <w:rFonts w:hint="eastAsia"/>
                <w:sz w:val="20"/>
                <w:szCs w:val="20"/>
              </w:rPr>
              <w:t>1次/天</w:t>
            </w:r>
          </w:p>
        </w:tc>
      </w:tr>
      <w:tr w14:paraId="167E14A9">
        <w:tblPrEx>
          <w:tblCellMar>
            <w:top w:w="0" w:type="dxa"/>
            <w:left w:w="0" w:type="dxa"/>
            <w:bottom w:w="0" w:type="dxa"/>
            <w:right w:w="0" w:type="dxa"/>
          </w:tblCellMar>
        </w:tblPrEx>
        <w:trPr>
          <w:trHeight w:val="95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692B38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0F2A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C725F">
            <w:pPr>
              <w:jc w:val="center"/>
              <w:rPr>
                <w:rFonts w:ascii="宋体" w:hAnsi="宋体" w:cs="宋体"/>
                <w:sz w:val="24"/>
                <w:szCs w:val="24"/>
              </w:rPr>
            </w:pPr>
            <w:r>
              <w:rPr>
                <w:rFonts w:hint="eastAsia"/>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576DD">
            <w:pPr>
              <w:rPr>
                <w:rFonts w:ascii="宋体" w:hAnsi="宋体" w:cs="宋体"/>
                <w:sz w:val="20"/>
                <w:szCs w:val="20"/>
              </w:rPr>
            </w:pPr>
            <w:r>
              <w:rPr>
                <w:rFonts w:hint="eastAsia"/>
                <w:sz w:val="20"/>
                <w:szCs w:val="20"/>
              </w:rPr>
              <w:t>垃圾清运与辖区内环境保洁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E070E">
            <w:pPr>
              <w:rPr>
                <w:rFonts w:ascii="宋体" w:hAnsi="宋体" w:cs="宋体"/>
                <w:sz w:val="20"/>
                <w:szCs w:val="20"/>
              </w:rPr>
            </w:pPr>
            <w:r>
              <w:rPr>
                <w:rFonts w:hint="eastAsia"/>
                <w:sz w:val="20"/>
                <w:szCs w:val="20"/>
              </w:rPr>
              <w:t>2020年全年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71CE9">
            <w:pPr>
              <w:rPr>
                <w:rFonts w:ascii="宋体" w:hAnsi="宋体" w:cs="宋体"/>
                <w:sz w:val="20"/>
                <w:szCs w:val="20"/>
              </w:rPr>
            </w:pPr>
            <w:r>
              <w:rPr>
                <w:rFonts w:hint="eastAsia"/>
                <w:sz w:val="20"/>
                <w:szCs w:val="20"/>
              </w:rPr>
              <w:t>2020年12月31日</w:t>
            </w:r>
          </w:p>
        </w:tc>
      </w:tr>
      <w:tr w14:paraId="182E377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FABBAB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A9968">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3F2D8">
            <w:pPr>
              <w:jc w:val="center"/>
              <w:rPr>
                <w:rFonts w:ascii="宋体" w:hAnsi="宋体" w:cs="宋体"/>
                <w:sz w:val="24"/>
                <w:szCs w:val="24"/>
              </w:rPr>
            </w:pPr>
            <w:r>
              <w:rPr>
                <w:rFonts w:hint="eastAsia"/>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0439E">
            <w:pPr>
              <w:rPr>
                <w:rFonts w:ascii="宋体" w:hAnsi="宋体" w:cs="宋体"/>
                <w:sz w:val="20"/>
                <w:szCs w:val="20"/>
              </w:rPr>
            </w:pPr>
            <w:r>
              <w:rPr>
                <w:rFonts w:hint="eastAsia"/>
                <w:sz w:val="20"/>
                <w:szCs w:val="20"/>
              </w:rPr>
              <w:t>垃圾清运和保洁员劳务费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1702E">
            <w:pPr>
              <w:rPr>
                <w:rFonts w:ascii="宋体" w:hAnsi="宋体" w:cs="宋体"/>
                <w:sz w:val="20"/>
                <w:szCs w:val="20"/>
              </w:rPr>
            </w:pPr>
            <w:r>
              <w:rPr>
                <w:rFonts w:hint="eastAsia"/>
                <w:sz w:val="20"/>
                <w:szCs w:val="20"/>
              </w:rPr>
              <w:t>劳务费625元/人·月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09E94">
            <w:pPr>
              <w:rPr>
                <w:rFonts w:ascii="宋体" w:hAnsi="宋体" w:cs="宋体"/>
                <w:sz w:val="20"/>
                <w:szCs w:val="20"/>
              </w:rPr>
            </w:pPr>
            <w:r>
              <w:rPr>
                <w:rFonts w:hint="eastAsia"/>
                <w:sz w:val="20"/>
                <w:szCs w:val="20"/>
              </w:rPr>
              <w:t>劳务费625元/人·月</w:t>
            </w:r>
          </w:p>
        </w:tc>
      </w:tr>
      <w:tr w14:paraId="61B4859F">
        <w:tblPrEx>
          <w:tblCellMar>
            <w:top w:w="0" w:type="dxa"/>
            <w:left w:w="0" w:type="dxa"/>
            <w:bottom w:w="0" w:type="dxa"/>
            <w:right w:w="0" w:type="dxa"/>
          </w:tblCellMar>
        </w:tblPrEx>
        <w:trPr>
          <w:trHeight w:val="8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FDE8B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6E303">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23500">
            <w:pPr>
              <w:jc w:val="center"/>
              <w:rPr>
                <w:rFonts w:ascii="宋体" w:hAnsi="宋体" w:cs="宋体"/>
                <w:sz w:val="24"/>
                <w:szCs w:val="24"/>
              </w:rPr>
            </w:pPr>
            <w:r>
              <w:rPr>
                <w:rFonts w:hint="eastAsia"/>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8ABC9">
            <w:pPr>
              <w:rPr>
                <w:rFonts w:ascii="宋体" w:hAnsi="宋体" w:cs="宋体"/>
                <w:sz w:val="20"/>
                <w:szCs w:val="20"/>
              </w:rPr>
            </w:pPr>
            <w:r>
              <w:rPr>
                <w:rFonts w:hint="eastAsia"/>
                <w:sz w:val="20"/>
                <w:szCs w:val="20"/>
              </w:rPr>
              <w:t>环境整洁率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D2FAB">
            <w:pPr>
              <w:rPr>
                <w:rFonts w:ascii="宋体" w:hAnsi="宋体" w:cs="宋体"/>
                <w:sz w:val="20"/>
                <w:szCs w:val="20"/>
              </w:rPr>
            </w:pPr>
            <w:r>
              <w:rPr>
                <w:rFonts w:hint="eastAsia"/>
                <w:sz w:val="20"/>
                <w:szCs w:val="20"/>
              </w:rPr>
              <w:t>环境整洁天数≧360天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44E2F">
            <w:pPr>
              <w:rPr>
                <w:rFonts w:ascii="宋体" w:hAnsi="宋体" w:cs="宋体"/>
                <w:sz w:val="20"/>
                <w:szCs w:val="20"/>
              </w:rPr>
            </w:pPr>
            <w:r>
              <w:rPr>
                <w:rFonts w:hint="eastAsia"/>
                <w:sz w:val="20"/>
                <w:szCs w:val="20"/>
              </w:rPr>
              <w:t>环境整洁天数≧360天</w:t>
            </w:r>
          </w:p>
        </w:tc>
      </w:tr>
      <w:tr w14:paraId="09A02446">
        <w:tblPrEx>
          <w:tblCellMar>
            <w:top w:w="0" w:type="dxa"/>
            <w:left w:w="0" w:type="dxa"/>
            <w:bottom w:w="0" w:type="dxa"/>
            <w:right w:w="0" w:type="dxa"/>
          </w:tblCellMar>
        </w:tblPrEx>
        <w:trPr>
          <w:trHeight w:val="78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3A689B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81C9D">
            <w:pPr>
              <w:widowControl/>
              <w:jc w:val="center"/>
              <w:textAlignment w:val="center"/>
              <w:rPr>
                <w:rFonts w:ascii="宋体" w:hAnsi="宋体" w:cs="宋体"/>
                <w:color w:val="000000"/>
                <w:sz w:val="24"/>
              </w:rPr>
            </w:pPr>
            <w:r>
              <w:rPr>
                <w:rFonts w:hint="eastAsia" w:ascii="宋体" w:hAnsi="宋体" w:cs="宋体"/>
                <w:color w:val="000000"/>
                <w:sz w:val="24"/>
              </w:rPr>
              <w:t>项目满意度指标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9D9BC">
            <w:pPr>
              <w:jc w:val="center"/>
              <w:rPr>
                <w:rFonts w:ascii="宋体" w:hAnsi="宋体" w:cs="宋体"/>
                <w:sz w:val="24"/>
                <w:szCs w:val="24"/>
              </w:rPr>
            </w:pPr>
            <w:r>
              <w:rPr>
                <w:rFonts w:hint="eastAsia"/>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F6337">
            <w:pPr>
              <w:rPr>
                <w:rFonts w:ascii="宋体" w:hAnsi="宋体" w:cs="宋体"/>
                <w:sz w:val="20"/>
                <w:szCs w:val="20"/>
              </w:rPr>
            </w:pPr>
            <w:r>
              <w:rPr>
                <w:rFonts w:hint="eastAsia"/>
                <w:sz w:val="20"/>
                <w:szCs w:val="20"/>
              </w:rPr>
              <w:t>项目可持续发挥作用期限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519A5">
            <w:pPr>
              <w:rPr>
                <w:rFonts w:ascii="宋体" w:hAnsi="宋体" w:cs="宋体"/>
                <w:sz w:val="20"/>
                <w:szCs w:val="20"/>
              </w:rPr>
            </w:pPr>
            <w:r>
              <w:rPr>
                <w:rFonts w:hint="eastAsia"/>
                <w:sz w:val="20"/>
                <w:szCs w:val="20"/>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14DE4">
            <w:pPr>
              <w:rPr>
                <w:rFonts w:ascii="宋体" w:hAnsi="宋体" w:cs="宋体"/>
                <w:sz w:val="20"/>
                <w:szCs w:val="20"/>
              </w:rPr>
            </w:pPr>
            <w:r>
              <w:rPr>
                <w:rFonts w:hint="eastAsia"/>
                <w:sz w:val="20"/>
                <w:szCs w:val="20"/>
              </w:rPr>
              <w:t>长期</w:t>
            </w:r>
          </w:p>
        </w:tc>
      </w:tr>
      <w:tr w14:paraId="7A9D00A4">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14:paraId="570C9505">
            <w:pPr>
              <w:widowControl/>
              <w:textAlignment w:val="center"/>
              <w:rPr>
                <w:rFonts w:ascii="宋体" w:hAnsi="宋体" w:cs="宋体"/>
                <w:b/>
                <w:bCs/>
                <w:color w:val="000000"/>
                <w:kern w:val="0"/>
                <w:sz w:val="36"/>
                <w:szCs w:val="36"/>
              </w:rPr>
            </w:pPr>
          </w:p>
          <w:p w14:paraId="5BF5F9EB">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51E6CEA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D054A">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8E20B">
            <w:pPr>
              <w:widowControl/>
              <w:jc w:val="center"/>
              <w:textAlignment w:val="center"/>
              <w:rPr>
                <w:rFonts w:ascii="宋体" w:hAnsi="宋体" w:cs="宋体"/>
                <w:color w:val="000000"/>
              </w:rPr>
            </w:pPr>
            <w:r>
              <w:rPr>
                <w:rFonts w:hint="eastAsia" w:ascii="宋体" w:hAnsi="宋体" w:cs="宋体"/>
                <w:color w:val="000000"/>
              </w:rPr>
              <w:t>抗疫特别国债支出（防疫一线人员工作补助）和疫情防控工作经费</w:t>
            </w:r>
          </w:p>
        </w:tc>
      </w:tr>
      <w:tr w14:paraId="11046D9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95EA6">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5B9DF">
            <w:pPr>
              <w:widowControl/>
              <w:jc w:val="center"/>
              <w:textAlignment w:val="center"/>
              <w:rPr>
                <w:rFonts w:ascii="宋体" w:hAnsi="宋体" w:cs="宋体"/>
                <w:color w:val="000000"/>
                <w:sz w:val="24"/>
              </w:rPr>
            </w:pPr>
            <w:r>
              <w:rPr>
                <w:rFonts w:hint="eastAsia" w:ascii="宋体" w:hAnsi="宋体" w:cs="宋体"/>
                <w:color w:val="000000"/>
                <w:sz w:val="24"/>
              </w:rPr>
              <w:t>德阳市罗江区略坪镇人民政府</w:t>
            </w:r>
          </w:p>
        </w:tc>
      </w:tr>
      <w:tr w14:paraId="75EA0E6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EBD8C">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6DB25">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26FB9">
            <w:pPr>
              <w:widowControl/>
              <w:jc w:val="center"/>
              <w:textAlignment w:val="center"/>
              <w:rPr>
                <w:rFonts w:ascii="宋体" w:hAnsi="宋体" w:cs="宋体"/>
                <w:color w:val="000000"/>
                <w:sz w:val="24"/>
              </w:rPr>
            </w:pPr>
            <w:r>
              <w:rPr>
                <w:rFonts w:hint="eastAsia" w:ascii="宋体" w:hAnsi="宋体" w:cs="宋体"/>
                <w:color w:val="000000"/>
                <w:sz w:val="24"/>
              </w:rPr>
              <w:t>42.98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4333D">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BA260">
            <w:pPr>
              <w:widowControl/>
              <w:jc w:val="center"/>
              <w:textAlignment w:val="center"/>
              <w:rPr>
                <w:rFonts w:ascii="宋体" w:hAnsi="宋体" w:cs="宋体"/>
                <w:color w:val="000000"/>
                <w:sz w:val="24"/>
              </w:rPr>
            </w:pPr>
            <w:r>
              <w:rPr>
                <w:rFonts w:hint="eastAsia" w:ascii="宋体" w:hAnsi="宋体" w:cs="宋体"/>
                <w:color w:val="000000"/>
                <w:sz w:val="24"/>
              </w:rPr>
              <w:t>42.98</w:t>
            </w:r>
          </w:p>
        </w:tc>
      </w:tr>
      <w:tr w14:paraId="44FBCF9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26644">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1E10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C16A4">
            <w:pPr>
              <w:widowControl/>
              <w:jc w:val="center"/>
              <w:textAlignment w:val="center"/>
              <w:rPr>
                <w:rFonts w:ascii="宋体" w:hAnsi="宋体" w:cs="宋体"/>
                <w:color w:val="000000"/>
                <w:sz w:val="24"/>
              </w:rPr>
            </w:pPr>
            <w:r>
              <w:rPr>
                <w:rFonts w:hint="eastAsia" w:ascii="宋体" w:hAnsi="宋体" w:cs="宋体"/>
                <w:color w:val="000000"/>
                <w:sz w:val="24"/>
              </w:rPr>
              <w:t>42.98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E920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80510">
            <w:pPr>
              <w:widowControl/>
              <w:jc w:val="center"/>
              <w:textAlignment w:val="center"/>
              <w:rPr>
                <w:rFonts w:ascii="宋体" w:hAnsi="宋体" w:cs="宋体"/>
                <w:color w:val="000000"/>
                <w:sz w:val="24"/>
              </w:rPr>
            </w:pPr>
            <w:r>
              <w:rPr>
                <w:rFonts w:hint="eastAsia" w:ascii="宋体" w:hAnsi="宋体" w:cs="宋体"/>
                <w:color w:val="000000"/>
                <w:sz w:val="24"/>
              </w:rPr>
              <w:t>42.98</w:t>
            </w:r>
          </w:p>
        </w:tc>
      </w:tr>
      <w:tr w14:paraId="3A8947D9">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D7F32">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2216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EE726">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878F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56EE7">
            <w:pPr>
              <w:jc w:val="center"/>
              <w:rPr>
                <w:rFonts w:ascii="宋体" w:hAnsi="宋体" w:cs="宋体"/>
                <w:color w:val="000000"/>
                <w:sz w:val="24"/>
              </w:rPr>
            </w:pPr>
            <w:r>
              <w:rPr>
                <w:rFonts w:hint="eastAsia" w:ascii="宋体" w:hAnsi="宋体" w:cs="宋体"/>
                <w:color w:val="000000"/>
                <w:sz w:val="24"/>
              </w:rPr>
              <w:t>0</w:t>
            </w:r>
          </w:p>
        </w:tc>
      </w:tr>
      <w:tr w14:paraId="001F1D5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EB08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B6E99">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6D2DF">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FC64BB2">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A0638">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5D63F">
            <w:pPr>
              <w:jc w:val="left"/>
              <w:rPr>
                <w:rFonts w:ascii="宋体" w:hAnsi="宋体" w:cs="宋体"/>
                <w:color w:val="000000"/>
                <w:sz w:val="22"/>
                <w:szCs w:val="22"/>
              </w:rPr>
            </w:pPr>
            <w:r>
              <w:rPr>
                <w:rFonts w:hint="eastAsia"/>
                <w:color w:val="000000"/>
                <w:sz w:val="22"/>
                <w:szCs w:val="22"/>
              </w:rPr>
              <w:t>确保辖区内不发生新冠肺炎疫情呈暴发流行，对疑似病例或感染者进行有效隔离，做好医学观察登记等</w:t>
            </w:r>
          </w:p>
          <w:p w14:paraId="5FAAF469">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40235">
            <w:pPr>
              <w:jc w:val="left"/>
              <w:rPr>
                <w:rFonts w:ascii="宋体" w:hAnsi="宋体" w:cs="宋体"/>
                <w:color w:val="000000"/>
                <w:sz w:val="22"/>
                <w:szCs w:val="22"/>
              </w:rPr>
            </w:pPr>
            <w:r>
              <w:rPr>
                <w:rFonts w:hint="eastAsia"/>
                <w:color w:val="000000"/>
                <w:sz w:val="22"/>
                <w:szCs w:val="22"/>
              </w:rPr>
              <w:t>确保辖区内不发生新冠肺炎疫情呈暴发流行，对疑似病例或感染者进行有效隔离，做好医学观察登记等</w:t>
            </w:r>
          </w:p>
          <w:p w14:paraId="72455D92">
            <w:pPr>
              <w:widowControl/>
              <w:jc w:val="center"/>
              <w:textAlignment w:val="center"/>
              <w:rPr>
                <w:rFonts w:ascii="宋体" w:hAnsi="宋体" w:cs="宋体"/>
                <w:color w:val="000000"/>
                <w:sz w:val="24"/>
              </w:rPr>
            </w:pPr>
          </w:p>
        </w:tc>
      </w:tr>
      <w:tr w14:paraId="389A0D74">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2DB318F">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AC9C3">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6D25F">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61F43">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AF899">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754EB">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DBABFA6">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71CE83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7A9B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F58A0">
            <w:pPr>
              <w:jc w:val="center"/>
              <w:rPr>
                <w:rFonts w:ascii="宋体" w:hAnsi="宋体" w:cs="宋体"/>
                <w:sz w:val="24"/>
                <w:szCs w:val="24"/>
              </w:rPr>
            </w:pPr>
            <w:r>
              <w:rPr>
                <w:rFonts w:hint="eastAsia"/>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C9B20">
            <w:pPr>
              <w:rPr>
                <w:rFonts w:ascii="宋体" w:hAnsi="宋体" w:cs="宋体"/>
                <w:sz w:val="20"/>
                <w:szCs w:val="20"/>
              </w:rPr>
            </w:pPr>
            <w:r>
              <w:rPr>
                <w:rFonts w:hint="eastAsia"/>
                <w:sz w:val="20"/>
                <w:szCs w:val="20"/>
              </w:rPr>
              <w:t>卡点设置，组建防控队伍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F9E76">
            <w:pPr>
              <w:rPr>
                <w:rFonts w:ascii="宋体" w:hAnsi="宋体" w:cs="宋体"/>
                <w:sz w:val="20"/>
                <w:szCs w:val="20"/>
              </w:rPr>
            </w:pPr>
            <w:r>
              <w:rPr>
                <w:rFonts w:hint="eastAsia"/>
                <w:sz w:val="20"/>
                <w:szCs w:val="20"/>
              </w:rPr>
              <w:t>组织防疫队伍16个，设置卡点59处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775DF">
            <w:pPr>
              <w:widowControl/>
              <w:jc w:val="center"/>
              <w:textAlignment w:val="center"/>
              <w:rPr>
                <w:rFonts w:ascii="宋体" w:hAnsi="宋体" w:cs="宋体"/>
                <w:color w:val="000000"/>
              </w:rPr>
            </w:pPr>
            <w:r>
              <w:rPr>
                <w:rFonts w:hint="eastAsia" w:ascii="宋体" w:hAnsi="宋体" w:cs="宋体"/>
                <w:color w:val="000000"/>
              </w:rPr>
              <w:t>组建防疫队伍16只，参与抗疫人员550人，采购防疫物资5批次3500余件。</w:t>
            </w:r>
          </w:p>
        </w:tc>
      </w:tr>
      <w:tr w14:paraId="2FE091A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65526F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1AAB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4275D">
            <w:pPr>
              <w:jc w:val="center"/>
              <w:rPr>
                <w:rFonts w:ascii="宋体" w:hAnsi="宋体" w:cs="宋体"/>
                <w:sz w:val="24"/>
                <w:szCs w:val="24"/>
              </w:rPr>
            </w:pPr>
            <w:r>
              <w:rPr>
                <w:rFonts w:hint="eastAsia"/>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622FA">
            <w:pPr>
              <w:rPr>
                <w:rFonts w:ascii="宋体" w:hAnsi="宋体" w:cs="宋体"/>
                <w:sz w:val="20"/>
                <w:szCs w:val="20"/>
              </w:rPr>
            </w:pPr>
            <w:r>
              <w:rPr>
                <w:rFonts w:hint="eastAsia"/>
                <w:sz w:val="20"/>
                <w:szCs w:val="20"/>
              </w:rPr>
              <w:t>减少人员流动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B414D">
            <w:pPr>
              <w:rPr>
                <w:rFonts w:ascii="宋体" w:hAnsi="宋体" w:cs="宋体"/>
                <w:sz w:val="20"/>
                <w:szCs w:val="20"/>
              </w:rPr>
            </w:pPr>
            <w:r>
              <w:rPr>
                <w:rFonts w:hint="eastAsia"/>
                <w:sz w:val="20"/>
                <w:szCs w:val="20"/>
              </w:rPr>
              <w:t>各村（社区）人员保持不流动，无聚集现象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2929D">
            <w:pPr>
              <w:widowControl/>
              <w:jc w:val="left"/>
              <w:textAlignment w:val="center"/>
              <w:rPr>
                <w:rFonts w:ascii="宋体" w:hAnsi="宋体" w:cs="宋体"/>
                <w:color w:val="000000"/>
                <w:sz w:val="24"/>
              </w:rPr>
            </w:pPr>
            <w:r>
              <w:rPr>
                <w:rFonts w:hint="eastAsia"/>
                <w:sz w:val="20"/>
                <w:szCs w:val="20"/>
              </w:rPr>
              <w:t>各村（社区）人员保持不流动，无聚集现象。</w:t>
            </w:r>
          </w:p>
        </w:tc>
      </w:tr>
      <w:tr w14:paraId="459C4D8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8C0065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B041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AA22C">
            <w:pPr>
              <w:jc w:val="center"/>
              <w:rPr>
                <w:rFonts w:ascii="宋体" w:hAnsi="宋体" w:cs="宋体"/>
                <w:sz w:val="24"/>
                <w:szCs w:val="24"/>
              </w:rPr>
            </w:pPr>
            <w:r>
              <w:rPr>
                <w:rFonts w:hint="eastAsia"/>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3B3AC">
            <w:pPr>
              <w:rPr>
                <w:rFonts w:ascii="宋体" w:hAnsi="宋体" w:cs="宋体"/>
                <w:sz w:val="20"/>
                <w:szCs w:val="20"/>
              </w:rPr>
            </w:pPr>
            <w:r>
              <w:rPr>
                <w:rFonts w:hint="eastAsia"/>
                <w:sz w:val="20"/>
                <w:szCs w:val="20"/>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35A2F">
            <w:pPr>
              <w:rPr>
                <w:rFonts w:ascii="宋体" w:hAnsi="宋体" w:cs="宋体"/>
                <w:sz w:val="20"/>
                <w:szCs w:val="20"/>
              </w:rPr>
            </w:pPr>
            <w:r>
              <w:rPr>
                <w:rFonts w:hint="eastAsia"/>
                <w:sz w:val="20"/>
                <w:szCs w:val="20"/>
              </w:rPr>
              <w:t>疫情防控期间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35F75">
            <w:pPr>
              <w:widowControl/>
              <w:jc w:val="center"/>
              <w:textAlignment w:val="center"/>
              <w:rPr>
                <w:rFonts w:ascii="宋体" w:hAnsi="宋体" w:cs="宋体"/>
                <w:color w:val="000000"/>
                <w:sz w:val="24"/>
              </w:rPr>
            </w:pPr>
            <w:r>
              <w:rPr>
                <w:rFonts w:hint="eastAsia" w:ascii="宋体" w:hAnsi="宋体" w:cs="宋体"/>
                <w:color w:val="000000"/>
                <w:sz w:val="24"/>
              </w:rPr>
              <w:t>2020年12月31日</w:t>
            </w:r>
          </w:p>
        </w:tc>
      </w:tr>
      <w:tr w14:paraId="0F80734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62D3D8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65522">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C0D92">
            <w:pPr>
              <w:jc w:val="center"/>
              <w:rPr>
                <w:rFonts w:ascii="宋体" w:hAnsi="宋体" w:cs="宋体"/>
                <w:sz w:val="24"/>
                <w:szCs w:val="24"/>
              </w:rPr>
            </w:pPr>
            <w:r>
              <w:rPr>
                <w:rFonts w:hint="eastAsia"/>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F066A">
            <w:pPr>
              <w:rPr>
                <w:rFonts w:ascii="宋体" w:hAnsi="宋体" w:cs="宋体"/>
                <w:sz w:val="20"/>
                <w:szCs w:val="20"/>
              </w:rPr>
            </w:pPr>
            <w:r>
              <w:rPr>
                <w:rFonts w:hint="eastAsia"/>
                <w:sz w:val="20"/>
                <w:szCs w:val="20"/>
              </w:rPr>
              <w:t>工作经费及防疫人员补助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225E1">
            <w:pPr>
              <w:rPr>
                <w:rFonts w:ascii="宋体" w:hAnsi="宋体" w:cs="宋体"/>
                <w:sz w:val="20"/>
                <w:szCs w:val="20"/>
              </w:rPr>
            </w:pPr>
            <w:r>
              <w:rPr>
                <w:rFonts w:hint="eastAsia"/>
                <w:sz w:val="20"/>
                <w:szCs w:val="20"/>
              </w:rPr>
              <w:t>村级防疫人员工作补助及工作经费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0400E">
            <w:pPr>
              <w:widowControl/>
              <w:textAlignment w:val="center"/>
              <w:rPr>
                <w:rFonts w:ascii="宋体" w:hAnsi="宋体" w:cs="宋体"/>
                <w:color w:val="000000"/>
              </w:rPr>
            </w:pPr>
            <w:r>
              <w:rPr>
                <w:rFonts w:hint="eastAsia" w:ascii="宋体" w:hAnsi="宋体" w:cs="宋体"/>
                <w:color w:val="000000"/>
              </w:rPr>
              <w:t>发放一线防疫人员工作补助33.75万元，村级工作经费4.50万元，镇级开支4.73万元</w:t>
            </w:r>
          </w:p>
        </w:tc>
      </w:tr>
      <w:tr w14:paraId="38B3D4D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FA4C1A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CEE77">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C6467">
            <w:pPr>
              <w:jc w:val="center"/>
              <w:rPr>
                <w:rFonts w:ascii="宋体" w:hAnsi="宋体" w:cs="宋体"/>
                <w:sz w:val="24"/>
                <w:szCs w:val="24"/>
              </w:rPr>
            </w:pPr>
            <w:r>
              <w:rPr>
                <w:rFonts w:hint="eastAsia"/>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4EFE5">
            <w:pPr>
              <w:rPr>
                <w:rFonts w:ascii="宋体" w:hAnsi="宋体" w:cs="宋体"/>
                <w:sz w:val="20"/>
                <w:szCs w:val="20"/>
              </w:rPr>
            </w:pPr>
            <w:r>
              <w:rPr>
                <w:rFonts w:hint="eastAsia"/>
                <w:sz w:val="20"/>
                <w:szCs w:val="20"/>
              </w:rPr>
              <w:t>疫情防控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4A70A">
            <w:pPr>
              <w:rPr>
                <w:rFonts w:ascii="宋体" w:hAnsi="宋体" w:cs="宋体"/>
                <w:sz w:val="20"/>
                <w:szCs w:val="20"/>
              </w:rPr>
            </w:pPr>
            <w:r>
              <w:rPr>
                <w:rFonts w:hint="eastAsia"/>
                <w:sz w:val="20"/>
                <w:szCs w:val="20"/>
              </w:rPr>
              <w:t>减少人员流动，确保防控措施落实，保障群众健康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742AC">
            <w:pPr>
              <w:rPr>
                <w:rFonts w:ascii="宋体" w:hAnsi="宋体" w:cs="宋体"/>
                <w:sz w:val="20"/>
                <w:szCs w:val="20"/>
              </w:rPr>
            </w:pPr>
            <w:r>
              <w:rPr>
                <w:rFonts w:hint="eastAsia"/>
                <w:sz w:val="20"/>
                <w:szCs w:val="20"/>
              </w:rPr>
              <w:t>减少人员流动，确保防控措施落实，保障群众健康</w:t>
            </w:r>
          </w:p>
        </w:tc>
      </w:tr>
      <w:tr w14:paraId="0799427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3B5C01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8BAB8">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2704C">
            <w:pPr>
              <w:jc w:val="center"/>
              <w:rPr>
                <w:rFonts w:ascii="宋体" w:hAnsi="宋体" w:cs="宋体"/>
                <w:sz w:val="24"/>
                <w:szCs w:val="24"/>
              </w:rPr>
            </w:pPr>
            <w:r>
              <w:rPr>
                <w:rFonts w:hint="eastAsia"/>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EAAB9">
            <w:pPr>
              <w:rPr>
                <w:rFonts w:ascii="宋体" w:hAnsi="宋体" w:cs="宋体"/>
                <w:sz w:val="20"/>
                <w:szCs w:val="20"/>
              </w:rPr>
            </w:pPr>
            <w:r>
              <w:rPr>
                <w:rFonts w:hint="eastAsia"/>
                <w:sz w:val="20"/>
                <w:szCs w:val="20"/>
              </w:rPr>
              <w:t>项目可持续发挥作用期限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5E277">
            <w:pPr>
              <w:rPr>
                <w:rFonts w:ascii="宋体" w:hAnsi="宋体" w:cs="宋体"/>
                <w:sz w:val="20"/>
                <w:szCs w:val="20"/>
              </w:rPr>
            </w:pPr>
            <w:r>
              <w:rPr>
                <w:rFonts w:hint="eastAsia"/>
                <w:sz w:val="20"/>
                <w:szCs w:val="20"/>
              </w:rPr>
              <w:t>在规定时限内发挥作用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14BA2">
            <w:pPr>
              <w:rPr>
                <w:rFonts w:ascii="宋体" w:hAnsi="宋体" w:cs="宋体"/>
                <w:sz w:val="20"/>
                <w:szCs w:val="20"/>
              </w:rPr>
            </w:pPr>
            <w:r>
              <w:rPr>
                <w:rFonts w:hint="eastAsia"/>
                <w:sz w:val="20"/>
                <w:szCs w:val="20"/>
              </w:rPr>
              <w:t>在规定时限内发挥作用</w:t>
            </w:r>
          </w:p>
        </w:tc>
      </w:tr>
      <w:tr w14:paraId="0C7096F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D2ED15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CCF05">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824FD">
            <w:pPr>
              <w:jc w:val="center"/>
              <w:rPr>
                <w:rFonts w:ascii="宋体" w:hAnsi="宋体" w:cs="宋体"/>
                <w:sz w:val="20"/>
                <w:szCs w:val="20"/>
              </w:rPr>
            </w:pPr>
            <w:r>
              <w:rPr>
                <w:rFonts w:hint="eastAsia"/>
                <w:sz w:val="20"/>
                <w:szCs w:val="20"/>
              </w:rPr>
              <w:t>服务对象满意度指标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E043D">
            <w:pPr>
              <w:rPr>
                <w:rFonts w:ascii="宋体" w:hAnsi="宋体" w:cs="宋体"/>
                <w:sz w:val="20"/>
                <w:szCs w:val="20"/>
              </w:rPr>
            </w:pPr>
            <w:r>
              <w:rPr>
                <w:rFonts w:hint="eastAsia"/>
                <w:sz w:val="20"/>
                <w:szCs w:val="20"/>
              </w:rPr>
              <w:t>受益群众满意度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8DC66">
            <w:pPr>
              <w:rPr>
                <w:rFonts w:ascii="宋体" w:hAnsi="宋体" w:cs="宋体"/>
                <w:sz w:val="20"/>
                <w:szCs w:val="20"/>
              </w:rPr>
            </w:pPr>
            <w:r>
              <w:rPr>
                <w:rFonts w:hint="eastAsia"/>
                <w:sz w:val="20"/>
                <w:szCs w:val="20"/>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3E193">
            <w:pPr>
              <w:rPr>
                <w:rFonts w:ascii="宋体" w:hAnsi="宋体" w:cs="宋体"/>
                <w:sz w:val="20"/>
                <w:szCs w:val="20"/>
              </w:rPr>
            </w:pPr>
            <w:r>
              <w:rPr>
                <w:rFonts w:hint="eastAsia"/>
                <w:sz w:val="20"/>
                <w:szCs w:val="20"/>
              </w:rPr>
              <w:t>≧98%</w:t>
            </w:r>
          </w:p>
        </w:tc>
      </w:tr>
      <w:tr w14:paraId="23DB2D68">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14:paraId="444FE73A">
            <w:pPr>
              <w:widowControl/>
              <w:jc w:val="center"/>
              <w:textAlignment w:val="center"/>
              <w:rPr>
                <w:rFonts w:ascii="宋体" w:hAnsi="宋体" w:cs="宋体"/>
                <w:b/>
                <w:bCs/>
                <w:color w:val="000000"/>
                <w:kern w:val="0"/>
                <w:sz w:val="36"/>
                <w:szCs w:val="36"/>
              </w:rPr>
            </w:pPr>
          </w:p>
          <w:p w14:paraId="4284C91F">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1FC6E5B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F29A6">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4AEDA">
            <w:pPr>
              <w:widowControl/>
              <w:jc w:val="center"/>
              <w:textAlignment w:val="center"/>
              <w:rPr>
                <w:rFonts w:ascii="宋体" w:hAnsi="宋体" w:cs="宋体"/>
                <w:color w:val="000000"/>
                <w:sz w:val="24"/>
              </w:rPr>
            </w:pPr>
            <w:r>
              <w:rPr>
                <w:rFonts w:hint="eastAsia" w:ascii="宋体" w:hAnsi="宋体" w:cs="宋体"/>
                <w:color w:val="000000"/>
                <w:sz w:val="24"/>
              </w:rPr>
              <w:t>范玉明维稳专项工作经费</w:t>
            </w:r>
          </w:p>
        </w:tc>
      </w:tr>
      <w:tr w14:paraId="39BE4AB3">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3D4B1">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B54E3">
            <w:pPr>
              <w:widowControl/>
              <w:jc w:val="center"/>
              <w:textAlignment w:val="center"/>
              <w:rPr>
                <w:rFonts w:ascii="宋体" w:hAnsi="宋体" w:cs="宋体"/>
                <w:color w:val="000000"/>
                <w:sz w:val="24"/>
              </w:rPr>
            </w:pPr>
            <w:r>
              <w:rPr>
                <w:rFonts w:hint="eastAsia" w:ascii="宋体" w:hAnsi="宋体" w:cs="宋体"/>
                <w:color w:val="000000"/>
                <w:sz w:val="24"/>
              </w:rPr>
              <w:t>德阳市罗江区略坪镇人民政府</w:t>
            </w:r>
          </w:p>
        </w:tc>
      </w:tr>
      <w:tr w14:paraId="6C31200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B7C2E">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8821F">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2871F">
            <w:pPr>
              <w:widowControl/>
              <w:jc w:val="center"/>
              <w:textAlignment w:val="center"/>
              <w:rPr>
                <w:rFonts w:ascii="宋体" w:hAnsi="宋体" w:cs="宋体"/>
                <w:color w:val="000000"/>
                <w:sz w:val="24"/>
              </w:rPr>
            </w:pPr>
            <w:r>
              <w:rPr>
                <w:rFonts w:hint="eastAsia" w:ascii="宋体" w:hAnsi="宋体" w:cs="宋体"/>
                <w:color w:val="000000"/>
                <w:sz w:val="24"/>
              </w:rPr>
              <w:t>21.30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FAE24">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008DF">
            <w:pPr>
              <w:widowControl/>
              <w:jc w:val="center"/>
              <w:textAlignment w:val="center"/>
              <w:rPr>
                <w:rFonts w:ascii="宋体" w:hAnsi="宋体" w:cs="宋体"/>
                <w:color w:val="000000"/>
                <w:sz w:val="24"/>
              </w:rPr>
            </w:pPr>
            <w:r>
              <w:rPr>
                <w:rFonts w:hint="eastAsia" w:ascii="宋体" w:hAnsi="宋体" w:cs="宋体"/>
                <w:color w:val="000000"/>
                <w:sz w:val="24"/>
              </w:rPr>
              <w:t>21.30</w:t>
            </w:r>
          </w:p>
        </w:tc>
      </w:tr>
      <w:tr w14:paraId="5FADC0A7">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0A2E6">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0452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89EF5">
            <w:pPr>
              <w:widowControl/>
              <w:jc w:val="center"/>
              <w:textAlignment w:val="center"/>
              <w:rPr>
                <w:rFonts w:ascii="宋体" w:hAnsi="宋体" w:cs="宋体"/>
                <w:color w:val="000000"/>
                <w:sz w:val="24"/>
              </w:rPr>
            </w:pPr>
            <w:r>
              <w:rPr>
                <w:rFonts w:hint="eastAsia" w:ascii="宋体" w:hAnsi="宋体" w:cs="宋体"/>
                <w:color w:val="000000"/>
                <w:sz w:val="24"/>
              </w:rPr>
              <w:t>21.30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8D7B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25477">
            <w:pPr>
              <w:widowControl/>
              <w:jc w:val="center"/>
              <w:textAlignment w:val="center"/>
              <w:rPr>
                <w:rFonts w:ascii="宋体" w:hAnsi="宋体" w:cs="宋体"/>
                <w:color w:val="000000"/>
                <w:sz w:val="24"/>
              </w:rPr>
            </w:pPr>
            <w:r>
              <w:rPr>
                <w:rFonts w:hint="eastAsia" w:ascii="宋体" w:hAnsi="宋体" w:cs="宋体"/>
                <w:color w:val="000000"/>
                <w:sz w:val="24"/>
              </w:rPr>
              <w:t>21.30</w:t>
            </w:r>
          </w:p>
        </w:tc>
      </w:tr>
      <w:tr w14:paraId="6A1D079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55998">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BA879">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09A22">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040B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E8491">
            <w:pPr>
              <w:jc w:val="center"/>
              <w:rPr>
                <w:rFonts w:ascii="宋体" w:hAnsi="宋体" w:cs="宋体"/>
                <w:color w:val="000000"/>
                <w:sz w:val="24"/>
              </w:rPr>
            </w:pPr>
            <w:r>
              <w:rPr>
                <w:rFonts w:hint="eastAsia" w:ascii="宋体" w:hAnsi="宋体" w:cs="宋体"/>
                <w:color w:val="000000"/>
                <w:sz w:val="24"/>
              </w:rPr>
              <w:t>0</w:t>
            </w:r>
          </w:p>
        </w:tc>
      </w:tr>
      <w:tr w14:paraId="4C6659E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3C37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4DA29">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BEDE3">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D06563A">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C5688">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06990">
            <w:pPr>
              <w:rPr>
                <w:rFonts w:ascii="宋体" w:hAnsi="宋体" w:cs="宋体"/>
                <w:color w:val="000000"/>
                <w:sz w:val="22"/>
                <w:szCs w:val="22"/>
              </w:rPr>
            </w:pPr>
            <w:r>
              <w:rPr>
                <w:rFonts w:hint="eastAsia"/>
                <w:color w:val="000000"/>
                <w:sz w:val="22"/>
                <w:szCs w:val="22"/>
              </w:rPr>
              <w:t>2019年全国两会和建国70周庆典年期间，疑难上访人员范玉明多次进京上访，我镇会同区政法委、区公安局、区信访局相关人员一道，对重点上访人员范玉明进行劝返。第三次劝返后，进行了医学鉴定，鉴定为该上访人员患有精神疾病，因此，期间落实了专人（本人亲属）对其监控，后于2020年1月病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0448A">
            <w:pPr>
              <w:widowControl/>
              <w:textAlignment w:val="center"/>
              <w:rPr>
                <w:rFonts w:ascii="宋体" w:hAnsi="宋体" w:cs="宋体"/>
                <w:color w:val="000000"/>
                <w:sz w:val="24"/>
              </w:rPr>
            </w:pPr>
            <w:r>
              <w:rPr>
                <w:rFonts w:hint="eastAsia"/>
                <w:color w:val="000000"/>
                <w:sz w:val="22"/>
                <w:szCs w:val="22"/>
              </w:rPr>
              <w:t>2019年全国两会和建国70周庆典年期间，疑难上访人员范玉明多次进京上访，我镇会同区政法委、区公安局、区信访局相关人员一道，对重点上访人员范玉明进行劝返。第三次劝返后，进行了医学鉴定，鉴定为该上访人员患有精神疾病，因此，期间落实了专人（本人亲属）对其监控，后于2020年1月病亡。</w:t>
            </w:r>
          </w:p>
        </w:tc>
      </w:tr>
      <w:tr w14:paraId="1A050CCC">
        <w:tblPrEx>
          <w:tblCellMar>
            <w:top w:w="0" w:type="dxa"/>
            <w:left w:w="0" w:type="dxa"/>
            <w:bottom w:w="0" w:type="dxa"/>
            <w:right w:w="0" w:type="dxa"/>
          </w:tblCellMar>
        </w:tblPrEx>
        <w:trPr>
          <w:trHeight w:val="968"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431B048">
            <w:pPr>
              <w:widowControl/>
              <w:jc w:val="center"/>
              <w:textAlignment w:val="center"/>
              <w:rPr>
                <w:rFonts w:ascii="宋体" w:hAnsi="宋体" w:cs="宋体"/>
                <w:color w:val="000000"/>
                <w:sz w:val="24"/>
              </w:rPr>
            </w:pPr>
          </w:p>
          <w:p w14:paraId="3018A037">
            <w:pPr>
              <w:widowControl/>
              <w:jc w:val="center"/>
              <w:textAlignment w:val="center"/>
              <w:rPr>
                <w:rFonts w:ascii="宋体" w:hAnsi="宋体" w:cs="宋体"/>
                <w:color w:val="000000"/>
                <w:sz w:val="24"/>
              </w:rPr>
            </w:pPr>
          </w:p>
          <w:p w14:paraId="2C4031A8">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16ABA">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D775F">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BD5CA">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555FB">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A2F7C">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2DEDD41">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E3EF98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A110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6CEDF">
            <w:pPr>
              <w:jc w:val="center"/>
              <w:rPr>
                <w:rFonts w:ascii="宋体" w:hAnsi="宋体" w:cs="宋体"/>
                <w:sz w:val="24"/>
                <w:szCs w:val="24"/>
              </w:rPr>
            </w:pPr>
            <w:r>
              <w:rPr>
                <w:rFonts w:hint="eastAsia"/>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92854">
            <w:pPr>
              <w:rPr>
                <w:rFonts w:ascii="宋体" w:hAnsi="宋体" w:cs="宋体"/>
                <w:sz w:val="20"/>
                <w:szCs w:val="20"/>
              </w:rPr>
            </w:pPr>
            <w:r>
              <w:rPr>
                <w:rFonts w:hint="eastAsia"/>
                <w:sz w:val="20"/>
                <w:szCs w:val="20"/>
              </w:rPr>
              <w:t>劝返次数，监控月数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33CF9">
            <w:pPr>
              <w:rPr>
                <w:rFonts w:ascii="宋体" w:hAnsi="宋体" w:cs="宋体"/>
                <w:sz w:val="20"/>
                <w:szCs w:val="20"/>
              </w:rPr>
            </w:pPr>
            <w:r>
              <w:rPr>
                <w:rFonts w:hint="eastAsia"/>
                <w:sz w:val="20"/>
                <w:szCs w:val="20"/>
              </w:rPr>
              <w:t>3次进京劝返，专人监控3个月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E2887">
            <w:pPr>
              <w:widowControl/>
              <w:textAlignment w:val="center"/>
              <w:rPr>
                <w:rFonts w:ascii="宋体" w:hAnsi="宋体" w:cs="宋体"/>
                <w:color w:val="000000"/>
                <w:sz w:val="24"/>
              </w:rPr>
            </w:pPr>
            <w:r>
              <w:rPr>
                <w:rFonts w:hint="eastAsia"/>
                <w:sz w:val="20"/>
                <w:szCs w:val="20"/>
              </w:rPr>
              <w:t>顺利完成3次进京劝返，专人监控3个月</w:t>
            </w:r>
          </w:p>
        </w:tc>
      </w:tr>
      <w:tr w14:paraId="68B88BE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D6702D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0F69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39345">
            <w:pPr>
              <w:jc w:val="center"/>
              <w:rPr>
                <w:rFonts w:ascii="宋体" w:hAnsi="宋体" w:cs="宋体"/>
                <w:sz w:val="24"/>
                <w:szCs w:val="24"/>
              </w:rPr>
            </w:pPr>
            <w:r>
              <w:rPr>
                <w:rFonts w:hint="eastAsia"/>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3A466">
            <w:pPr>
              <w:rPr>
                <w:rFonts w:ascii="宋体" w:hAnsi="宋体" w:cs="宋体"/>
                <w:sz w:val="20"/>
                <w:szCs w:val="20"/>
              </w:rPr>
            </w:pPr>
            <w:r>
              <w:rPr>
                <w:rFonts w:hint="eastAsia"/>
                <w:sz w:val="20"/>
                <w:szCs w:val="20"/>
              </w:rPr>
              <w:t>是否劝返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45F63">
            <w:pPr>
              <w:rPr>
                <w:rFonts w:ascii="宋体" w:hAnsi="宋体" w:cs="宋体"/>
                <w:sz w:val="20"/>
                <w:szCs w:val="20"/>
              </w:rPr>
            </w:pPr>
            <w:r>
              <w:rPr>
                <w:rFonts w:hint="eastAsia"/>
                <w:sz w:val="20"/>
                <w:szCs w:val="20"/>
              </w:rPr>
              <w:t>顺利劝返回住地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C00E2">
            <w:pPr>
              <w:rPr>
                <w:rFonts w:ascii="宋体" w:hAnsi="宋体" w:cs="宋体"/>
                <w:sz w:val="20"/>
                <w:szCs w:val="20"/>
              </w:rPr>
            </w:pPr>
            <w:r>
              <w:rPr>
                <w:rFonts w:hint="eastAsia"/>
                <w:sz w:val="20"/>
                <w:szCs w:val="20"/>
              </w:rPr>
              <w:t>顺利劝返回住地</w:t>
            </w:r>
          </w:p>
        </w:tc>
      </w:tr>
      <w:tr w14:paraId="30C4755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85698A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302B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E4708">
            <w:pPr>
              <w:jc w:val="center"/>
              <w:rPr>
                <w:rFonts w:ascii="宋体" w:hAnsi="宋体" w:cs="宋体"/>
                <w:sz w:val="24"/>
                <w:szCs w:val="24"/>
              </w:rPr>
            </w:pPr>
            <w:r>
              <w:rPr>
                <w:rFonts w:hint="eastAsia"/>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0213C">
            <w:pPr>
              <w:rPr>
                <w:rFonts w:ascii="宋体" w:hAnsi="宋体" w:cs="宋体"/>
                <w:sz w:val="20"/>
                <w:szCs w:val="20"/>
              </w:rPr>
            </w:pPr>
            <w:r>
              <w:rPr>
                <w:rFonts w:hint="eastAsia"/>
                <w:sz w:val="20"/>
                <w:szCs w:val="20"/>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810AD">
            <w:pPr>
              <w:rPr>
                <w:rFonts w:ascii="宋体" w:hAnsi="宋体" w:cs="宋体"/>
                <w:sz w:val="20"/>
                <w:szCs w:val="20"/>
              </w:rPr>
            </w:pPr>
            <w:r>
              <w:rPr>
                <w:rFonts w:hint="eastAsia"/>
                <w:sz w:val="20"/>
                <w:szCs w:val="20"/>
              </w:rPr>
              <w:t>符合预定时间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7A63B">
            <w:pPr>
              <w:rPr>
                <w:rFonts w:ascii="宋体" w:hAnsi="宋体" w:cs="宋体"/>
                <w:sz w:val="20"/>
                <w:szCs w:val="20"/>
              </w:rPr>
            </w:pPr>
            <w:r>
              <w:rPr>
                <w:rFonts w:hint="eastAsia"/>
                <w:sz w:val="20"/>
                <w:szCs w:val="20"/>
              </w:rPr>
              <w:t>符合预定时间</w:t>
            </w:r>
          </w:p>
        </w:tc>
      </w:tr>
      <w:tr w14:paraId="1CA07DE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EA819A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49ADF">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EEA35">
            <w:pPr>
              <w:jc w:val="center"/>
              <w:rPr>
                <w:rFonts w:ascii="宋体" w:hAnsi="宋体" w:cs="宋体"/>
                <w:sz w:val="24"/>
                <w:szCs w:val="24"/>
              </w:rPr>
            </w:pPr>
            <w:r>
              <w:rPr>
                <w:rFonts w:hint="eastAsia"/>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3EE2C">
            <w:pPr>
              <w:rPr>
                <w:rFonts w:ascii="宋体" w:hAnsi="宋体" w:cs="宋体"/>
                <w:sz w:val="20"/>
                <w:szCs w:val="20"/>
              </w:rPr>
            </w:pPr>
            <w:r>
              <w:rPr>
                <w:rFonts w:hint="eastAsia"/>
                <w:sz w:val="20"/>
                <w:szCs w:val="20"/>
              </w:rPr>
              <w:t>开支经费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AB36E">
            <w:pPr>
              <w:rPr>
                <w:rFonts w:ascii="宋体" w:hAnsi="宋体" w:cs="宋体"/>
                <w:sz w:val="20"/>
                <w:szCs w:val="20"/>
              </w:rPr>
            </w:pPr>
            <w:r>
              <w:rPr>
                <w:rFonts w:hint="eastAsia"/>
                <w:sz w:val="20"/>
                <w:szCs w:val="20"/>
              </w:rPr>
              <w:t>劝返费用16万元，监控费5.3万元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C66F6">
            <w:pPr>
              <w:rPr>
                <w:rFonts w:ascii="宋体" w:hAnsi="宋体" w:cs="宋体"/>
                <w:sz w:val="20"/>
                <w:szCs w:val="20"/>
              </w:rPr>
            </w:pPr>
            <w:r>
              <w:rPr>
                <w:rFonts w:hint="eastAsia"/>
                <w:sz w:val="20"/>
                <w:szCs w:val="20"/>
              </w:rPr>
              <w:t>劝返费用16万元，监控各费用5.3万元</w:t>
            </w:r>
          </w:p>
        </w:tc>
      </w:tr>
      <w:tr w14:paraId="768807E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03C7CD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53413">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BF938">
            <w:pPr>
              <w:jc w:val="center"/>
              <w:rPr>
                <w:rFonts w:ascii="宋体" w:hAnsi="宋体" w:cs="宋体"/>
                <w:sz w:val="24"/>
                <w:szCs w:val="24"/>
              </w:rPr>
            </w:pPr>
            <w:r>
              <w:rPr>
                <w:rFonts w:hint="eastAsia"/>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1E910">
            <w:pPr>
              <w:rPr>
                <w:rFonts w:ascii="宋体" w:hAnsi="宋体" w:cs="宋体"/>
                <w:sz w:val="20"/>
                <w:szCs w:val="20"/>
              </w:rPr>
            </w:pPr>
            <w:r>
              <w:rPr>
                <w:rFonts w:hint="eastAsia"/>
                <w:sz w:val="20"/>
                <w:szCs w:val="20"/>
              </w:rPr>
              <w:t>维护社会稳定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F3D9A">
            <w:pPr>
              <w:rPr>
                <w:rFonts w:ascii="宋体" w:hAnsi="宋体" w:cs="宋体"/>
                <w:sz w:val="20"/>
                <w:szCs w:val="20"/>
              </w:rPr>
            </w:pPr>
            <w:r>
              <w:rPr>
                <w:rFonts w:hint="eastAsia"/>
                <w:sz w:val="20"/>
                <w:szCs w:val="20"/>
              </w:rPr>
              <w:t>未对社会造成重大影响，维护了社会稳定。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DA4C7">
            <w:pPr>
              <w:rPr>
                <w:rFonts w:ascii="宋体" w:hAnsi="宋体" w:cs="宋体"/>
                <w:sz w:val="20"/>
                <w:szCs w:val="20"/>
              </w:rPr>
            </w:pPr>
            <w:r>
              <w:rPr>
                <w:rFonts w:hint="eastAsia"/>
                <w:sz w:val="20"/>
                <w:szCs w:val="20"/>
              </w:rPr>
              <w:t>未对社会造成重大影响，维护了社会稳定。</w:t>
            </w:r>
          </w:p>
        </w:tc>
      </w:tr>
      <w:tr w14:paraId="5604B5B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177E7E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3673F">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D91B9">
            <w:pPr>
              <w:jc w:val="center"/>
              <w:rPr>
                <w:rFonts w:ascii="宋体" w:hAnsi="宋体" w:cs="宋体"/>
                <w:sz w:val="24"/>
                <w:szCs w:val="24"/>
              </w:rPr>
            </w:pPr>
            <w:r>
              <w:rPr>
                <w:rFonts w:hint="eastAsia"/>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D4363">
            <w:pPr>
              <w:rPr>
                <w:rFonts w:ascii="宋体" w:hAnsi="宋体" w:cs="宋体"/>
                <w:sz w:val="20"/>
                <w:szCs w:val="20"/>
              </w:rPr>
            </w:pPr>
            <w:r>
              <w:rPr>
                <w:rFonts w:hint="eastAsia"/>
                <w:sz w:val="20"/>
                <w:szCs w:val="20"/>
              </w:rPr>
              <w:t>项目可持续发挥作用期限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7D742">
            <w:pPr>
              <w:rPr>
                <w:rFonts w:ascii="宋体" w:hAnsi="宋体" w:cs="宋体"/>
                <w:sz w:val="20"/>
                <w:szCs w:val="20"/>
              </w:rPr>
            </w:pPr>
            <w:r>
              <w:rPr>
                <w:rFonts w:hint="eastAsia"/>
                <w:sz w:val="20"/>
                <w:szCs w:val="20"/>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2FF1B">
            <w:pPr>
              <w:rPr>
                <w:rFonts w:ascii="宋体" w:hAnsi="宋体" w:cs="宋体"/>
                <w:sz w:val="20"/>
                <w:szCs w:val="20"/>
              </w:rPr>
            </w:pPr>
            <w:r>
              <w:rPr>
                <w:rFonts w:hint="eastAsia"/>
                <w:sz w:val="20"/>
                <w:szCs w:val="20"/>
              </w:rPr>
              <w:t>长期</w:t>
            </w:r>
          </w:p>
        </w:tc>
      </w:tr>
      <w:tr w14:paraId="0BBEDAC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2D6CE1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3D2E6">
            <w:pPr>
              <w:widowControl/>
              <w:jc w:val="center"/>
              <w:textAlignment w:val="center"/>
              <w:rPr>
                <w:rFonts w:ascii="宋体" w:hAnsi="宋体" w:cs="宋体"/>
                <w:color w:val="000000"/>
                <w:sz w:val="24"/>
              </w:rPr>
            </w:pPr>
            <w:r>
              <w:rPr>
                <w:rFonts w:hint="eastAsia" w:ascii="宋体" w:hAnsi="宋体" w:cs="宋体"/>
                <w:color w:val="000000"/>
                <w:kern w:val="0"/>
                <w:sz w:val="24"/>
              </w:rPr>
              <w:t>项目满意度指标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D4877">
            <w:pPr>
              <w:jc w:val="center"/>
              <w:rPr>
                <w:rFonts w:ascii="宋体" w:hAnsi="宋体" w:cs="宋体"/>
                <w:sz w:val="20"/>
                <w:szCs w:val="20"/>
              </w:rPr>
            </w:pPr>
            <w:r>
              <w:rPr>
                <w:rFonts w:hint="eastAsia"/>
                <w:sz w:val="20"/>
                <w:szCs w:val="20"/>
              </w:rPr>
              <w:t>服务对象满意度指标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F1521">
            <w:pPr>
              <w:rPr>
                <w:rFonts w:ascii="宋体" w:hAnsi="宋体" w:cs="宋体"/>
                <w:sz w:val="20"/>
                <w:szCs w:val="20"/>
              </w:rPr>
            </w:pPr>
            <w:r>
              <w:rPr>
                <w:rFonts w:hint="eastAsia"/>
                <w:sz w:val="20"/>
                <w:szCs w:val="20"/>
              </w:rPr>
              <w:t>受益群众满意度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FF134">
            <w:pPr>
              <w:rPr>
                <w:rFonts w:ascii="宋体" w:hAnsi="宋体" w:cs="宋体"/>
                <w:sz w:val="20"/>
                <w:szCs w:val="20"/>
              </w:rPr>
            </w:pPr>
            <w:r>
              <w:rPr>
                <w:rFonts w:hint="eastAsia"/>
                <w:sz w:val="20"/>
                <w:szCs w:val="2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985F3">
            <w:pPr>
              <w:rPr>
                <w:rFonts w:ascii="宋体" w:hAnsi="宋体" w:cs="宋体"/>
                <w:sz w:val="20"/>
                <w:szCs w:val="20"/>
              </w:rPr>
            </w:pPr>
            <w:r>
              <w:rPr>
                <w:rFonts w:hint="eastAsia"/>
                <w:sz w:val="20"/>
                <w:szCs w:val="20"/>
              </w:rPr>
              <w:t>≧100%</w:t>
            </w:r>
          </w:p>
        </w:tc>
      </w:tr>
      <w:tr w14:paraId="66BCD35F">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14:paraId="0C240223">
            <w:pPr>
              <w:widowControl/>
              <w:jc w:val="center"/>
              <w:textAlignment w:val="center"/>
              <w:rPr>
                <w:rFonts w:ascii="宋体" w:hAnsi="宋体" w:cs="宋体"/>
                <w:b/>
                <w:bCs/>
                <w:color w:val="000000"/>
                <w:kern w:val="0"/>
                <w:sz w:val="36"/>
                <w:szCs w:val="36"/>
              </w:rPr>
            </w:pPr>
          </w:p>
          <w:p w14:paraId="777540B9">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4272C0D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5E2AD">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20E9B">
            <w:pPr>
              <w:widowControl/>
              <w:jc w:val="center"/>
              <w:textAlignment w:val="center"/>
              <w:rPr>
                <w:rFonts w:ascii="宋体" w:hAnsi="宋体" w:cs="宋体"/>
                <w:color w:val="000000"/>
                <w:sz w:val="24"/>
              </w:rPr>
            </w:pPr>
            <w:r>
              <w:rPr>
                <w:rFonts w:hint="eastAsia" w:ascii="宋体" w:hAnsi="宋体" w:cs="宋体"/>
                <w:color w:val="000000"/>
                <w:sz w:val="24"/>
              </w:rPr>
              <w:t>创建乡村振兴先进县（区）工作经费</w:t>
            </w:r>
          </w:p>
        </w:tc>
      </w:tr>
      <w:tr w14:paraId="4673FB4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EDB60">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55BC1">
            <w:pPr>
              <w:widowControl/>
              <w:jc w:val="center"/>
              <w:textAlignment w:val="center"/>
              <w:rPr>
                <w:rFonts w:ascii="宋体" w:hAnsi="宋体" w:cs="宋体"/>
                <w:color w:val="000000"/>
                <w:sz w:val="24"/>
              </w:rPr>
            </w:pPr>
            <w:r>
              <w:rPr>
                <w:rFonts w:hint="eastAsia" w:ascii="宋体" w:hAnsi="宋体" w:cs="宋体"/>
                <w:color w:val="000000"/>
                <w:sz w:val="24"/>
              </w:rPr>
              <w:t>德阳市罗江区略坪镇人民政府</w:t>
            </w:r>
          </w:p>
        </w:tc>
      </w:tr>
      <w:tr w14:paraId="6A462B00">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75DDA">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DBAE4">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E5230">
            <w:pPr>
              <w:widowControl/>
              <w:jc w:val="center"/>
              <w:textAlignment w:val="center"/>
              <w:rPr>
                <w:rFonts w:ascii="宋体" w:hAnsi="宋体" w:cs="宋体"/>
                <w:color w:val="000000"/>
                <w:sz w:val="24"/>
              </w:rPr>
            </w:pPr>
            <w:r>
              <w:rPr>
                <w:rFonts w:hint="eastAsia" w:ascii="宋体" w:hAnsi="宋体" w:cs="宋体"/>
                <w:color w:val="000000"/>
                <w:sz w:val="24"/>
              </w:rPr>
              <w:t>20.00</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F571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C032B">
            <w:pPr>
              <w:widowControl/>
              <w:jc w:val="center"/>
              <w:textAlignment w:val="center"/>
              <w:rPr>
                <w:rFonts w:ascii="宋体" w:hAnsi="宋体" w:cs="宋体"/>
                <w:color w:val="000000"/>
                <w:sz w:val="24"/>
              </w:rPr>
            </w:pPr>
            <w:r>
              <w:rPr>
                <w:rFonts w:hint="eastAsia" w:ascii="宋体" w:hAnsi="宋体" w:cs="宋体"/>
                <w:color w:val="000000"/>
                <w:sz w:val="24"/>
              </w:rPr>
              <w:t>20.00</w:t>
            </w:r>
          </w:p>
        </w:tc>
      </w:tr>
      <w:tr w14:paraId="2CA28686">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6C2A5">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6474A">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3968D">
            <w:pPr>
              <w:widowControl/>
              <w:jc w:val="center"/>
              <w:textAlignment w:val="center"/>
              <w:rPr>
                <w:rFonts w:ascii="宋体" w:hAnsi="宋体" w:cs="宋体"/>
                <w:color w:val="000000"/>
                <w:sz w:val="24"/>
              </w:rPr>
            </w:pPr>
            <w:r>
              <w:rPr>
                <w:rFonts w:hint="eastAsia" w:ascii="宋体" w:hAnsi="宋体" w:cs="宋体"/>
                <w:color w:val="000000"/>
                <w:sz w:val="24"/>
              </w:rPr>
              <w:t>20.00</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4867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58E35">
            <w:pPr>
              <w:widowControl/>
              <w:jc w:val="center"/>
              <w:textAlignment w:val="center"/>
              <w:rPr>
                <w:rFonts w:ascii="宋体" w:hAnsi="宋体" w:cs="宋体"/>
                <w:color w:val="000000"/>
                <w:sz w:val="24"/>
              </w:rPr>
            </w:pPr>
            <w:r>
              <w:rPr>
                <w:rFonts w:hint="eastAsia" w:ascii="宋体" w:hAnsi="宋体" w:cs="宋体"/>
                <w:color w:val="000000"/>
                <w:sz w:val="24"/>
              </w:rPr>
              <w:t>20.00</w:t>
            </w:r>
          </w:p>
        </w:tc>
      </w:tr>
      <w:tr w14:paraId="00F9844F">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F19EE">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D379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DE93D">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AE7B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0508F">
            <w:pPr>
              <w:jc w:val="center"/>
              <w:rPr>
                <w:rFonts w:ascii="宋体" w:hAnsi="宋体" w:cs="宋体"/>
                <w:color w:val="000000"/>
                <w:sz w:val="24"/>
              </w:rPr>
            </w:pPr>
            <w:r>
              <w:rPr>
                <w:rFonts w:hint="eastAsia" w:ascii="宋体" w:hAnsi="宋体" w:cs="宋体"/>
                <w:color w:val="000000"/>
                <w:sz w:val="24"/>
              </w:rPr>
              <w:t>0</w:t>
            </w:r>
          </w:p>
        </w:tc>
      </w:tr>
      <w:tr w14:paraId="0733956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AC1C0">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2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13AE5">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4C327">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F8E1A8E">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34A44">
            <w:pPr>
              <w:jc w:val="center"/>
              <w:rPr>
                <w:rFonts w:ascii="宋体" w:hAnsi="宋体" w:cs="宋体"/>
                <w:color w:val="000000"/>
                <w:sz w:val="24"/>
              </w:rPr>
            </w:pPr>
          </w:p>
        </w:tc>
        <w:tc>
          <w:tcPr>
            <w:tcW w:w="472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8B36D">
            <w:pPr>
              <w:widowControl/>
              <w:textAlignment w:val="center"/>
              <w:rPr>
                <w:rFonts w:ascii="宋体" w:hAnsi="宋体" w:cs="宋体"/>
                <w:color w:val="000000"/>
                <w:sz w:val="28"/>
                <w:szCs w:val="28"/>
              </w:rPr>
            </w:pPr>
            <w:r>
              <w:rPr>
                <w:rFonts w:hint="eastAsia" w:ascii="仿宋_GB2312" w:hAnsi="宋体" w:eastAsia="仿宋_GB2312"/>
                <w:sz w:val="28"/>
                <w:szCs w:val="28"/>
                <w:lang w:val="zh-CN"/>
              </w:rPr>
              <w:t>提升镇域范围内的人居环境质量，统筹治理乡村生活垃圾、黑臭水体、畜禽养殖场污染，促进垃圾分类和集中无害化处理。开展乡村振兴示范点建设，集中采购、设置垃圾收集处理设施设备</w:t>
            </w:r>
          </w:p>
        </w:tc>
        <w:tc>
          <w:tcPr>
            <w:tcW w:w="4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9BB24">
            <w:pPr>
              <w:widowControl/>
              <w:textAlignment w:val="center"/>
              <w:rPr>
                <w:rFonts w:ascii="宋体" w:hAnsi="宋体" w:cs="宋体"/>
                <w:color w:val="000000"/>
                <w:sz w:val="24"/>
              </w:rPr>
            </w:pPr>
            <w:r>
              <w:rPr>
                <w:rFonts w:hint="eastAsia" w:ascii="仿宋_GB2312" w:hAnsi="宋体" w:eastAsia="仿宋_GB2312"/>
                <w:sz w:val="28"/>
                <w:szCs w:val="28"/>
                <w:lang w:val="zh-CN"/>
              </w:rPr>
              <w:t>提升镇域范围内的人居环境质量，统筹治理乡村生活垃圾、黑臭水体、畜禽养殖场污染，促进垃圾分类和集中无害化处理。开展乡村振兴示范点建设，集中采购、设置垃圾收集处理设施设备</w:t>
            </w:r>
          </w:p>
        </w:tc>
      </w:tr>
      <w:tr w14:paraId="0F34D466">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3E38FC8">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90827">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C6238">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36F89">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ACBD8">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03992">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F678EF4">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33B09F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E01C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B5F23">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数量指标</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F347F">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示范点建设1处，购置垃圾分类桶若干</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200F8">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建设乡村振兴示范点1处，购置垃圾收集分类桶1500个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41EA7">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建设乡村振兴示范点1处（安装太阳能露灯47盏，公路沿线设置围栏和绿化3.3千米，建设垃圾分类桶置放点2处），购置垃圾收集分类桶1500个</w:t>
            </w:r>
          </w:p>
        </w:tc>
      </w:tr>
      <w:tr w14:paraId="511E65BA">
        <w:tblPrEx>
          <w:tblCellMar>
            <w:top w:w="0" w:type="dxa"/>
            <w:left w:w="0" w:type="dxa"/>
            <w:bottom w:w="0" w:type="dxa"/>
            <w:right w:w="0" w:type="dxa"/>
          </w:tblCellMar>
        </w:tblPrEx>
        <w:trPr>
          <w:trHeight w:val="99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AEAF68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3210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BC862">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质量指标</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6C1F9">
            <w:pPr>
              <w:widowControl/>
              <w:textAlignment w:val="center"/>
              <w:rPr>
                <w:rFonts w:ascii="仿宋_GB2312" w:hAnsi="宋体" w:eastAsia="仿宋_GB2312" w:cs="宋体"/>
                <w:color w:val="000000"/>
              </w:rPr>
            </w:pPr>
            <w:r>
              <w:rPr>
                <w:rFonts w:hint="eastAsia" w:ascii="仿宋_GB2312" w:hAnsi="宋体" w:eastAsia="仿宋_GB2312" w:cs="宋体"/>
                <w:color w:val="000000"/>
              </w:rPr>
              <w:t>垃圾综合处理示范点建设工程达标，垃圾收集分类桶符合质量要求</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B0AEA">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符合质量验收要求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432BD">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符合质量验收要求</w:t>
            </w:r>
          </w:p>
        </w:tc>
      </w:tr>
      <w:tr w14:paraId="3B92E54F">
        <w:tblPrEx>
          <w:tblCellMar>
            <w:top w:w="0" w:type="dxa"/>
            <w:left w:w="0" w:type="dxa"/>
            <w:bottom w:w="0" w:type="dxa"/>
            <w:right w:w="0" w:type="dxa"/>
          </w:tblCellMar>
        </w:tblPrEx>
        <w:trPr>
          <w:trHeight w:val="9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F5C280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E831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C129F">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时效指标</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5D34B">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符合合同（协议）约定期限</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B7974">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2020年底前完成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84D2E">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2020年12月31日</w:t>
            </w:r>
          </w:p>
        </w:tc>
      </w:tr>
      <w:tr w14:paraId="02AEC2FF">
        <w:tblPrEx>
          <w:tblCellMar>
            <w:top w:w="0" w:type="dxa"/>
            <w:left w:w="0" w:type="dxa"/>
            <w:bottom w:w="0" w:type="dxa"/>
            <w:right w:w="0" w:type="dxa"/>
          </w:tblCellMar>
        </w:tblPrEx>
        <w:trPr>
          <w:trHeight w:val="82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5DD9F7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52451">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470AF">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成本指标</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D5FDD">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符合预算控制标准</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C8D6F">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示范点建设补助5万元，垃圾分类桶控制在6万元内，劳务费9万元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B85B7">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成本20万元</w:t>
            </w:r>
          </w:p>
        </w:tc>
      </w:tr>
      <w:tr w14:paraId="00EA1B3D">
        <w:tblPrEx>
          <w:tblCellMar>
            <w:top w:w="0" w:type="dxa"/>
            <w:left w:w="0" w:type="dxa"/>
            <w:bottom w:w="0" w:type="dxa"/>
            <w:right w:w="0" w:type="dxa"/>
          </w:tblCellMar>
        </w:tblPrEx>
        <w:trPr>
          <w:trHeight w:val="82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CE42E0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FBAB9">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14304">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社会效益指标</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37467">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环境整洁率</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CDF8A">
            <w:pPr>
              <w:widowControl/>
              <w:jc w:val="center"/>
              <w:textAlignment w:val="center"/>
              <w:rPr>
                <w:rFonts w:ascii="仿宋_GB2312" w:hAnsi="宋体" w:eastAsia="仿宋_GB2312" w:cs="宋体"/>
                <w:color w:val="000000"/>
                <w:sz w:val="24"/>
              </w:rPr>
            </w:pPr>
            <w:r>
              <w:rPr>
                <w:rFonts w:hint="eastAsia" w:ascii="宋体" w:hAnsi="宋体" w:cs="宋体"/>
                <w:color w:val="000000"/>
                <w:sz w:val="24"/>
              </w:rPr>
              <w:t>≧360天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02850">
            <w:pPr>
              <w:widowControl/>
              <w:jc w:val="center"/>
              <w:textAlignment w:val="center"/>
              <w:rPr>
                <w:rFonts w:ascii="仿宋_GB2312" w:hAnsi="宋体" w:eastAsia="仿宋_GB2312" w:cs="宋体"/>
                <w:color w:val="000000"/>
                <w:sz w:val="24"/>
              </w:rPr>
            </w:pPr>
            <w:r>
              <w:rPr>
                <w:rFonts w:hint="eastAsia" w:ascii="宋体" w:hAnsi="宋体" w:cs="宋体"/>
                <w:color w:val="000000"/>
                <w:sz w:val="24"/>
              </w:rPr>
              <w:t>≧360天</w:t>
            </w:r>
          </w:p>
        </w:tc>
      </w:tr>
      <w:tr w14:paraId="6B4A01FE">
        <w:tblPrEx>
          <w:tblCellMar>
            <w:top w:w="0" w:type="dxa"/>
            <w:left w:w="0" w:type="dxa"/>
            <w:bottom w:w="0" w:type="dxa"/>
            <w:right w:w="0" w:type="dxa"/>
          </w:tblCellMar>
        </w:tblPrEx>
        <w:trPr>
          <w:trHeight w:val="83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2C6A6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01509">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A63BB">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可持续影响指标</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F7B0C">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项目可持续发挥作用期限</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F2B85">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F0853">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长期</w:t>
            </w:r>
          </w:p>
        </w:tc>
      </w:tr>
      <w:tr w14:paraId="25E9E26F">
        <w:tblPrEx>
          <w:tblCellMar>
            <w:top w:w="0" w:type="dxa"/>
            <w:left w:w="0" w:type="dxa"/>
            <w:bottom w:w="0" w:type="dxa"/>
            <w:right w:w="0" w:type="dxa"/>
          </w:tblCellMar>
        </w:tblPrEx>
        <w:trPr>
          <w:trHeight w:val="9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3FF275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AFC0F">
            <w:pPr>
              <w:widowControl/>
              <w:jc w:val="center"/>
              <w:textAlignment w:val="center"/>
              <w:rPr>
                <w:rFonts w:ascii="宋体" w:hAnsi="宋体" w:cs="宋体"/>
                <w:color w:val="000000"/>
                <w:sz w:val="24"/>
              </w:rPr>
            </w:pPr>
            <w:r>
              <w:rPr>
                <w:rFonts w:hint="eastAsia" w:ascii="宋体" w:hAnsi="宋体" w:cs="宋体"/>
                <w:color w:val="000000"/>
                <w:kern w:val="0"/>
                <w:sz w:val="24"/>
              </w:rPr>
              <w:t>项目满意度指标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3ECD3">
            <w:pPr>
              <w:widowControl/>
              <w:jc w:val="center"/>
              <w:textAlignment w:val="center"/>
              <w:rPr>
                <w:rFonts w:ascii="宋体" w:hAnsi="宋体" w:cs="宋体"/>
                <w:color w:val="000000"/>
                <w:sz w:val="24"/>
              </w:rPr>
            </w:pPr>
            <w:r>
              <w:rPr>
                <w:rFonts w:hint="eastAsia" w:ascii="宋体" w:hAnsi="宋体" w:cs="宋体"/>
                <w:color w:val="000000"/>
                <w:sz w:val="24"/>
              </w:rPr>
              <w:t>群众满意度指标</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38A90">
            <w:pPr>
              <w:widowControl/>
              <w:jc w:val="center"/>
              <w:textAlignment w:val="center"/>
              <w:rPr>
                <w:rFonts w:ascii="宋体" w:hAnsi="宋体" w:cs="宋体"/>
                <w:color w:val="000000"/>
                <w:sz w:val="24"/>
              </w:rPr>
            </w:pPr>
            <w:r>
              <w:rPr>
                <w:rFonts w:hint="eastAsia" w:ascii="宋体" w:hAnsi="宋体" w:cs="宋体"/>
                <w:color w:val="000000"/>
                <w:sz w:val="24"/>
              </w:rPr>
              <w:t>受益群众满意度</w:t>
            </w:r>
          </w:p>
        </w:tc>
        <w:tc>
          <w:tcPr>
            <w:tcW w:w="2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4AB9D">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2C77C">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95%</w:t>
            </w:r>
          </w:p>
        </w:tc>
      </w:tr>
      <w:tr w14:paraId="3DA29584">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14:paraId="273BDE3F">
            <w:pPr>
              <w:widowControl/>
              <w:jc w:val="center"/>
              <w:textAlignment w:val="center"/>
              <w:rPr>
                <w:rFonts w:ascii="宋体" w:hAnsi="宋体" w:cs="宋体"/>
                <w:b/>
                <w:bCs/>
                <w:color w:val="000000"/>
                <w:kern w:val="0"/>
                <w:sz w:val="36"/>
                <w:szCs w:val="36"/>
              </w:rPr>
            </w:pPr>
          </w:p>
          <w:p w14:paraId="2C184D58">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22E2FFE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6A1C6">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DCC2A">
            <w:pPr>
              <w:widowControl/>
              <w:jc w:val="center"/>
              <w:textAlignment w:val="center"/>
              <w:rPr>
                <w:rFonts w:ascii="宋体" w:hAnsi="宋体" w:cs="宋体"/>
                <w:color w:val="000000"/>
                <w:sz w:val="24"/>
              </w:rPr>
            </w:pPr>
            <w:r>
              <w:rPr>
                <w:rFonts w:hint="eastAsia" w:ascii="宋体" w:hAnsi="宋体" w:cs="宋体"/>
                <w:color w:val="000000"/>
                <w:sz w:val="24"/>
              </w:rPr>
              <w:t>内城河整治和污水处理站建设占地及青苗补偿费</w:t>
            </w:r>
          </w:p>
        </w:tc>
      </w:tr>
      <w:tr w14:paraId="47BF483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3E05A">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14542">
            <w:pPr>
              <w:widowControl/>
              <w:jc w:val="center"/>
              <w:textAlignment w:val="center"/>
              <w:rPr>
                <w:rFonts w:ascii="宋体" w:hAnsi="宋体" w:cs="宋体"/>
                <w:color w:val="000000"/>
                <w:sz w:val="24"/>
              </w:rPr>
            </w:pPr>
            <w:r>
              <w:rPr>
                <w:rFonts w:hint="eastAsia" w:ascii="宋体" w:hAnsi="宋体" w:cs="宋体"/>
                <w:color w:val="000000"/>
                <w:sz w:val="24"/>
              </w:rPr>
              <w:t>德阳市罗江区略坪镇人民政府</w:t>
            </w:r>
          </w:p>
        </w:tc>
      </w:tr>
      <w:tr w14:paraId="33B6FC0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ED421">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05A7B">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DBF66">
            <w:pPr>
              <w:widowControl/>
              <w:jc w:val="center"/>
              <w:textAlignment w:val="center"/>
              <w:rPr>
                <w:rFonts w:ascii="宋体" w:hAnsi="宋体" w:cs="宋体"/>
                <w:color w:val="000000"/>
                <w:sz w:val="24"/>
              </w:rPr>
            </w:pPr>
            <w:r>
              <w:rPr>
                <w:rFonts w:hint="eastAsia" w:ascii="宋体" w:hAnsi="宋体" w:cs="宋体"/>
                <w:color w:val="000000"/>
                <w:sz w:val="24"/>
              </w:rPr>
              <w:t>28.51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710D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E1D91">
            <w:pPr>
              <w:widowControl/>
              <w:jc w:val="center"/>
              <w:textAlignment w:val="center"/>
              <w:rPr>
                <w:rFonts w:ascii="宋体" w:hAnsi="宋体" w:cs="宋体"/>
                <w:color w:val="000000"/>
                <w:sz w:val="24"/>
              </w:rPr>
            </w:pPr>
            <w:r>
              <w:rPr>
                <w:rFonts w:hint="eastAsia" w:ascii="宋体" w:hAnsi="宋体" w:cs="宋体"/>
                <w:color w:val="000000"/>
                <w:sz w:val="24"/>
              </w:rPr>
              <w:t>28.51</w:t>
            </w:r>
          </w:p>
        </w:tc>
      </w:tr>
      <w:tr w14:paraId="7BDEC5E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E782B">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A4A0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D7447">
            <w:pPr>
              <w:widowControl/>
              <w:jc w:val="center"/>
              <w:textAlignment w:val="center"/>
              <w:rPr>
                <w:rFonts w:ascii="宋体" w:hAnsi="宋体" w:cs="宋体"/>
                <w:color w:val="000000"/>
                <w:sz w:val="24"/>
              </w:rPr>
            </w:pPr>
            <w:r>
              <w:rPr>
                <w:rFonts w:hint="eastAsia" w:ascii="宋体" w:hAnsi="宋体" w:cs="宋体"/>
                <w:color w:val="000000"/>
                <w:sz w:val="24"/>
              </w:rPr>
              <w:t>28.51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14CE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38B00">
            <w:pPr>
              <w:widowControl/>
              <w:jc w:val="center"/>
              <w:textAlignment w:val="center"/>
              <w:rPr>
                <w:rFonts w:ascii="宋体" w:hAnsi="宋体" w:cs="宋体"/>
                <w:color w:val="000000"/>
                <w:sz w:val="24"/>
              </w:rPr>
            </w:pPr>
            <w:r>
              <w:rPr>
                <w:rFonts w:hint="eastAsia" w:ascii="宋体" w:hAnsi="宋体" w:cs="宋体"/>
                <w:color w:val="000000"/>
                <w:sz w:val="24"/>
              </w:rPr>
              <w:t>28.51</w:t>
            </w:r>
          </w:p>
        </w:tc>
      </w:tr>
      <w:tr w14:paraId="082ECFD5">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D1B2A">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971AA">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EC2E8">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E58F8">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36ADF">
            <w:pPr>
              <w:jc w:val="center"/>
              <w:rPr>
                <w:rFonts w:ascii="宋体" w:hAnsi="宋体" w:cs="宋体"/>
                <w:color w:val="000000"/>
                <w:sz w:val="24"/>
              </w:rPr>
            </w:pPr>
            <w:r>
              <w:rPr>
                <w:rFonts w:hint="eastAsia" w:ascii="宋体" w:hAnsi="宋体" w:cs="宋体"/>
                <w:color w:val="000000"/>
                <w:sz w:val="24"/>
              </w:rPr>
              <w:t>0</w:t>
            </w:r>
          </w:p>
        </w:tc>
      </w:tr>
      <w:tr w14:paraId="28F7598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31112">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51C87">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9695E">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4A94FA0E">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7D570">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B709D">
            <w:pPr>
              <w:rPr>
                <w:rFonts w:ascii="宋体" w:hAnsi="宋体" w:cs="宋体"/>
                <w:color w:val="000000"/>
                <w:sz w:val="22"/>
                <w:szCs w:val="22"/>
              </w:rPr>
            </w:pPr>
            <w:r>
              <w:rPr>
                <w:rFonts w:hint="eastAsia"/>
                <w:color w:val="000000"/>
                <w:sz w:val="22"/>
                <w:szCs w:val="22"/>
              </w:rPr>
              <w:t>按协议约定，每年于10月底前将无固定期限占用文明村2个组10.53亩、安平村10个组39.39亩、锦屏村2个组1.55亩的土地（耕地）占用用及青苗补偿费兑付到农户；</w:t>
            </w:r>
          </w:p>
          <w:p w14:paraId="1BC2C575">
            <w:pPr>
              <w:rPr>
                <w:rFonts w:ascii="宋体" w:hAnsi="宋体" w:cs="宋体"/>
                <w:color w:val="000000"/>
                <w:sz w:val="22"/>
                <w:szCs w:val="22"/>
              </w:rPr>
            </w:pPr>
            <w:r>
              <w:rPr>
                <w:rFonts w:hint="eastAsia"/>
                <w:color w:val="000000"/>
                <w:sz w:val="22"/>
                <w:szCs w:val="22"/>
              </w:rPr>
              <w:t>2017年，污水处理站建设永久性占地（安平村3个组）2.19亩或1460平方米，按照双方协商约定，永久性占地费按照4元/平方米标准计算，2018年-2019年共计支付永久性占地补偿费11680元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497DD">
            <w:pPr>
              <w:rPr>
                <w:rFonts w:ascii="宋体" w:hAnsi="宋体" w:cs="宋体"/>
                <w:color w:val="000000"/>
                <w:sz w:val="22"/>
                <w:szCs w:val="22"/>
              </w:rPr>
            </w:pPr>
            <w:r>
              <w:rPr>
                <w:rFonts w:hint="eastAsia"/>
                <w:color w:val="000000"/>
                <w:sz w:val="22"/>
                <w:szCs w:val="22"/>
              </w:rPr>
              <w:t>按协议约定，每年于10月底前将无固定期限占用文明村2个组10.53亩、安平村10个组39.39亩、锦屏村2个组1.55亩的土地（耕地）占用用及青苗补偿费兑付到农户；</w:t>
            </w:r>
          </w:p>
          <w:p w14:paraId="69FC30F6">
            <w:pPr>
              <w:widowControl/>
              <w:jc w:val="center"/>
              <w:textAlignment w:val="center"/>
              <w:rPr>
                <w:rFonts w:ascii="宋体" w:hAnsi="宋体" w:cs="宋体"/>
                <w:color w:val="000000"/>
                <w:sz w:val="24"/>
              </w:rPr>
            </w:pPr>
            <w:r>
              <w:rPr>
                <w:rFonts w:hint="eastAsia"/>
                <w:color w:val="000000"/>
                <w:sz w:val="22"/>
                <w:szCs w:val="22"/>
              </w:rPr>
              <w:t>2017年，污水处理站建设永久性占地（安平村3个组）2.19亩或1460平方米，按照双方协商约定，永久性占地费按照4元/平方米标准计算，2018年-2019年共计支付永久性占地补偿费11680元</w:t>
            </w:r>
          </w:p>
        </w:tc>
      </w:tr>
      <w:tr w14:paraId="5F38F18F">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384ADFB">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E81D0">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B3F9A">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3EB0B">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09A03">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8AFDF">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198B245">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A65C62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C1344">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C4A0C">
            <w:pPr>
              <w:jc w:val="center"/>
              <w:rPr>
                <w:rFonts w:ascii="宋体" w:hAnsi="宋体" w:cs="宋体"/>
                <w:sz w:val="24"/>
                <w:szCs w:val="24"/>
              </w:rPr>
            </w:pPr>
            <w:r>
              <w:rPr>
                <w:rFonts w:hint="eastAsia"/>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9E5F0">
            <w:pPr>
              <w:rPr>
                <w:rFonts w:ascii="宋体" w:hAnsi="宋体" w:cs="宋体"/>
                <w:sz w:val="20"/>
                <w:szCs w:val="20"/>
              </w:rPr>
            </w:pPr>
            <w:r>
              <w:rPr>
                <w:rFonts w:hint="eastAsia"/>
                <w:sz w:val="20"/>
                <w:szCs w:val="20"/>
              </w:rPr>
              <w:t>占地面积及补偿标准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92CCB">
            <w:pPr>
              <w:rPr>
                <w:rFonts w:ascii="宋体" w:hAnsi="宋体" w:cs="宋体"/>
                <w:sz w:val="20"/>
                <w:szCs w:val="20"/>
              </w:rPr>
            </w:pPr>
            <w:r>
              <w:rPr>
                <w:rFonts w:hint="eastAsia"/>
                <w:sz w:val="20"/>
                <w:szCs w:val="20"/>
              </w:rPr>
              <w:t>内城河占地51.47亩，污水处理站2.19亩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C198B">
            <w:pPr>
              <w:rPr>
                <w:rFonts w:ascii="宋体" w:hAnsi="宋体" w:cs="宋体"/>
                <w:sz w:val="20"/>
                <w:szCs w:val="20"/>
              </w:rPr>
            </w:pPr>
            <w:r>
              <w:rPr>
                <w:rFonts w:hint="eastAsia"/>
                <w:sz w:val="20"/>
                <w:szCs w:val="20"/>
              </w:rPr>
              <w:t>内城河占地51.47亩，污水处理站2.19亩</w:t>
            </w:r>
          </w:p>
        </w:tc>
      </w:tr>
      <w:tr w14:paraId="010080A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1FF73F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490A4">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45564">
            <w:pPr>
              <w:jc w:val="center"/>
              <w:rPr>
                <w:rFonts w:ascii="宋体" w:hAnsi="宋体" w:cs="宋体"/>
                <w:sz w:val="24"/>
                <w:szCs w:val="24"/>
              </w:rPr>
            </w:pPr>
            <w:r>
              <w:rPr>
                <w:rFonts w:hint="eastAsia"/>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578F4">
            <w:pPr>
              <w:rPr>
                <w:rFonts w:ascii="宋体" w:hAnsi="宋体" w:cs="宋体"/>
                <w:sz w:val="20"/>
                <w:szCs w:val="20"/>
              </w:rPr>
            </w:pPr>
            <w:r>
              <w:rPr>
                <w:rFonts w:hint="eastAsia"/>
                <w:sz w:val="20"/>
                <w:szCs w:val="20"/>
              </w:rPr>
              <w:t>足额及时兑付到农户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C20B2">
            <w:pPr>
              <w:rPr>
                <w:rFonts w:ascii="宋体" w:hAnsi="宋体" w:cs="宋体"/>
                <w:sz w:val="20"/>
                <w:szCs w:val="20"/>
              </w:rPr>
            </w:pPr>
            <w:r>
              <w:rPr>
                <w:rFonts w:hint="eastAsia"/>
                <w:sz w:val="20"/>
                <w:szCs w:val="20"/>
              </w:rPr>
              <w:t>兑付率100%，准确率达100%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57961">
            <w:pPr>
              <w:rPr>
                <w:rFonts w:ascii="宋体" w:hAnsi="宋体" w:cs="宋体"/>
                <w:sz w:val="20"/>
                <w:szCs w:val="20"/>
              </w:rPr>
            </w:pPr>
            <w:r>
              <w:rPr>
                <w:rFonts w:hint="eastAsia"/>
                <w:sz w:val="20"/>
                <w:szCs w:val="20"/>
              </w:rPr>
              <w:t>兑付率100%，准确率达100%</w:t>
            </w:r>
          </w:p>
        </w:tc>
      </w:tr>
      <w:tr w14:paraId="7B77F18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B20A80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5C8C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D90EF">
            <w:pPr>
              <w:jc w:val="center"/>
              <w:rPr>
                <w:rFonts w:ascii="宋体" w:hAnsi="宋体" w:cs="宋体"/>
                <w:sz w:val="24"/>
                <w:szCs w:val="24"/>
              </w:rPr>
            </w:pPr>
            <w:r>
              <w:rPr>
                <w:rFonts w:hint="eastAsia"/>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11A13">
            <w:pPr>
              <w:rPr>
                <w:rFonts w:ascii="宋体" w:hAnsi="宋体" w:cs="宋体"/>
                <w:sz w:val="20"/>
                <w:szCs w:val="20"/>
              </w:rPr>
            </w:pPr>
            <w:r>
              <w:rPr>
                <w:rFonts w:hint="eastAsia"/>
                <w:sz w:val="20"/>
                <w:szCs w:val="20"/>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7AC33">
            <w:pPr>
              <w:rPr>
                <w:rFonts w:ascii="宋体" w:hAnsi="宋体" w:cs="宋体"/>
                <w:sz w:val="20"/>
                <w:szCs w:val="20"/>
              </w:rPr>
            </w:pPr>
            <w:r>
              <w:rPr>
                <w:rFonts w:hint="eastAsia"/>
                <w:sz w:val="20"/>
                <w:szCs w:val="20"/>
              </w:rPr>
              <w:t>2020年10月底以前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4326A">
            <w:pPr>
              <w:widowControl/>
              <w:jc w:val="center"/>
              <w:textAlignment w:val="center"/>
              <w:rPr>
                <w:rFonts w:ascii="宋体" w:hAnsi="宋体" w:cs="宋体"/>
                <w:color w:val="000000"/>
                <w:sz w:val="24"/>
              </w:rPr>
            </w:pPr>
            <w:r>
              <w:rPr>
                <w:rFonts w:hint="eastAsia" w:ascii="宋体" w:hAnsi="宋体" w:cs="宋体"/>
                <w:color w:val="000000"/>
                <w:sz w:val="24"/>
              </w:rPr>
              <w:t>2020年12月31日</w:t>
            </w:r>
          </w:p>
        </w:tc>
      </w:tr>
      <w:tr w14:paraId="2B29A47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5EDDED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6E502">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D2E3F">
            <w:pPr>
              <w:jc w:val="center"/>
              <w:rPr>
                <w:rFonts w:ascii="宋体" w:hAnsi="宋体" w:cs="宋体"/>
                <w:sz w:val="24"/>
                <w:szCs w:val="24"/>
              </w:rPr>
            </w:pPr>
            <w:r>
              <w:rPr>
                <w:rFonts w:hint="eastAsia"/>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AD20C">
            <w:pPr>
              <w:rPr>
                <w:rFonts w:ascii="宋体" w:hAnsi="宋体" w:cs="宋体"/>
                <w:sz w:val="20"/>
                <w:szCs w:val="20"/>
              </w:rPr>
            </w:pPr>
            <w:r>
              <w:rPr>
                <w:rFonts w:hint="eastAsia"/>
                <w:sz w:val="20"/>
                <w:szCs w:val="20"/>
              </w:rPr>
              <w:t>亩青苗补偿成本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FBF9A">
            <w:pPr>
              <w:rPr>
                <w:rFonts w:ascii="宋体" w:hAnsi="宋体" w:cs="宋体"/>
                <w:sz w:val="20"/>
                <w:szCs w:val="20"/>
              </w:rPr>
            </w:pPr>
            <w:r>
              <w:rPr>
                <w:rFonts w:hint="eastAsia"/>
                <w:sz w:val="20"/>
                <w:szCs w:val="20"/>
              </w:rPr>
              <w:t>内城河年亩成本≦1250元，污水处理站4元/平方米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CEB20">
            <w:pPr>
              <w:widowControl/>
              <w:textAlignment w:val="center"/>
              <w:rPr>
                <w:rFonts w:ascii="宋体" w:hAnsi="宋体" w:cs="宋体"/>
                <w:color w:val="000000"/>
                <w:sz w:val="24"/>
              </w:rPr>
            </w:pPr>
            <w:r>
              <w:rPr>
                <w:rFonts w:hint="eastAsia"/>
                <w:sz w:val="20"/>
                <w:szCs w:val="20"/>
              </w:rPr>
              <w:t>内城河年亩成本≦1250元，污水处理站4元/平方米</w:t>
            </w:r>
          </w:p>
        </w:tc>
      </w:tr>
      <w:tr w14:paraId="2750E14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A8EBB2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CC2A9">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4092F">
            <w:pPr>
              <w:jc w:val="center"/>
              <w:rPr>
                <w:rFonts w:ascii="宋体" w:hAnsi="宋体" w:cs="宋体"/>
                <w:sz w:val="24"/>
                <w:szCs w:val="24"/>
              </w:rPr>
            </w:pPr>
            <w:r>
              <w:rPr>
                <w:rFonts w:hint="eastAsia"/>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205E2">
            <w:pPr>
              <w:rPr>
                <w:rFonts w:ascii="宋体" w:hAnsi="宋体" w:cs="宋体"/>
                <w:sz w:val="20"/>
                <w:szCs w:val="20"/>
              </w:rPr>
            </w:pPr>
            <w:r>
              <w:rPr>
                <w:rFonts w:hint="eastAsia"/>
                <w:sz w:val="20"/>
                <w:szCs w:val="20"/>
              </w:rPr>
              <w:t>保持社会稳定，消除稳定隐患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C7B11">
            <w:pPr>
              <w:rPr>
                <w:rFonts w:ascii="宋体" w:hAnsi="宋体" w:cs="宋体"/>
                <w:sz w:val="20"/>
                <w:szCs w:val="20"/>
              </w:rPr>
            </w:pPr>
            <w:r>
              <w:rPr>
                <w:rFonts w:hint="eastAsia"/>
                <w:sz w:val="20"/>
                <w:szCs w:val="20"/>
              </w:rPr>
              <w:t>避免群访事件，维护社会稳定，消除稳定隐患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EADC8">
            <w:pPr>
              <w:widowControl/>
              <w:textAlignment w:val="center"/>
              <w:rPr>
                <w:rFonts w:ascii="宋体" w:hAnsi="宋体" w:cs="宋体"/>
                <w:color w:val="000000"/>
                <w:sz w:val="24"/>
              </w:rPr>
            </w:pPr>
            <w:r>
              <w:rPr>
                <w:rFonts w:hint="eastAsia"/>
                <w:sz w:val="20"/>
                <w:szCs w:val="20"/>
              </w:rPr>
              <w:t>避免群访事件，维护社会稳定，消除稳定隐患</w:t>
            </w:r>
          </w:p>
        </w:tc>
      </w:tr>
      <w:tr w14:paraId="1B098F8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114180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08E27">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3A8C4">
            <w:pPr>
              <w:jc w:val="center"/>
              <w:rPr>
                <w:rFonts w:ascii="宋体" w:hAnsi="宋体" w:cs="宋体"/>
                <w:sz w:val="24"/>
                <w:szCs w:val="24"/>
              </w:rPr>
            </w:pPr>
            <w:r>
              <w:rPr>
                <w:rFonts w:hint="eastAsia"/>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ADD35">
            <w:pPr>
              <w:rPr>
                <w:rFonts w:ascii="宋体" w:hAnsi="宋体" w:cs="宋体"/>
                <w:sz w:val="20"/>
                <w:szCs w:val="20"/>
              </w:rPr>
            </w:pPr>
            <w:r>
              <w:rPr>
                <w:rFonts w:hint="eastAsia"/>
                <w:sz w:val="20"/>
                <w:szCs w:val="20"/>
              </w:rPr>
              <w:t>项目可持续发挥作用期限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E4E65">
            <w:pPr>
              <w:rPr>
                <w:rFonts w:ascii="宋体" w:hAnsi="宋体" w:cs="宋体"/>
                <w:sz w:val="20"/>
                <w:szCs w:val="20"/>
              </w:rPr>
            </w:pPr>
            <w:r>
              <w:rPr>
                <w:rFonts w:hint="eastAsia"/>
                <w:sz w:val="20"/>
                <w:szCs w:val="20"/>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647B7">
            <w:pPr>
              <w:rPr>
                <w:rFonts w:ascii="宋体" w:hAnsi="宋体" w:cs="宋体"/>
                <w:sz w:val="20"/>
                <w:szCs w:val="20"/>
              </w:rPr>
            </w:pPr>
            <w:r>
              <w:rPr>
                <w:rFonts w:hint="eastAsia"/>
                <w:sz w:val="20"/>
                <w:szCs w:val="20"/>
              </w:rPr>
              <w:t>长期</w:t>
            </w:r>
          </w:p>
        </w:tc>
      </w:tr>
      <w:tr w14:paraId="3550A4D7">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A2DB7C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5B540">
            <w:pPr>
              <w:widowControl/>
              <w:jc w:val="center"/>
              <w:textAlignment w:val="center"/>
              <w:rPr>
                <w:rFonts w:ascii="宋体" w:hAnsi="宋体" w:cs="宋体"/>
                <w:color w:val="000000"/>
                <w:sz w:val="24"/>
              </w:rPr>
            </w:pPr>
            <w:r>
              <w:rPr>
                <w:rFonts w:hint="eastAsia" w:ascii="宋体" w:hAnsi="宋体" w:cs="宋体"/>
                <w:color w:val="000000"/>
                <w:kern w:val="0"/>
                <w:sz w:val="24"/>
              </w:rPr>
              <w:t>项目满意度指标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79A51">
            <w:pPr>
              <w:jc w:val="center"/>
              <w:rPr>
                <w:rFonts w:ascii="宋体" w:hAnsi="宋体" w:cs="宋体"/>
                <w:sz w:val="20"/>
                <w:szCs w:val="20"/>
              </w:rPr>
            </w:pPr>
            <w:r>
              <w:rPr>
                <w:rFonts w:hint="eastAsia"/>
                <w:sz w:val="20"/>
                <w:szCs w:val="20"/>
              </w:rPr>
              <w:t>服务对象满意度指标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B6B81">
            <w:pPr>
              <w:rPr>
                <w:rFonts w:ascii="宋体" w:hAnsi="宋体" w:cs="宋体"/>
                <w:sz w:val="20"/>
                <w:szCs w:val="20"/>
              </w:rPr>
            </w:pPr>
            <w:r>
              <w:rPr>
                <w:rFonts w:hint="eastAsia"/>
                <w:sz w:val="20"/>
                <w:szCs w:val="20"/>
              </w:rPr>
              <w:t>受益群众满意度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50463">
            <w:pPr>
              <w:rPr>
                <w:rFonts w:ascii="宋体" w:hAnsi="宋体" w:cs="宋体"/>
                <w:sz w:val="20"/>
                <w:szCs w:val="20"/>
              </w:rPr>
            </w:pPr>
            <w:r>
              <w:rPr>
                <w:rFonts w:hint="eastAsia"/>
                <w:sz w:val="20"/>
                <w:szCs w:val="20"/>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8F765">
            <w:pPr>
              <w:rPr>
                <w:rFonts w:ascii="宋体" w:hAnsi="宋体" w:cs="宋体"/>
                <w:sz w:val="20"/>
                <w:szCs w:val="20"/>
              </w:rPr>
            </w:pPr>
            <w:r>
              <w:rPr>
                <w:rFonts w:hint="eastAsia"/>
                <w:sz w:val="20"/>
                <w:szCs w:val="20"/>
              </w:rPr>
              <w:t>≧98%</w:t>
            </w:r>
          </w:p>
        </w:tc>
      </w:tr>
      <w:tr w14:paraId="17A70713">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14:paraId="000AA27B">
            <w:pPr>
              <w:widowControl/>
              <w:jc w:val="center"/>
              <w:textAlignment w:val="center"/>
              <w:rPr>
                <w:rFonts w:ascii="宋体" w:hAnsi="宋体" w:cs="宋体"/>
                <w:b/>
                <w:bCs/>
                <w:color w:val="000000"/>
                <w:kern w:val="0"/>
                <w:sz w:val="36"/>
                <w:szCs w:val="36"/>
              </w:rPr>
            </w:pPr>
          </w:p>
          <w:p w14:paraId="20946F86">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14:paraId="4426C20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0394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2A46B">
            <w:pPr>
              <w:widowControl/>
              <w:jc w:val="center"/>
              <w:textAlignment w:val="center"/>
              <w:rPr>
                <w:rFonts w:ascii="宋体" w:hAnsi="宋体" w:cs="宋体"/>
                <w:color w:val="000000"/>
                <w:sz w:val="24"/>
              </w:rPr>
            </w:pPr>
            <w:r>
              <w:rPr>
                <w:rFonts w:hint="eastAsia" w:ascii="宋体" w:hAnsi="宋体" w:cs="宋体"/>
                <w:color w:val="000000"/>
                <w:sz w:val="24"/>
              </w:rPr>
              <w:t>人大代表专项工作经费等项目</w:t>
            </w:r>
          </w:p>
        </w:tc>
      </w:tr>
      <w:tr w14:paraId="152AA46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1E1B2">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E93C1">
            <w:pPr>
              <w:widowControl/>
              <w:jc w:val="center"/>
              <w:textAlignment w:val="center"/>
              <w:rPr>
                <w:rFonts w:ascii="宋体" w:hAnsi="宋体" w:cs="宋体"/>
                <w:color w:val="000000"/>
                <w:sz w:val="24"/>
              </w:rPr>
            </w:pPr>
            <w:r>
              <w:rPr>
                <w:rFonts w:hint="eastAsia" w:ascii="宋体" w:hAnsi="宋体" w:cs="宋体"/>
                <w:color w:val="000000"/>
                <w:sz w:val="24"/>
              </w:rPr>
              <w:t>德阳市罗江区略坪镇人民政府</w:t>
            </w:r>
          </w:p>
        </w:tc>
      </w:tr>
      <w:tr w14:paraId="6C8BB4B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2C77A">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046BE">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39507">
            <w:pPr>
              <w:widowControl/>
              <w:jc w:val="center"/>
              <w:textAlignment w:val="center"/>
              <w:rPr>
                <w:rFonts w:ascii="宋体" w:hAnsi="宋体" w:cs="宋体"/>
                <w:color w:val="000000"/>
                <w:sz w:val="24"/>
              </w:rPr>
            </w:pPr>
            <w:r>
              <w:rPr>
                <w:rFonts w:hint="eastAsia" w:ascii="宋体" w:hAnsi="宋体" w:cs="宋体"/>
                <w:color w:val="000000"/>
                <w:sz w:val="24"/>
              </w:rPr>
              <w:t>6.00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15879">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94711">
            <w:pPr>
              <w:widowControl/>
              <w:jc w:val="center"/>
              <w:textAlignment w:val="center"/>
              <w:rPr>
                <w:rFonts w:ascii="宋体" w:hAnsi="宋体" w:cs="宋体"/>
                <w:color w:val="000000"/>
                <w:sz w:val="24"/>
              </w:rPr>
            </w:pPr>
            <w:r>
              <w:rPr>
                <w:rFonts w:hint="eastAsia" w:ascii="宋体" w:hAnsi="宋体" w:cs="宋体"/>
                <w:color w:val="000000"/>
                <w:sz w:val="24"/>
              </w:rPr>
              <w:t>6.00</w:t>
            </w:r>
          </w:p>
        </w:tc>
      </w:tr>
      <w:tr w14:paraId="1B2FF73C">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3DAD8">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9B9EA">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4A125">
            <w:pPr>
              <w:widowControl/>
              <w:jc w:val="center"/>
              <w:textAlignment w:val="center"/>
              <w:rPr>
                <w:rFonts w:ascii="宋体" w:hAnsi="宋体" w:cs="宋体"/>
                <w:color w:val="000000"/>
                <w:sz w:val="24"/>
              </w:rPr>
            </w:pPr>
            <w:r>
              <w:rPr>
                <w:rFonts w:hint="eastAsia" w:ascii="宋体" w:hAnsi="宋体" w:cs="宋体"/>
                <w:color w:val="000000"/>
                <w:sz w:val="24"/>
              </w:rPr>
              <w:t>6.00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F992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4C835">
            <w:pPr>
              <w:widowControl/>
              <w:jc w:val="center"/>
              <w:textAlignment w:val="center"/>
              <w:rPr>
                <w:rFonts w:ascii="宋体" w:hAnsi="宋体" w:cs="宋体"/>
                <w:color w:val="000000"/>
                <w:sz w:val="24"/>
              </w:rPr>
            </w:pPr>
            <w:r>
              <w:rPr>
                <w:rFonts w:hint="eastAsia" w:ascii="宋体" w:hAnsi="宋体" w:cs="宋体"/>
                <w:color w:val="000000"/>
                <w:sz w:val="24"/>
              </w:rPr>
              <w:t>6.00</w:t>
            </w:r>
          </w:p>
        </w:tc>
      </w:tr>
      <w:tr w14:paraId="00831B09">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F453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0D276">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DD2D7">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664C9">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B6848">
            <w:pPr>
              <w:jc w:val="center"/>
              <w:rPr>
                <w:rFonts w:ascii="宋体" w:hAnsi="宋体" w:cs="宋体"/>
                <w:color w:val="000000"/>
                <w:sz w:val="24"/>
              </w:rPr>
            </w:pPr>
            <w:r>
              <w:rPr>
                <w:rFonts w:hint="eastAsia" w:ascii="宋体" w:hAnsi="宋体" w:cs="宋体"/>
                <w:color w:val="000000"/>
                <w:sz w:val="24"/>
              </w:rPr>
              <w:t>0</w:t>
            </w:r>
          </w:p>
        </w:tc>
      </w:tr>
      <w:tr w14:paraId="435A622F">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91302">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E93BC">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8FCB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014A07B0">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CAF07">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5CEEE">
            <w:pPr>
              <w:widowControl/>
              <w:textAlignment w:val="center"/>
              <w:rPr>
                <w:rFonts w:ascii="宋体" w:hAnsi="宋体" w:cs="宋体"/>
                <w:color w:val="000000"/>
                <w:sz w:val="24"/>
              </w:rPr>
            </w:pPr>
            <w:r>
              <w:rPr>
                <w:rFonts w:hint="eastAsia" w:ascii="宋体" w:hAnsi="宋体" w:cs="宋体"/>
                <w:color w:val="000000"/>
                <w:sz w:val="24"/>
              </w:rPr>
              <w:t>确保人大代表工作、财政所工作、“三资”管理中心工作、老协和关工委工作以及惠农补贴发放等工作正常开展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B4229">
            <w:pPr>
              <w:widowControl/>
              <w:textAlignment w:val="center"/>
              <w:rPr>
                <w:rFonts w:ascii="宋体" w:hAnsi="宋体" w:cs="宋体"/>
                <w:color w:val="000000"/>
                <w:sz w:val="24"/>
              </w:rPr>
            </w:pPr>
            <w:r>
              <w:rPr>
                <w:rFonts w:hint="eastAsia" w:ascii="宋体" w:hAnsi="宋体" w:cs="宋体"/>
                <w:color w:val="000000"/>
                <w:sz w:val="24"/>
              </w:rPr>
              <w:t>确保人大代表工作、财政所工作、“三资”管理中心工作、老协和关工委工作以及惠农补贴发放等工作正常开展</w:t>
            </w:r>
          </w:p>
        </w:tc>
      </w:tr>
      <w:tr w14:paraId="1CA404DC">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7A1897D">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AFBEE">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FDE4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E8349">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CABA3">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523F9">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42B919E">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F703E1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6875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BDE0B">
            <w:pPr>
              <w:jc w:val="center"/>
              <w:rPr>
                <w:rFonts w:ascii="宋体" w:hAnsi="宋体" w:cs="宋体"/>
                <w:sz w:val="24"/>
                <w:szCs w:val="24"/>
              </w:rPr>
            </w:pPr>
            <w:r>
              <w:rPr>
                <w:rFonts w:hint="eastAsia"/>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C3747">
            <w:pPr>
              <w:rPr>
                <w:rFonts w:ascii="宋体" w:hAnsi="宋体" w:cs="宋体"/>
                <w:sz w:val="20"/>
                <w:szCs w:val="20"/>
              </w:rPr>
            </w:pPr>
            <w:r>
              <w:rPr>
                <w:rFonts w:hint="eastAsia"/>
                <w:sz w:val="20"/>
                <w:szCs w:val="20"/>
              </w:rPr>
              <w:t>代表会议次数，视察调研次数，定期轮班接访次数，其他部门正常运转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B8303">
            <w:pPr>
              <w:rPr>
                <w:rFonts w:ascii="宋体" w:hAnsi="宋体" w:cs="宋体"/>
                <w:sz w:val="20"/>
                <w:szCs w:val="20"/>
              </w:rPr>
            </w:pPr>
            <w:r>
              <w:rPr>
                <w:rFonts w:hint="eastAsia"/>
                <w:sz w:val="20"/>
                <w:szCs w:val="20"/>
              </w:rPr>
              <w:t>调研、视察4次/年，接访4次/月，其他部门高效运转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18677">
            <w:pPr>
              <w:rPr>
                <w:rFonts w:ascii="宋体" w:hAnsi="宋体" w:cs="宋体"/>
                <w:sz w:val="20"/>
                <w:szCs w:val="20"/>
              </w:rPr>
            </w:pPr>
            <w:r>
              <w:rPr>
                <w:rFonts w:hint="eastAsia"/>
                <w:sz w:val="20"/>
                <w:szCs w:val="20"/>
              </w:rPr>
              <w:t>调研、视察4次/年，接访4次/月，其他部门高效运转</w:t>
            </w:r>
          </w:p>
        </w:tc>
      </w:tr>
      <w:tr w14:paraId="6BE5D7D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C1EB65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1D21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24487">
            <w:pPr>
              <w:jc w:val="center"/>
              <w:rPr>
                <w:rFonts w:ascii="宋体" w:hAnsi="宋体" w:cs="宋体"/>
                <w:sz w:val="24"/>
                <w:szCs w:val="24"/>
              </w:rPr>
            </w:pPr>
            <w:r>
              <w:rPr>
                <w:rFonts w:hint="eastAsia"/>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5BC09">
            <w:pPr>
              <w:rPr>
                <w:rFonts w:ascii="宋体" w:hAnsi="宋体" w:cs="宋体"/>
                <w:sz w:val="20"/>
                <w:szCs w:val="20"/>
              </w:rPr>
            </w:pPr>
            <w:r>
              <w:rPr>
                <w:rFonts w:hint="eastAsia"/>
                <w:sz w:val="20"/>
                <w:szCs w:val="20"/>
              </w:rPr>
              <w:t>代表参会率，议案提交率，视察调研文章运用率，其他部门工作顺利开展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C7915">
            <w:pPr>
              <w:rPr>
                <w:rFonts w:ascii="宋体" w:hAnsi="宋体" w:cs="宋体"/>
                <w:sz w:val="20"/>
                <w:szCs w:val="20"/>
              </w:rPr>
            </w:pPr>
            <w:r>
              <w:rPr>
                <w:rFonts w:hint="eastAsia"/>
                <w:sz w:val="20"/>
                <w:szCs w:val="20"/>
              </w:rPr>
              <w:t>代表参会率≧90%，议案提交率≧50%，其他部门工作进展顺利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B3965">
            <w:pPr>
              <w:rPr>
                <w:rFonts w:ascii="宋体" w:hAnsi="宋体" w:cs="宋体"/>
                <w:sz w:val="20"/>
                <w:szCs w:val="20"/>
              </w:rPr>
            </w:pPr>
            <w:r>
              <w:rPr>
                <w:rFonts w:hint="eastAsia"/>
                <w:sz w:val="20"/>
                <w:szCs w:val="20"/>
              </w:rPr>
              <w:t>代表参会率≧90%，议案提交率≧50%，其他部门工作进展顺利</w:t>
            </w:r>
          </w:p>
        </w:tc>
      </w:tr>
      <w:tr w14:paraId="4E69EF1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4AE173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FE95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B0D6D">
            <w:pPr>
              <w:jc w:val="center"/>
              <w:rPr>
                <w:rFonts w:ascii="宋体" w:hAnsi="宋体" w:cs="宋体"/>
                <w:sz w:val="24"/>
                <w:szCs w:val="24"/>
              </w:rPr>
            </w:pPr>
            <w:r>
              <w:rPr>
                <w:rFonts w:hint="eastAsia"/>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43514">
            <w:pPr>
              <w:rPr>
                <w:rFonts w:ascii="宋体" w:hAnsi="宋体" w:cs="宋体"/>
                <w:sz w:val="20"/>
                <w:szCs w:val="20"/>
              </w:rPr>
            </w:pPr>
            <w:r>
              <w:rPr>
                <w:rFonts w:hint="eastAsia"/>
                <w:sz w:val="20"/>
                <w:szCs w:val="20"/>
              </w:rPr>
              <w:t>代表会议，视察调研活动，定期轮班接访完成时间，其他部门按时完成各项工作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FF931">
            <w:pPr>
              <w:rPr>
                <w:rFonts w:ascii="宋体" w:hAnsi="宋体" w:cs="宋体"/>
                <w:sz w:val="20"/>
                <w:szCs w:val="20"/>
              </w:rPr>
            </w:pPr>
            <w:r>
              <w:rPr>
                <w:rFonts w:hint="eastAsia"/>
                <w:sz w:val="20"/>
                <w:szCs w:val="20"/>
              </w:rPr>
              <w:t>2020年12月31日前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FC288">
            <w:pPr>
              <w:jc w:val="center"/>
              <w:rPr>
                <w:rFonts w:ascii="宋体" w:hAnsi="宋体" w:cs="宋体"/>
                <w:sz w:val="24"/>
                <w:szCs w:val="24"/>
              </w:rPr>
            </w:pPr>
            <w:r>
              <w:rPr>
                <w:rFonts w:hint="eastAsia" w:ascii="宋体" w:hAnsi="宋体" w:cs="宋体"/>
                <w:sz w:val="24"/>
                <w:szCs w:val="24"/>
              </w:rPr>
              <w:t>2020年12月31日</w:t>
            </w:r>
          </w:p>
        </w:tc>
      </w:tr>
      <w:tr w14:paraId="2F12926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89ADC0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539BC">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A1FA2">
            <w:pPr>
              <w:jc w:val="center"/>
              <w:rPr>
                <w:rFonts w:ascii="宋体" w:hAnsi="宋体" w:cs="宋体"/>
                <w:sz w:val="24"/>
                <w:szCs w:val="24"/>
              </w:rPr>
            </w:pPr>
            <w:r>
              <w:rPr>
                <w:rFonts w:hint="eastAsia"/>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BD8CE">
            <w:pPr>
              <w:rPr>
                <w:rFonts w:ascii="宋体" w:hAnsi="宋体" w:cs="宋体"/>
                <w:sz w:val="20"/>
                <w:szCs w:val="20"/>
              </w:rPr>
            </w:pPr>
            <w:r>
              <w:rPr>
                <w:rFonts w:hint="eastAsia"/>
                <w:sz w:val="20"/>
                <w:szCs w:val="20"/>
              </w:rPr>
              <w:t>参会代表补助，视察调研活动费，定期轮班接访工作经费，其他部门运转成本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81426">
            <w:pPr>
              <w:rPr>
                <w:rFonts w:ascii="宋体" w:hAnsi="宋体" w:cs="宋体"/>
                <w:sz w:val="20"/>
                <w:szCs w:val="20"/>
              </w:rPr>
            </w:pPr>
            <w:r>
              <w:rPr>
                <w:rFonts w:hint="eastAsia"/>
                <w:sz w:val="20"/>
                <w:szCs w:val="20"/>
              </w:rPr>
              <w:t>代表会议费1.88万元，视察、调研费1万元，接访工作0.12万元，其他日常办公成本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1EFEA">
            <w:pPr>
              <w:rPr>
                <w:rFonts w:ascii="宋体" w:hAnsi="宋体" w:cs="宋体"/>
                <w:sz w:val="20"/>
                <w:szCs w:val="20"/>
              </w:rPr>
            </w:pPr>
            <w:r>
              <w:rPr>
                <w:rFonts w:hint="eastAsia"/>
                <w:sz w:val="20"/>
                <w:szCs w:val="20"/>
              </w:rPr>
              <w:t>代表会议费1.88万元，视察、调研费1万元，接访工作0.12万元，其他日常办公成本</w:t>
            </w:r>
          </w:p>
        </w:tc>
      </w:tr>
      <w:tr w14:paraId="3F3B023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D084D9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4D3DA">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94D3A">
            <w:pPr>
              <w:jc w:val="center"/>
              <w:rPr>
                <w:rFonts w:ascii="宋体" w:hAnsi="宋体" w:cs="宋体"/>
                <w:sz w:val="24"/>
                <w:szCs w:val="24"/>
              </w:rPr>
            </w:pPr>
            <w:r>
              <w:rPr>
                <w:rFonts w:hint="eastAsia"/>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F59D2">
            <w:pPr>
              <w:rPr>
                <w:rFonts w:ascii="宋体" w:hAnsi="宋体" w:cs="宋体"/>
                <w:sz w:val="20"/>
                <w:szCs w:val="20"/>
              </w:rPr>
            </w:pPr>
            <w:r>
              <w:rPr>
                <w:rFonts w:hint="eastAsia"/>
                <w:sz w:val="20"/>
                <w:szCs w:val="20"/>
              </w:rPr>
              <w:t>代表的好评率，其他部门好评率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DC87E">
            <w:pPr>
              <w:rPr>
                <w:rFonts w:ascii="宋体" w:hAnsi="宋体" w:cs="宋体"/>
                <w:sz w:val="20"/>
                <w:szCs w:val="20"/>
              </w:rPr>
            </w:pPr>
            <w:r>
              <w:rPr>
                <w:rFonts w:hint="eastAsia"/>
                <w:sz w:val="20"/>
                <w:szCs w:val="20"/>
              </w:rPr>
              <w:t>代表好评率≧95%，部门工作好评率过≧95%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F2390">
            <w:pPr>
              <w:rPr>
                <w:rFonts w:ascii="宋体" w:hAnsi="宋体" w:cs="宋体"/>
                <w:sz w:val="20"/>
                <w:szCs w:val="20"/>
              </w:rPr>
            </w:pPr>
            <w:r>
              <w:rPr>
                <w:rFonts w:hint="eastAsia"/>
                <w:sz w:val="20"/>
                <w:szCs w:val="20"/>
              </w:rPr>
              <w:t>代表好评率≧95%，部门工作好评率过≧95%</w:t>
            </w:r>
          </w:p>
        </w:tc>
      </w:tr>
      <w:tr w14:paraId="7A2D358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53A502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6E7B6">
            <w:pPr>
              <w:widowControl/>
              <w:jc w:val="center"/>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A7389">
            <w:pPr>
              <w:jc w:val="center"/>
              <w:rPr>
                <w:rFonts w:ascii="宋体" w:hAnsi="宋体" w:cs="宋体"/>
                <w:sz w:val="24"/>
                <w:szCs w:val="24"/>
              </w:rPr>
            </w:pPr>
            <w:r>
              <w:rPr>
                <w:rFonts w:hint="eastAsia"/>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BE605">
            <w:pPr>
              <w:rPr>
                <w:rFonts w:ascii="宋体" w:hAnsi="宋体" w:cs="宋体"/>
                <w:sz w:val="20"/>
                <w:szCs w:val="20"/>
              </w:rPr>
            </w:pPr>
            <w:r>
              <w:rPr>
                <w:rFonts w:hint="eastAsia"/>
                <w:sz w:val="20"/>
                <w:szCs w:val="20"/>
              </w:rPr>
              <w:t>项目可持续发挥作用的期限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37E09">
            <w:pPr>
              <w:rPr>
                <w:rFonts w:ascii="宋体" w:hAnsi="宋体" w:cs="宋体"/>
                <w:sz w:val="20"/>
                <w:szCs w:val="20"/>
              </w:rPr>
            </w:pPr>
            <w:r>
              <w:rPr>
                <w:rFonts w:hint="eastAsia"/>
                <w:sz w:val="20"/>
                <w:szCs w:val="20"/>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A1FF7">
            <w:pPr>
              <w:rPr>
                <w:rFonts w:ascii="宋体" w:hAnsi="宋体" w:cs="宋体"/>
                <w:sz w:val="20"/>
                <w:szCs w:val="20"/>
              </w:rPr>
            </w:pPr>
            <w:r>
              <w:rPr>
                <w:rFonts w:hint="eastAsia"/>
                <w:sz w:val="20"/>
                <w:szCs w:val="20"/>
              </w:rPr>
              <w:t>长期</w:t>
            </w:r>
          </w:p>
        </w:tc>
      </w:tr>
      <w:tr w14:paraId="62CB1B2B">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D0A2DD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CD36A">
            <w:pPr>
              <w:widowControl/>
              <w:jc w:val="center"/>
              <w:textAlignment w:val="center"/>
              <w:rPr>
                <w:rFonts w:ascii="宋体" w:hAnsi="宋体" w:cs="宋体"/>
                <w:color w:val="000000"/>
                <w:sz w:val="24"/>
              </w:rPr>
            </w:pPr>
            <w:r>
              <w:rPr>
                <w:rFonts w:hint="eastAsia" w:ascii="宋体" w:hAnsi="宋体" w:cs="宋体"/>
                <w:color w:val="000000"/>
                <w:kern w:val="0"/>
                <w:sz w:val="24"/>
              </w:rPr>
              <w:t>项目满意度指标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809A7">
            <w:pPr>
              <w:jc w:val="center"/>
              <w:rPr>
                <w:rFonts w:ascii="宋体" w:hAnsi="宋体" w:cs="宋体"/>
                <w:sz w:val="20"/>
                <w:szCs w:val="20"/>
              </w:rPr>
            </w:pPr>
            <w:r>
              <w:rPr>
                <w:rFonts w:hint="eastAsia"/>
                <w:sz w:val="20"/>
                <w:szCs w:val="20"/>
              </w:rPr>
              <w:t>服务对象满意度指标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5D6CB">
            <w:pPr>
              <w:rPr>
                <w:rFonts w:ascii="宋体" w:hAnsi="宋体" w:cs="宋体"/>
                <w:sz w:val="20"/>
                <w:szCs w:val="20"/>
              </w:rPr>
            </w:pPr>
            <w:r>
              <w:rPr>
                <w:rFonts w:hint="eastAsia"/>
                <w:sz w:val="20"/>
                <w:szCs w:val="20"/>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1A597">
            <w:pPr>
              <w:rPr>
                <w:rFonts w:ascii="宋体" w:hAnsi="宋体" w:cs="宋体"/>
                <w:sz w:val="20"/>
                <w:szCs w:val="20"/>
              </w:rPr>
            </w:pPr>
            <w:r>
              <w:rPr>
                <w:rFonts w:hint="eastAsia"/>
                <w:sz w:val="20"/>
                <w:szCs w:val="20"/>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D9521">
            <w:pPr>
              <w:rPr>
                <w:rFonts w:ascii="宋体" w:hAnsi="宋体" w:cs="宋体"/>
                <w:sz w:val="20"/>
                <w:szCs w:val="20"/>
              </w:rPr>
            </w:pPr>
            <w:r>
              <w:rPr>
                <w:rFonts w:hint="eastAsia"/>
                <w:sz w:val="20"/>
                <w:szCs w:val="20"/>
              </w:rPr>
              <w:t>≧95%</w:t>
            </w:r>
          </w:p>
        </w:tc>
      </w:tr>
    </w:tbl>
    <w:p w14:paraId="644F0E08">
      <w:pPr>
        <w:adjustRightInd w:val="0"/>
        <w:snapToGrid w:val="0"/>
        <w:spacing w:line="560" w:lineRule="exact"/>
        <w:ind w:left="105" w:leftChars="50" w:firstLine="640" w:firstLineChars="200"/>
        <w:rPr>
          <w:rFonts w:ascii="仿宋_GB2312" w:hAnsi="宋体" w:eastAsia="仿宋_GB2312"/>
          <w:sz w:val="32"/>
          <w:szCs w:val="32"/>
          <w:lang w:val="zh-CN"/>
        </w:rPr>
      </w:pPr>
    </w:p>
    <w:p w14:paraId="7B7E205D">
      <w:pPr>
        <w:spacing w:line="580" w:lineRule="exact"/>
        <w:ind w:firstLine="643" w:firstLineChars="200"/>
        <w:rPr>
          <w:rFonts w:ascii="仿宋_GB2312" w:hAnsi="仿宋" w:eastAsia="仿宋_GB2312"/>
          <w:sz w:val="32"/>
          <w:szCs w:val="32"/>
        </w:rPr>
      </w:pPr>
      <w:r>
        <w:rPr>
          <w:rFonts w:ascii="仿宋_GB2312" w:hAnsi="仿宋" w:eastAsia="仿宋_GB2312" w:cs="仿宋"/>
          <w:b/>
          <w:bCs/>
          <w:sz w:val="32"/>
          <w:szCs w:val="32"/>
        </w:rPr>
        <w:t>2</w:t>
      </w:r>
      <w:r>
        <w:rPr>
          <w:rFonts w:hint="eastAsia" w:ascii="仿宋_GB2312" w:hAnsi="仿宋" w:eastAsia="仿宋_GB2312" w:cs="仿宋"/>
          <w:b/>
          <w:bCs/>
          <w:sz w:val="32"/>
          <w:szCs w:val="32"/>
        </w:rPr>
        <w:t>、部门开展绩效评价结果</w:t>
      </w:r>
    </w:p>
    <w:p w14:paraId="05263AB8">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2020年</w:t>
      </w:r>
      <w:r>
        <w:rPr>
          <w:rFonts w:hint="eastAsia" w:ascii="仿宋_GB2312" w:hAnsi="仿宋_GB2312" w:eastAsia="仿宋_GB2312" w:cs="仿宋_GB2312"/>
          <w:sz w:val="32"/>
          <w:szCs w:val="32"/>
        </w:rPr>
        <w:t>部门整体支出绩效评价情况开展自评，《德阳市罗江区略坪镇人民政府</w:t>
      </w:r>
      <w:r>
        <w:rPr>
          <w:rFonts w:ascii="仿宋_GB2312" w:hAnsi="仿宋_GB2312" w:eastAsia="仿宋_GB2312" w:cs="仿宋_GB2312"/>
          <w:sz w:val="32"/>
          <w:szCs w:val="32"/>
        </w:rPr>
        <w:t>2020年</w:t>
      </w:r>
      <w:r>
        <w:rPr>
          <w:rFonts w:hint="eastAsia" w:ascii="仿宋_GB2312" w:hAnsi="仿宋_GB2312" w:eastAsia="仿宋_GB2312" w:cs="仿宋_GB2312"/>
          <w:sz w:val="32"/>
          <w:szCs w:val="32"/>
        </w:rPr>
        <w:t>部门整体支出绩效评价报告》（附件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14:paraId="7C59237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本部门自行组织对“基层组织活动和公共服务体系运行维护费”、</w:t>
      </w:r>
      <w:r>
        <w:rPr>
          <w:rFonts w:hint="eastAsia" w:ascii="仿宋_GB2312" w:hAnsi="宋体" w:eastAsia="仿宋_GB2312" w:cs="仿宋_GB2312"/>
          <w:sz w:val="32"/>
          <w:szCs w:val="32"/>
        </w:rPr>
        <w:t>“</w:t>
      </w:r>
      <w:r>
        <w:rPr>
          <w:rFonts w:hint="eastAsia" w:ascii="仿宋_GB2312" w:hAnsi="宋体" w:eastAsia="仿宋_GB2312"/>
          <w:sz w:val="32"/>
          <w:szCs w:val="32"/>
          <w:lang w:val="zh-CN"/>
        </w:rPr>
        <w:t>抗疫特别国债支出（防疫一线人员工作补助）和疫情防控工作经费</w:t>
      </w:r>
      <w:r>
        <w:rPr>
          <w:rFonts w:hint="eastAsia" w:ascii="仿宋_GB2312" w:hAnsi="宋体"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sz w:val="32"/>
          <w:szCs w:val="32"/>
          <w:lang w:val="zh-CN"/>
        </w:rPr>
        <w:t>范玉明维稳专项工作经费</w:t>
      </w:r>
      <w:r>
        <w:rPr>
          <w:rFonts w:hint="eastAsia" w:ascii="仿宋_GB2312" w:hAnsi="宋体"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sz w:val="32"/>
          <w:szCs w:val="32"/>
          <w:lang w:val="zh-CN"/>
        </w:rPr>
        <w:t>创建乡村振兴先进县（区）工作经费</w:t>
      </w:r>
      <w:r>
        <w:rPr>
          <w:rFonts w:hint="eastAsia" w:ascii="仿宋_GB2312" w:hAnsi="宋体"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sz w:val="32"/>
          <w:szCs w:val="32"/>
          <w:lang w:val="zh-CN"/>
        </w:rPr>
        <w:t>内城河整治和污水处理站建设占地及青苗补偿费</w:t>
      </w:r>
      <w:r>
        <w:rPr>
          <w:rFonts w:hint="eastAsia" w:ascii="仿宋_GB2312" w:hAnsi="宋体" w:eastAsia="仿宋_GB2312" w:cs="仿宋_GB2312"/>
          <w:sz w:val="32"/>
          <w:szCs w:val="32"/>
        </w:rPr>
        <w:t>”</w:t>
      </w:r>
      <w:r>
        <w:rPr>
          <w:rFonts w:hint="eastAsia" w:ascii="仿宋_GB2312" w:hAnsi="仿宋_GB2312" w:eastAsia="仿宋_GB2312" w:cs="仿宋_GB2312"/>
          <w:sz w:val="32"/>
          <w:szCs w:val="32"/>
        </w:rPr>
        <w:t xml:space="preserve"> 、</w:t>
      </w:r>
      <w:r>
        <w:rPr>
          <w:rFonts w:hint="eastAsia" w:ascii="仿宋_GB2312" w:hAnsi="宋体" w:eastAsia="仿宋_GB2312"/>
          <w:sz w:val="32"/>
          <w:szCs w:val="32"/>
        </w:rPr>
        <w:t>“人大代表专项工作经费等项目”</w:t>
      </w:r>
      <w:r>
        <w:rPr>
          <w:rFonts w:hint="eastAsia" w:ascii="仿宋_GB2312" w:hAnsi="仿宋_GB2312" w:eastAsia="仿宋_GB2312" w:cs="仿宋_GB2312"/>
          <w:sz w:val="32"/>
          <w:szCs w:val="32"/>
        </w:rPr>
        <w:t>项目开展了绩效评价，项目绩效评价报告（附件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）。（非涉密部门均需公开部门整体支出评价报告，部门自行组织的绩效评价情况根据部门实际公开）</w:t>
      </w:r>
    </w:p>
    <w:p w14:paraId="2DEF9DB2">
      <w:pPr>
        <w:spacing w:line="580" w:lineRule="exact"/>
        <w:ind w:firstLine="640" w:firstLineChars="200"/>
        <w:rPr>
          <w:rFonts w:ascii="仿宋_GB2312" w:hAnsi="仿宋_GB2312" w:eastAsia="仿宋_GB2312" w:cs="仿宋_GB2312"/>
          <w:sz w:val="32"/>
          <w:szCs w:val="32"/>
        </w:rPr>
      </w:pPr>
    </w:p>
    <w:p w14:paraId="4FC02450">
      <w:pPr>
        <w:spacing w:line="580" w:lineRule="exact"/>
        <w:ind w:firstLine="640" w:firstLineChars="200"/>
        <w:rPr>
          <w:rFonts w:ascii="仿宋_GB2312" w:hAnsi="仿宋_GB2312" w:eastAsia="仿宋_GB2312" w:cs="仿宋_GB2312"/>
          <w:sz w:val="32"/>
          <w:szCs w:val="32"/>
        </w:rPr>
      </w:pPr>
    </w:p>
    <w:p w14:paraId="1F6A11F1">
      <w:pPr>
        <w:spacing w:line="580" w:lineRule="exact"/>
        <w:ind w:firstLine="640" w:firstLineChars="200"/>
        <w:rPr>
          <w:rFonts w:ascii="仿宋_GB2312" w:hAnsi="仿宋_GB2312" w:eastAsia="仿宋_GB2312" w:cs="仿宋_GB2312"/>
          <w:sz w:val="32"/>
          <w:szCs w:val="32"/>
        </w:rPr>
      </w:pPr>
    </w:p>
    <w:p w14:paraId="6C220C24">
      <w:pPr>
        <w:spacing w:line="580" w:lineRule="exact"/>
        <w:jc w:val="center"/>
        <w:rPr>
          <w:rStyle w:val="17"/>
          <w:rFonts w:ascii="黑体" w:hAnsi="黑体" w:eastAsia="黑体"/>
          <w:b w:val="0"/>
          <w:bCs w:val="0"/>
          <w:sz w:val="36"/>
          <w:szCs w:val="36"/>
        </w:rPr>
      </w:pPr>
      <w:r>
        <w:rPr>
          <w:rFonts w:hint="eastAsia" w:ascii="黑体" w:eastAsia="黑体"/>
          <w:b/>
          <w:bCs/>
          <w:sz w:val="36"/>
          <w:szCs w:val="36"/>
        </w:rPr>
        <w:t>第三部分</w:t>
      </w:r>
      <w:bookmarkStart w:id="55" w:name="_Toc15396613"/>
      <w:bookmarkStart w:id="56" w:name="_Toc15377225"/>
      <w:r>
        <w:rPr>
          <w:rFonts w:ascii="黑体" w:eastAsia="黑体"/>
          <w:b/>
          <w:bCs/>
          <w:sz w:val="36"/>
          <w:szCs w:val="36"/>
        </w:rPr>
        <w:t xml:space="preserve">  </w:t>
      </w:r>
      <w:r>
        <w:rPr>
          <w:rFonts w:hint="eastAsia" w:ascii="黑体" w:hAnsi="黑体" w:eastAsia="黑体" w:cs="黑体"/>
          <w:b/>
          <w:bCs/>
          <w:sz w:val="36"/>
          <w:szCs w:val="36"/>
        </w:rPr>
        <w:t>名</w:t>
      </w:r>
      <w:r>
        <w:rPr>
          <w:rStyle w:val="17"/>
          <w:rFonts w:hint="eastAsia" w:ascii="黑体" w:hAnsi="黑体" w:eastAsia="黑体" w:cs="黑体"/>
          <w:b w:val="0"/>
          <w:bCs w:val="0"/>
          <w:sz w:val="36"/>
          <w:szCs w:val="36"/>
        </w:rPr>
        <w:t>词解释</w:t>
      </w:r>
      <w:bookmarkEnd w:id="55"/>
      <w:bookmarkEnd w:id="56"/>
    </w:p>
    <w:p w14:paraId="473A380B">
      <w:pPr>
        <w:spacing w:line="600" w:lineRule="exact"/>
        <w:jc w:val="left"/>
        <w:rPr>
          <w:rFonts w:ascii="宋体"/>
          <w:b/>
          <w:bCs/>
          <w:sz w:val="44"/>
          <w:szCs w:val="44"/>
        </w:rPr>
      </w:pPr>
    </w:p>
    <w:p w14:paraId="6D59AF4A">
      <w:pPr>
        <w:pStyle w:val="27"/>
        <w:spacing w:line="560" w:lineRule="exact"/>
        <w:ind w:firstLine="640" w:firstLineChars="200"/>
        <w:rPr>
          <w:rFonts w:ascii="仿宋_GB2312" w:eastAsia="仿宋_GB2312" w:cs="Times New Roman"/>
          <w:color w:val="auto"/>
          <w:sz w:val="32"/>
          <w:szCs w:val="32"/>
        </w:rPr>
      </w:pPr>
      <w:r>
        <w:rPr>
          <w:rFonts w:hint="eastAsia" w:ascii="黑体" w:eastAsia="黑体" w:cs="仿宋_GB2312"/>
          <w:color w:val="auto"/>
          <w:sz w:val="32"/>
          <w:szCs w:val="32"/>
        </w:rPr>
        <w:t>一、财政拨款收入</w:t>
      </w:r>
      <w:r>
        <w:rPr>
          <w:rFonts w:hint="eastAsia" w:ascii="仿宋_GB2312" w:eastAsia="仿宋_GB2312" w:cs="仿宋_GB2312"/>
          <w:color w:val="auto"/>
          <w:sz w:val="32"/>
          <w:szCs w:val="32"/>
        </w:rPr>
        <w:t>：指单位从同级财政部门取得的财政预算资金。</w:t>
      </w:r>
    </w:p>
    <w:p w14:paraId="1A555DC3">
      <w:pPr>
        <w:pStyle w:val="27"/>
        <w:spacing w:line="560" w:lineRule="exact"/>
        <w:ind w:firstLine="640" w:firstLineChars="200"/>
        <w:rPr>
          <w:rFonts w:ascii="仿宋_GB2312" w:eastAsia="仿宋_GB2312" w:cs="Times New Roman"/>
          <w:color w:val="auto"/>
          <w:sz w:val="32"/>
          <w:szCs w:val="32"/>
        </w:rPr>
      </w:pPr>
      <w:r>
        <w:rPr>
          <w:rFonts w:hint="eastAsia" w:ascii="黑体" w:eastAsia="黑体" w:cs="仿宋_GB2312"/>
          <w:color w:val="auto"/>
          <w:sz w:val="32"/>
          <w:szCs w:val="32"/>
        </w:rPr>
        <w:t>二、事业收入</w:t>
      </w:r>
      <w:r>
        <w:rPr>
          <w:rFonts w:hint="eastAsia" w:ascii="仿宋_GB2312" w:eastAsia="仿宋_GB2312" w:cs="仿宋_GB2312"/>
          <w:color w:val="auto"/>
          <w:sz w:val="32"/>
          <w:szCs w:val="32"/>
        </w:rPr>
        <w:t>：指事业单位开展专业业务活动及辅助活动取得的收入。如…（二级预算单位事业收入情况）等。</w:t>
      </w:r>
    </w:p>
    <w:p w14:paraId="2B27D831">
      <w:pPr>
        <w:pStyle w:val="27"/>
        <w:spacing w:line="560" w:lineRule="exact"/>
        <w:ind w:firstLine="640" w:firstLineChars="200"/>
        <w:rPr>
          <w:rFonts w:ascii="仿宋_GB2312" w:eastAsia="仿宋_GB2312" w:cs="Times New Roman"/>
          <w:color w:val="auto"/>
          <w:sz w:val="32"/>
          <w:szCs w:val="32"/>
        </w:rPr>
      </w:pPr>
      <w:r>
        <w:rPr>
          <w:rFonts w:hint="eastAsia" w:ascii="黑体" w:eastAsia="黑体" w:cs="仿宋_GB2312"/>
          <w:color w:val="auto"/>
          <w:sz w:val="32"/>
          <w:szCs w:val="32"/>
        </w:rPr>
        <w:t>三、经营收入</w:t>
      </w:r>
      <w:r>
        <w:rPr>
          <w:rFonts w:hint="eastAsia" w:ascii="仿宋_GB2312" w:eastAsia="仿宋_GB2312" w:cs="仿宋_GB2312"/>
          <w:color w:val="auto"/>
          <w:sz w:val="32"/>
          <w:szCs w:val="32"/>
        </w:rPr>
        <w:t>：指事业单位在专业业务活动及其辅助活动之外开展非独立核算经营活动取得的收入。如…（二级预算单位经营收入情况）等。</w:t>
      </w:r>
    </w:p>
    <w:p w14:paraId="38BE2DDB">
      <w:pPr>
        <w:pStyle w:val="27"/>
        <w:spacing w:line="560" w:lineRule="exact"/>
        <w:ind w:firstLine="640" w:firstLineChars="200"/>
        <w:rPr>
          <w:rFonts w:ascii="仿宋_GB2312" w:eastAsia="仿宋_GB2312" w:cs="仿宋_GB2312"/>
          <w:color w:val="auto"/>
          <w:sz w:val="32"/>
          <w:szCs w:val="32"/>
        </w:rPr>
      </w:pPr>
      <w:r>
        <w:rPr>
          <w:rFonts w:hint="eastAsia" w:ascii="黑体" w:eastAsia="黑体" w:cs="仿宋_GB2312"/>
          <w:color w:val="auto"/>
          <w:sz w:val="32"/>
          <w:szCs w:val="32"/>
        </w:rPr>
        <w:t>四、其他收入</w:t>
      </w:r>
      <w:r>
        <w:rPr>
          <w:rFonts w:hint="eastAsia" w:ascii="仿宋_GB2312" w:eastAsia="仿宋_GB2312" w:cs="仿宋_GB2312"/>
          <w:color w:val="auto"/>
          <w:sz w:val="32"/>
          <w:szCs w:val="32"/>
        </w:rPr>
        <w:t>：指单位取得的除上述收入以外的各项收入。主要是…（收入类型）等。</w:t>
      </w:r>
      <w:r>
        <w:rPr>
          <w:rFonts w:ascii="仿宋_GB2312" w:eastAsia="仿宋_GB2312" w:cs="仿宋_GB2312"/>
          <w:color w:val="auto"/>
          <w:sz w:val="32"/>
          <w:szCs w:val="32"/>
        </w:rPr>
        <w:t xml:space="preserve"> </w:t>
      </w:r>
    </w:p>
    <w:p w14:paraId="484ED2C7">
      <w:pPr>
        <w:pStyle w:val="27"/>
        <w:spacing w:line="560" w:lineRule="exact"/>
        <w:ind w:firstLine="640" w:firstLineChars="200"/>
        <w:rPr>
          <w:rFonts w:ascii="仿宋_GB2312" w:eastAsia="仿宋_GB2312" w:cs="仿宋_GB2312"/>
          <w:color w:val="auto"/>
          <w:sz w:val="32"/>
          <w:szCs w:val="32"/>
        </w:rPr>
      </w:pPr>
      <w:r>
        <w:rPr>
          <w:rFonts w:hint="eastAsia" w:ascii="黑体" w:eastAsia="黑体" w:cs="仿宋_GB2312"/>
          <w:color w:val="auto"/>
          <w:sz w:val="32"/>
          <w:szCs w:val="32"/>
        </w:rPr>
        <w:t>五、用事业基金弥补收支差额</w:t>
      </w:r>
      <w:r>
        <w:rPr>
          <w:rFonts w:hint="eastAsia" w:ascii="仿宋_GB2312" w:eastAsia="仿宋_GB2312" w:cs="仿宋_GB2312"/>
          <w:color w:val="auto"/>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color w:val="auto"/>
          <w:sz w:val="32"/>
          <w:szCs w:val="32"/>
        </w:rPr>
        <w:t xml:space="preserve"> </w:t>
      </w:r>
    </w:p>
    <w:p w14:paraId="17A75587">
      <w:pPr>
        <w:pStyle w:val="27"/>
        <w:spacing w:line="560" w:lineRule="exact"/>
        <w:ind w:firstLine="640" w:firstLineChars="200"/>
        <w:rPr>
          <w:rFonts w:ascii="仿宋_GB2312" w:eastAsia="仿宋_GB2312" w:cs="仿宋_GB2312"/>
          <w:color w:val="auto"/>
          <w:sz w:val="32"/>
          <w:szCs w:val="32"/>
        </w:rPr>
      </w:pPr>
      <w:r>
        <w:rPr>
          <w:rFonts w:hint="eastAsia" w:ascii="黑体" w:eastAsia="黑体" w:cs="仿宋_GB2312"/>
          <w:color w:val="auto"/>
          <w:sz w:val="32"/>
          <w:szCs w:val="32"/>
        </w:rPr>
        <w:t>六、年初结转和结余</w:t>
      </w:r>
      <w:r>
        <w:rPr>
          <w:rFonts w:hint="eastAsia" w:ascii="仿宋_GB2312" w:eastAsia="仿宋_GB2312" w:cs="仿宋_GB2312"/>
          <w:color w:val="auto"/>
          <w:sz w:val="32"/>
          <w:szCs w:val="32"/>
        </w:rPr>
        <w:t>：指以前年度尚未完成、结转到本年按有关规定继续使用的资金。</w:t>
      </w:r>
      <w:r>
        <w:rPr>
          <w:rFonts w:ascii="仿宋_GB2312" w:eastAsia="仿宋_GB2312" w:cs="仿宋_GB2312"/>
          <w:color w:val="auto"/>
          <w:sz w:val="32"/>
          <w:szCs w:val="32"/>
        </w:rPr>
        <w:t xml:space="preserve"> </w:t>
      </w:r>
    </w:p>
    <w:p w14:paraId="50AA7F7C">
      <w:pPr>
        <w:pStyle w:val="27"/>
        <w:spacing w:line="560" w:lineRule="exact"/>
        <w:ind w:firstLine="640" w:firstLineChars="200"/>
        <w:rPr>
          <w:rFonts w:ascii="仿宋_GB2312" w:eastAsia="仿宋_GB2312" w:cs="Times New Roman"/>
          <w:color w:val="auto"/>
          <w:sz w:val="32"/>
          <w:szCs w:val="32"/>
        </w:rPr>
      </w:pPr>
      <w:r>
        <w:rPr>
          <w:rFonts w:hint="eastAsia" w:ascii="黑体" w:eastAsia="黑体" w:cs="仿宋_GB2312"/>
          <w:color w:val="auto"/>
          <w:sz w:val="32"/>
          <w:szCs w:val="32"/>
        </w:rPr>
        <w:t>七、结余分配</w:t>
      </w:r>
      <w:r>
        <w:rPr>
          <w:rFonts w:hint="eastAsia" w:ascii="仿宋_GB2312" w:eastAsia="仿宋_GB2312" w:cs="仿宋_GB2312"/>
          <w:color w:val="auto"/>
          <w:sz w:val="32"/>
          <w:szCs w:val="32"/>
        </w:rPr>
        <w:t>：指事业单位按照事业单位会计制度的规定从非财政补助结余中分配的事业基金和职工福利基金等。</w:t>
      </w:r>
    </w:p>
    <w:p w14:paraId="4A0FEBB0">
      <w:pPr>
        <w:pStyle w:val="27"/>
        <w:spacing w:line="560" w:lineRule="exact"/>
        <w:ind w:firstLine="640" w:firstLineChars="200"/>
        <w:rPr>
          <w:rFonts w:ascii="仿宋_GB2312" w:eastAsia="仿宋_GB2312" w:cs="仿宋_GB2312"/>
          <w:color w:val="auto"/>
          <w:sz w:val="32"/>
          <w:szCs w:val="32"/>
        </w:rPr>
      </w:pPr>
      <w:r>
        <w:rPr>
          <w:rFonts w:hint="eastAsia" w:ascii="黑体" w:eastAsia="黑体" w:cs="仿宋_GB2312"/>
          <w:color w:val="auto"/>
          <w:sz w:val="32"/>
          <w:szCs w:val="32"/>
        </w:rPr>
        <w:t>八、年末结转和结余</w:t>
      </w:r>
      <w:r>
        <w:rPr>
          <w:rFonts w:hint="eastAsia" w:ascii="仿宋_GB2312" w:eastAsia="仿宋_GB2312" w:cs="仿宋_GB2312"/>
          <w:color w:val="auto"/>
          <w:sz w:val="32"/>
          <w:szCs w:val="32"/>
        </w:rPr>
        <w:t>：指单位按有关规定结转到下年或以后年度继续使用的资金。</w:t>
      </w:r>
    </w:p>
    <w:p w14:paraId="645C9C75">
      <w:pPr>
        <w:ind w:firstLine="640" w:firstLineChars="200"/>
        <w:rPr>
          <w:rFonts w:ascii="仿宋_GB2312" w:eastAsia="仿宋_GB2312"/>
          <w:color w:val="000000"/>
          <w:sz w:val="32"/>
          <w:szCs w:val="32"/>
        </w:rPr>
      </w:pPr>
      <w:r>
        <w:rPr>
          <w:rFonts w:hint="eastAsia" w:ascii="黑体" w:eastAsia="黑体"/>
          <w:color w:val="000000"/>
          <w:sz w:val="32"/>
          <w:szCs w:val="32"/>
        </w:rPr>
        <w:t>九、一般公共服务（类）人大事务（款）代表工作（项）：</w:t>
      </w:r>
      <w:r>
        <w:rPr>
          <w:rFonts w:hint="eastAsia" w:ascii="仿宋_GB2312" w:eastAsia="仿宋_GB2312"/>
          <w:color w:val="000000"/>
          <w:sz w:val="32"/>
          <w:szCs w:val="32"/>
        </w:rPr>
        <w:t>指反映人大代表开展各类视察等方面的支出。</w:t>
      </w:r>
    </w:p>
    <w:p w14:paraId="697DFC71">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一般公共服务（类）政府办公厅（室）及相关机构事务（款）行政运行（项）</w:t>
      </w:r>
      <w:r>
        <w:rPr>
          <w:rFonts w:hint="eastAsia" w:ascii="仿宋_GB2312" w:eastAsia="仿宋_GB2312"/>
          <w:b/>
          <w:color w:val="000000"/>
          <w:sz w:val="32"/>
          <w:szCs w:val="32"/>
        </w:rPr>
        <w:t>：</w:t>
      </w:r>
      <w:r>
        <w:rPr>
          <w:rFonts w:hint="eastAsia" w:ascii="仿宋_GB2312" w:eastAsia="仿宋_GB2312"/>
          <w:color w:val="000000"/>
          <w:sz w:val="32"/>
          <w:szCs w:val="32"/>
        </w:rPr>
        <w:t>指反映行政单位（包括实行公务员管理的事业单位）的基本支出。</w:t>
      </w:r>
    </w:p>
    <w:p w14:paraId="3278D522">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一般公共服务（类）政府办公厅（室）及相关机构事务（款）一般行政管理事务（项）：指反映行政单位（包括实行公务员管理的事业单位）未单独设置项级科目的其他项目支出。</w:t>
      </w:r>
    </w:p>
    <w:p w14:paraId="226E9CA3">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一般公共服务（类）政府办公厅（室）及相关机构事务（款）其他政府办公厅（室）及相关机构事务支出（项）：反映本款01至50（项）以外的其他政府办公厅（室）及相关机构事务支出。</w:t>
      </w:r>
    </w:p>
    <w:p w14:paraId="220284D4">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一般公共服务（类）财政事务（款）其他财政事务支出（项）：指本（款）</w:t>
      </w:r>
      <w:r>
        <w:rPr>
          <w:rFonts w:ascii="仿宋_GB2312" w:eastAsia="仿宋_GB2312"/>
          <w:color w:val="000000"/>
          <w:sz w:val="32"/>
          <w:szCs w:val="32"/>
        </w:rPr>
        <w:t>01</w:t>
      </w:r>
      <w:r>
        <w:rPr>
          <w:rFonts w:hint="eastAsia" w:ascii="仿宋_GB2312" w:eastAsia="仿宋_GB2312"/>
          <w:color w:val="000000"/>
          <w:sz w:val="32"/>
          <w:szCs w:val="32"/>
        </w:rPr>
        <w:t>至</w:t>
      </w:r>
      <w:r>
        <w:rPr>
          <w:rFonts w:ascii="仿宋_GB2312" w:eastAsia="仿宋_GB2312"/>
          <w:color w:val="000000"/>
          <w:sz w:val="32"/>
          <w:szCs w:val="32"/>
        </w:rPr>
        <w:t>50</w:t>
      </w:r>
      <w:r>
        <w:rPr>
          <w:rFonts w:hint="eastAsia" w:ascii="仿宋_GB2312" w:eastAsia="仿宋_GB2312"/>
          <w:color w:val="000000"/>
          <w:sz w:val="32"/>
          <w:szCs w:val="32"/>
        </w:rPr>
        <w:t>（项）以外其他财政事务方面的支出。</w:t>
      </w:r>
    </w:p>
    <w:p w14:paraId="24AEFA53">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一般公共服务（类）群众团体事务（款）其他群体事务支出（项）：指本（款）</w:t>
      </w:r>
      <w:r>
        <w:rPr>
          <w:rFonts w:ascii="仿宋_GB2312" w:eastAsia="仿宋_GB2312"/>
          <w:color w:val="000000"/>
          <w:sz w:val="32"/>
          <w:szCs w:val="32"/>
        </w:rPr>
        <w:t>01</w:t>
      </w:r>
      <w:r>
        <w:rPr>
          <w:rFonts w:hint="eastAsia" w:ascii="仿宋_GB2312" w:eastAsia="仿宋_GB2312"/>
          <w:color w:val="000000"/>
          <w:sz w:val="32"/>
          <w:szCs w:val="32"/>
        </w:rPr>
        <w:t>至</w:t>
      </w:r>
      <w:r>
        <w:rPr>
          <w:rFonts w:ascii="仿宋_GB2312" w:eastAsia="仿宋_GB2312"/>
          <w:color w:val="000000"/>
          <w:sz w:val="32"/>
          <w:szCs w:val="32"/>
        </w:rPr>
        <w:t>50</w:t>
      </w:r>
      <w:r>
        <w:rPr>
          <w:rFonts w:hint="eastAsia" w:ascii="仿宋_GB2312" w:eastAsia="仿宋_GB2312"/>
          <w:color w:val="000000"/>
          <w:sz w:val="32"/>
          <w:szCs w:val="32"/>
        </w:rPr>
        <w:t>（项）以外其他用于群众团体事务方面的支出。</w:t>
      </w:r>
    </w:p>
    <w:p w14:paraId="40152422">
      <w:pPr>
        <w:ind w:firstLine="640" w:firstLineChars="200"/>
        <w:rPr>
          <w:rFonts w:ascii="仿宋_GB2312" w:eastAsia="仿宋_GB2312"/>
          <w:color w:val="000000"/>
          <w:sz w:val="32"/>
          <w:szCs w:val="32"/>
        </w:rPr>
      </w:pPr>
      <w:r>
        <w:rPr>
          <w:rFonts w:hint="eastAsia" w:ascii="黑体" w:eastAsia="黑体"/>
          <w:color w:val="000000"/>
          <w:sz w:val="32"/>
          <w:szCs w:val="32"/>
        </w:rPr>
        <w:t>十、社会保障和就业支出（类）行政事业单位养老支出（款）机关事业单位基本养老保险缴费支出（项）</w:t>
      </w:r>
      <w:r>
        <w:rPr>
          <w:rFonts w:hint="eastAsia" w:ascii="仿宋_GB2312" w:eastAsia="仿宋_GB2312"/>
          <w:color w:val="000000"/>
          <w:sz w:val="32"/>
          <w:szCs w:val="32"/>
        </w:rPr>
        <w:t>：指反映机关事业单位实施养老保险制度由单位缴纳的基本养老保险费支出。</w:t>
      </w:r>
    </w:p>
    <w:p w14:paraId="504BD424">
      <w:pPr>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社会保障和就业支出（类）行政事业单位养老支出（款）机关事业单位职业年金缴费支出（项）：指反映机关事业单位实施养老保险制度由单位实际缴纳的职业年金支出。</w:t>
      </w:r>
    </w:p>
    <w:p w14:paraId="37FD1B53">
      <w:pPr>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社会保障和就业（类）行政事业单位养老支出（款）其他行政事业单位养老支出（项）：指反映本（款）除</w:t>
      </w:r>
      <w:r>
        <w:rPr>
          <w:rFonts w:ascii="仿宋_GB2312" w:eastAsia="仿宋_GB2312"/>
          <w:color w:val="000000"/>
          <w:sz w:val="32"/>
          <w:szCs w:val="32"/>
        </w:rPr>
        <w:t>01</w:t>
      </w:r>
      <w:r>
        <w:rPr>
          <w:rFonts w:hint="eastAsia" w:ascii="仿宋_GB2312" w:eastAsia="仿宋_GB2312"/>
          <w:color w:val="000000"/>
          <w:sz w:val="32"/>
          <w:szCs w:val="32"/>
        </w:rPr>
        <w:t>至</w:t>
      </w:r>
      <w:r>
        <w:rPr>
          <w:rFonts w:ascii="仿宋_GB2312" w:eastAsia="仿宋_GB2312"/>
          <w:color w:val="000000"/>
          <w:sz w:val="32"/>
          <w:szCs w:val="32"/>
        </w:rPr>
        <w:t>07</w:t>
      </w:r>
      <w:r>
        <w:rPr>
          <w:rFonts w:hint="eastAsia" w:ascii="仿宋_GB2312" w:eastAsia="仿宋_GB2312"/>
          <w:color w:val="000000"/>
          <w:sz w:val="32"/>
          <w:szCs w:val="32"/>
        </w:rPr>
        <w:t>（项）以外的其他用于行政事业单位养老方面的支出。</w:t>
      </w:r>
    </w:p>
    <w:p w14:paraId="1790E437">
      <w:pPr>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社会保障和就业支出（类）其他社会保障和就业支出（款）其他社会保障和就业支出（项）：指反映本（类）</w:t>
      </w:r>
      <w:r>
        <w:rPr>
          <w:rFonts w:ascii="仿宋_GB2312" w:eastAsia="仿宋_GB2312"/>
          <w:color w:val="000000"/>
          <w:sz w:val="32"/>
          <w:szCs w:val="32"/>
        </w:rPr>
        <w:t>01</w:t>
      </w:r>
      <w:r>
        <w:rPr>
          <w:rFonts w:hint="eastAsia" w:ascii="仿宋_GB2312" w:eastAsia="仿宋_GB2312"/>
          <w:color w:val="000000"/>
          <w:sz w:val="32"/>
          <w:szCs w:val="32"/>
        </w:rPr>
        <w:t>至</w:t>
      </w:r>
      <w:r>
        <w:rPr>
          <w:rFonts w:ascii="仿宋_GB2312" w:eastAsia="仿宋_GB2312"/>
          <w:color w:val="000000"/>
          <w:sz w:val="32"/>
          <w:szCs w:val="32"/>
        </w:rPr>
        <w:t>28</w:t>
      </w:r>
      <w:r>
        <w:rPr>
          <w:rFonts w:hint="eastAsia" w:ascii="仿宋_GB2312" w:eastAsia="仿宋_GB2312"/>
          <w:color w:val="000000"/>
          <w:sz w:val="32"/>
          <w:szCs w:val="32"/>
        </w:rPr>
        <w:t>（款）以外的其他用于社会保障和就业支出方面的支出。</w:t>
      </w:r>
    </w:p>
    <w:p w14:paraId="267B0B52">
      <w:pPr>
        <w:ind w:firstLine="640" w:firstLineChars="200"/>
        <w:rPr>
          <w:rFonts w:ascii="仿宋_GB2312" w:eastAsia="仿宋_GB2312"/>
          <w:color w:val="000000"/>
          <w:sz w:val="32"/>
          <w:szCs w:val="32"/>
        </w:rPr>
      </w:pPr>
      <w:r>
        <w:rPr>
          <w:rFonts w:hint="eastAsia" w:ascii="黑体" w:eastAsia="黑体"/>
          <w:color w:val="000000"/>
          <w:sz w:val="32"/>
          <w:szCs w:val="32"/>
        </w:rPr>
        <w:t>十一、卫生健康支出（类）行政事业单位医疗（款）行政单位医疗（项）</w:t>
      </w:r>
      <w:r>
        <w:rPr>
          <w:rFonts w:hint="eastAsia" w:ascii="仿宋_GB2312" w:eastAsia="仿宋_GB2312"/>
          <w:color w:val="000000"/>
          <w:sz w:val="32"/>
          <w:szCs w:val="32"/>
        </w:rPr>
        <w:t>：指反映财政部门安排的行政单位（包括实行公务员管理的事业单位，下同）基本医疗保险缴费经费，未参加医疗保险的行政单位的公费医疗经费，按国家规定享受离休人员、红军老战士待遇人员的医疗经费。</w:t>
      </w:r>
    </w:p>
    <w:p w14:paraId="43D56120">
      <w:p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事业单位医疗（项）：指反映财政部门安排的事业单位基本医疗保险缴费经费，未参加医疗保险的事业单位的公费医疗经费，按国家规定享受离休人员待遇的医疗经费。</w:t>
      </w:r>
    </w:p>
    <w:p w14:paraId="67017164">
      <w:p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卫生健康支出（类）行政事业单位医疗（款）其他行政事业单位医疗支出（项）：指本（款）</w:t>
      </w:r>
      <w:r>
        <w:rPr>
          <w:rFonts w:ascii="仿宋_GB2312" w:eastAsia="仿宋_GB2312"/>
          <w:color w:val="000000"/>
          <w:sz w:val="32"/>
          <w:szCs w:val="32"/>
        </w:rPr>
        <w:t>01</w:t>
      </w:r>
      <w:r>
        <w:rPr>
          <w:rFonts w:hint="eastAsia" w:ascii="仿宋_GB2312" w:eastAsia="仿宋_GB2312"/>
          <w:color w:val="000000"/>
          <w:sz w:val="32"/>
          <w:szCs w:val="32"/>
        </w:rPr>
        <w:t>至</w:t>
      </w:r>
      <w:r>
        <w:rPr>
          <w:rFonts w:ascii="仿宋_GB2312" w:eastAsia="仿宋_GB2312"/>
          <w:color w:val="000000"/>
          <w:sz w:val="32"/>
          <w:szCs w:val="32"/>
        </w:rPr>
        <w:t>03</w:t>
      </w:r>
      <w:r>
        <w:rPr>
          <w:rFonts w:hint="eastAsia" w:ascii="仿宋_GB2312" w:eastAsia="仿宋_GB2312"/>
          <w:color w:val="000000"/>
          <w:sz w:val="32"/>
          <w:szCs w:val="32"/>
        </w:rPr>
        <w:t>（项）以外的其他用于行政事业单位医疗方面的支出。</w:t>
      </w:r>
    </w:p>
    <w:p w14:paraId="0D8685AB">
      <w:p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卫生健康支出（类）公共卫生（款）突发公共卫生事件应急处理（项）：反映用于突发公共卫生事件应急处理的支出。</w:t>
      </w:r>
    </w:p>
    <w:p w14:paraId="047F9AF5">
      <w:pPr>
        <w:ind w:firstLine="640" w:firstLineChars="200"/>
        <w:rPr>
          <w:rFonts w:ascii="仿宋_GB2312" w:eastAsia="仿宋_GB2312"/>
          <w:color w:val="000000"/>
          <w:sz w:val="32"/>
          <w:szCs w:val="32"/>
        </w:rPr>
      </w:pPr>
      <w:r>
        <w:rPr>
          <w:rFonts w:hint="eastAsia" w:ascii="黑体" w:eastAsia="黑体"/>
          <w:color w:val="000000"/>
          <w:sz w:val="32"/>
          <w:szCs w:val="32"/>
        </w:rPr>
        <w:t>十二、城乡社区支出（类）城乡社区管理事务（款）其他城乡社区管理事务支出（项）</w:t>
      </w:r>
      <w:r>
        <w:rPr>
          <w:rFonts w:hint="eastAsia" w:ascii="仿宋_GB2312" w:eastAsia="仿宋_GB2312"/>
          <w:color w:val="000000"/>
          <w:sz w:val="32"/>
          <w:szCs w:val="32"/>
        </w:rPr>
        <w:t>：指本（款）</w:t>
      </w:r>
      <w:r>
        <w:rPr>
          <w:rFonts w:ascii="仿宋_GB2312" w:eastAsia="仿宋_GB2312"/>
          <w:color w:val="000000"/>
          <w:sz w:val="32"/>
          <w:szCs w:val="32"/>
        </w:rPr>
        <w:t>01</w:t>
      </w:r>
      <w:r>
        <w:rPr>
          <w:rFonts w:hint="eastAsia" w:ascii="仿宋_GB2312" w:eastAsia="仿宋_GB2312"/>
          <w:color w:val="000000"/>
          <w:sz w:val="32"/>
          <w:szCs w:val="32"/>
        </w:rPr>
        <w:t>至</w:t>
      </w:r>
      <w:r>
        <w:rPr>
          <w:rFonts w:ascii="仿宋_GB2312" w:eastAsia="仿宋_GB2312"/>
          <w:color w:val="000000"/>
          <w:sz w:val="32"/>
          <w:szCs w:val="32"/>
        </w:rPr>
        <w:t>10</w:t>
      </w:r>
      <w:r>
        <w:rPr>
          <w:rFonts w:hint="eastAsia" w:ascii="仿宋_GB2312" w:eastAsia="仿宋_GB2312"/>
          <w:color w:val="000000"/>
          <w:sz w:val="32"/>
          <w:szCs w:val="32"/>
        </w:rPr>
        <w:t>（项）以外的其他用于城乡社区管理事务方面的支出。</w:t>
      </w:r>
    </w:p>
    <w:p w14:paraId="36DBF3A5">
      <w:pPr>
        <w:ind w:firstLine="640" w:firstLineChars="200"/>
        <w:rPr>
          <w:rFonts w:ascii="仿宋_GB2312" w:eastAsia="仿宋_GB2312"/>
          <w:color w:val="000000"/>
          <w:sz w:val="32"/>
          <w:szCs w:val="32"/>
        </w:rPr>
      </w:pPr>
      <w:r>
        <w:rPr>
          <w:rFonts w:hint="eastAsia" w:ascii="仿宋_GB2312" w:eastAsia="仿宋_GB2312"/>
          <w:color w:val="000000"/>
          <w:sz w:val="32"/>
          <w:szCs w:val="32"/>
        </w:rPr>
        <w:t>城乡社区支出（类）国有土地使用权出让收入及对应专项债务收入安排的支出（款）其他国有土地使用权出让收入安排的支出（项）：指反映土地出让收入用于其他方面的支出。不包括市县级政府当年按规定用土地出让收入向中央和省级政府缴纳的新增建设用地土地有偿使用费的支出。</w:t>
      </w:r>
    </w:p>
    <w:p w14:paraId="0106EB7B">
      <w:pPr>
        <w:ind w:firstLine="640" w:firstLineChars="200"/>
        <w:rPr>
          <w:rFonts w:ascii="仿宋_GB2312" w:eastAsia="仿宋_GB2312"/>
          <w:color w:val="000000"/>
          <w:sz w:val="32"/>
          <w:szCs w:val="32"/>
        </w:rPr>
      </w:pPr>
      <w:r>
        <w:rPr>
          <w:rFonts w:hint="eastAsia" w:ascii="黑体" w:eastAsia="黑体"/>
          <w:color w:val="000000"/>
          <w:sz w:val="32"/>
          <w:szCs w:val="32"/>
        </w:rPr>
        <w:t>十三、农林水支出（类）农业（款）事业运行（项）</w:t>
      </w:r>
      <w:r>
        <w:rPr>
          <w:rFonts w:hint="eastAsia" w:ascii="仿宋_GB2312" w:eastAsia="仿宋_GB2312"/>
          <w:color w:val="000000"/>
          <w:sz w:val="32"/>
          <w:szCs w:val="32"/>
        </w:rPr>
        <w:t>：指反映用于农业事业单位基本支出，事业单位设施、系统运行与资产维护等方面的支出。</w:t>
      </w:r>
    </w:p>
    <w:p w14:paraId="3430D179">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农林水支出（类）农业（款）对高校毕业生到基层任职补助（项）：指反映按规定对高校毕业生到基层任职的补助支出。</w:t>
      </w:r>
    </w:p>
    <w:p w14:paraId="27BE2019">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农林水支出（类）农村综合改革（款）对村民委员会和村党支部的补助（项）：指反映各级财政对村民委员会和村党支部的补助支出，以及支持建立县级基本财力保障机制安排的村级组织运转奖补资金。</w:t>
      </w:r>
    </w:p>
    <w:p w14:paraId="388AFBD3">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农林水支出（类）农村综合改革（款）农村综合改革示范试点补助（项）：指反映各级财政对农村综合改革示范试点、新型农业社会化服务体系建设等补助支出。</w:t>
      </w:r>
    </w:p>
    <w:p w14:paraId="7854C80D">
      <w:pPr>
        <w:ind w:firstLine="640" w:firstLineChars="200"/>
        <w:rPr>
          <w:rFonts w:ascii="仿宋_GB2312" w:eastAsia="仿宋_GB2312"/>
          <w:color w:val="000000"/>
          <w:sz w:val="32"/>
          <w:szCs w:val="32"/>
        </w:rPr>
      </w:pPr>
      <w:r>
        <w:rPr>
          <w:rFonts w:hint="eastAsia" w:ascii="仿宋_GB2312" w:eastAsia="仿宋_GB2312"/>
          <w:color w:val="000000"/>
          <w:sz w:val="32"/>
          <w:szCs w:val="32"/>
        </w:rPr>
        <w:t>农林水（类）农村综合改革（款）其他农村综合改革支出（项）：指本（款）</w:t>
      </w:r>
      <w:r>
        <w:rPr>
          <w:rFonts w:ascii="仿宋_GB2312" w:eastAsia="仿宋_GB2312"/>
          <w:color w:val="000000"/>
          <w:sz w:val="32"/>
          <w:szCs w:val="32"/>
        </w:rPr>
        <w:t>01</w:t>
      </w:r>
      <w:r>
        <w:rPr>
          <w:rFonts w:hint="eastAsia" w:ascii="仿宋_GB2312" w:eastAsia="仿宋_GB2312"/>
          <w:color w:val="000000"/>
          <w:sz w:val="32"/>
          <w:szCs w:val="32"/>
        </w:rPr>
        <w:t>至</w:t>
      </w:r>
      <w:r>
        <w:rPr>
          <w:rFonts w:ascii="仿宋_GB2312" w:eastAsia="仿宋_GB2312"/>
          <w:color w:val="000000"/>
          <w:sz w:val="32"/>
          <w:szCs w:val="32"/>
        </w:rPr>
        <w:t>07</w:t>
      </w:r>
      <w:r>
        <w:rPr>
          <w:rFonts w:hint="eastAsia" w:ascii="仿宋_GB2312" w:eastAsia="仿宋_GB2312"/>
          <w:color w:val="000000"/>
          <w:sz w:val="32"/>
          <w:szCs w:val="32"/>
        </w:rPr>
        <w:t>（项）以外的其他用于农村综合改革方面的支出。</w:t>
      </w:r>
    </w:p>
    <w:p w14:paraId="52C499B6">
      <w:pPr>
        <w:ind w:firstLine="640" w:firstLineChars="200"/>
        <w:rPr>
          <w:rFonts w:ascii="仿宋_GB2312" w:eastAsia="仿宋_GB2312"/>
          <w:color w:val="000000"/>
          <w:sz w:val="32"/>
          <w:szCs w:val="32"/>
        </w:rPr>
      </w:pPr>
      <w:r>
        <w:rPr>
          <w:rFonts w:hint="eastAsia" w:ascii="黑体" w:eastAsia="黑体"/>
          <w:color w:val="000000"/>
          <w:sz w:val="32"/>
          <w:szCs w:val="32"/>
        </w:rPr>
        <w:t>十四、住房保障支出（类）住房改革支出（款）住房公积金（项）</w:t>
      </w:r>
      <w:r>
        <w:rPr>
          <w:rFonts w:hint="eastAsia" w:ascii="仿宋_GB2312" w:eastAsia="仿宋_GB2312"/>
          <w:color w:val="000000"/>
          <w:sz w:val="32"/>
          <w:szCs w:val="32"/>
        </w:rPr>
        <w:t>：指反映行政事业单位按人力资源和社会保障部、财政部规定的基本工资和津贴补贴以及规定比例为职工缴纳的住房公积金。</w:t>
      </w:r>
    </w:p>
    <w:p w14:paraId="23F5A846">
      <w:pPr>
        <w:ind w:firstLine="640" w:firstLineChars="200"/>
        <w:rPr>
          <w:rFonts w:ascii="仿宋_GB2312" w:eastAsia="仿宋_GB2312"/>
          <w:color w:val="000000"/>
          <w:sz w:val="32"/>
          <w:szCs w:val="32"/>
        </w:rPr>
      </w:pPr>
      <w:r>
        <w:rPr>
          <w:rFonts w:hint="eastAsia" w:ascii="黑体" w:eastAsia="黑体"/>
          <w:color w:val="000000"/>
          <w:sz w:val="32"/>
          <w:szCs w:val="32"/>
        </w:rPr>
        <w:t>十五、基本支出</w:t>
      </w:r>
      <w:r>
        <w:rPr>
          <w:rFonts w:hint="eastAsia" w:ascii="仿宋_GB2312" w:eastAsia="仿宋_GB2312"/>
          <w:color w:val="000000"/>
          <w:sz w:val="32"/>
          <w:szCs w:val="32"/>
        </w:rPr>
        <w:t>：指为保障机构正常运转、完成日常工作任务而发生的人员支出和公用支出。</w:t>
      </w:r>
    </w:p>
    <w:p w14:paraId="20B3E509">
      <w:pPr>
        <w:ind w:firstLine="640" w:firstLineChars="200"/>
        <w:rPr>
          <w:rFonts w:ascii="仿宋_GB2312" w:eastAsia="仿宋_GB2312"/>
          <w:color w:val="000000"/>
          <w:sz w:val="32"/>
          <w:szCs w:val="32"/>
        </w:rPr>
      </w:pPr>
      <w:r>
        <w:rPr>
          <w:rFonts w:hint="eastAsia" w:ascii="黑体" w:eastAsia="黑体"/>
          <w:color w:val="000000"/>
          <w:sz w:val="32"/>
          <w:szCs w:val="32"/>
        </w:rPr>
        <w:t>十六、项目支出</w:t>
      </w:r>
      <w:r>
        <w:rPr>
          <w:rFonts w:hint="eastAsia" w:ascii="仿宋_GB2312" w:eastAsia="仿宋_GB2312"/>
          <w:color w:val="000000"/>
          <w:sz w:val="32"/>
          <w:szCs w:val="32"/>
        </w:rPr>
        <w:t>：指在基本支出之外为完成特定行政任务和事业发展目标所发生的支出。</w:t>
      </w:r>
      <w:r>
        <w:rPr>
          <w:rFonts w:ascii="仿宋_GB2312" w:eastAsia="仿宋_GB2312"/>
          <w:color w:val="000000"/>
          <w:sz w:val="32"/>
          <w:szCs w:val="32"/>
        </w:rPr>
        <w:t xml:space="preserve"> </w:t>
      </w:r>
    </w:p>
    <w:p w14:paraId="445FBAEA">
      <w:pPr>
        <w:ind w:firstLine="640" w:firstLineChars="200"/>
        <w:rPr>
          <w:rFonts w:ascii="仿宋_GB2312" w:eastAsia="仿宋_GB2312"/>
          <w:color w:val="000000"/>
          <w:sz w:val="32"/>
          <w:szCs w:val="32"/>
        </w:rPr>
      </w:pPr>
      <w:r>
        <w:rPr>
          <w:rFonts w:hint="eastAsia" w:ascii="黑体" w:eastAsia="黑体"/>
          <w:color w:val="000000"/>
          <w:sz w:val="32"/>
          <w:szCs w:val="32"/>
        </w:rPr>
        <w:t>十七、经营支出</w:t>
      </w:r>
      <w:r>
        <w:rPr>
          <w:rFonts w:hint="eastAsia" w:ascii="仿宋_GB2312" w:eastAsia="仿宋_GB2312"/>
          <w:color w:val="000000"/>
          <w:sz w:val="32"/>
          <w:szCs w:val="32"/>
        </w:rPr>
        <w:t>：指事业单位在专业业务活动及其辅助活动之外开展非独立核算经营活动发生的支出。</w:t>
      </w:r>
    </w:p>
    <w:p w14:paraId="44D986BC">
      <w:pPr>
        <w:pStyle w:val="27"/>
        <w:spacing w:line="560" w:lineRule="exact"/>
        <w:ind w:firstLine="640" w:firstLineChars="200"/>
        <w:rPr>
          <w:rFonts w:ascii="仿宋_GB2312" w:eastAsia="仿宋_GB2312"/>
          <w:sz w:val="32"/>
          <w:szCs w:val="32"/>
        </w:rPr>
      </w:pPr>
      <w:r>
        <w:rPr>
          <w:rFonts w:hint="eastAsia" w:ascii="黑体" w:eastAsia="黑体"/>
          <w:sz w:val="32"/>
          <w:szCs w:val="32"/>
        </w:rPr>
        <w:t>十八、“三公”经费</w:t>
      </w:r>
      <w:r>
        <w:rPr>
          <w:rFonts w:hint="eastAsia" w:ascii="仿宋_GB2312"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924DA4F">
      <w:pPr>
        <w:pStyle w:val="27"/>
        <w:spacing w:line="560" w:lineRule="exact"/>
        <w:ind w:firstLine="640" w:firstLineChars="200"/>
        <w:rPr>
          <w:rFonts w:ascii="仿宋_GB2312" w:eastAsia="仿宋_GB2312"/>
          <w:sz w:val="32"/>
          <w:szCs w:val="32"/>
        </w:rPr>
      </w:pPr>
      <w:r>
        <w:rPr>
          <w:rFonts w:hint="eastAsia" w:ascii="黑体" w:eastAsia="黑体"/>
          <w:sz w:val="32"/>
          <w:szCs w:val="32"/>
        </w:rPr>
        <w:t>十九、机关运行经费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E9FA68">
      <w:pPr>
        <w:spacing w:line="600" w:lineRule="exact"/>
        <w:jc w:val="center"/>
        <w:outlineLvl w:val="0"/>
        <w:rPr>
          <w:rStyle w:val="17"/>
          <w:rFonts w:ascii="黑体" w:hAnsi="黑体" w:eastAsia="黑体"/>
          <w:b w:val="0"/>
          <w:bCs w:val="0"/>
          <w:sz w:val="36"/>
          <w:szCs w:val="36"/>
        </w:rPr>
      </w:pPr>
      <w:bookmarkStart w:id="57" w:name="_Toc15377226"/>
      <w:r>
        <w:rPr>
          <w:rFonts w:ascii="宋体"/>
          <w:bCs/>
          <w:sz w:val="44"/>
          <w:szCs w:val="44"/>
        </w:rPr>
        <w:br w:type="page"/>
      </w:r>
      <w:bookmarkStart w:id="58" w:name="_Toc15396614"/>
      <w:r>
        <w:rPr>
          <w:rFonts w:hint="eastAsia" w:ascii="黑体" w:hAnsi="黑体" w:eastAsia="黑体" w:cs="黑体"/>
          <w:sz w:val="36"/>
          <w:szCs w:val="36"/>
        </w:rPr>
        <w:t>第</w:t>
      </w:r>
      <w:r>
        <w:rPr>
          <w:rStyle w:val="17"/>
          <w:rFonts w:hint="eastAsia" w:ascii="黑体" w:hAnsi="黑体" w:eastAsia="黑体" w:cs="黑体"/>
          <w:b w:val="0"/>
          <w:bCs w:val="0"/>
          <w:sz w:val="36"/>
          <w:szCs w:val="36"/>
        </w:rPr>
        <w:t>四部分</w:t>
      </w:r>
      <w:r>
        <w:rPr>
          <w:rStyle w:val="17"/>
          <w:rFonts w:ascii="黑体" w:hAnsi="黑体" w:eastAsia="黑体" w:cs="黑体"/>
          <w:b w:val="0"/>
          <w:bCs w:val="0"/>
          <w:sz w:val="36"/>
          <w:szCs w:val="36"/>
        </w:rPr>
        <w:t xml:space="preserve"> </w:t>
      </w:r>
      <w:r>
        <w:rPr>
          <w:rStyle w:val="17"/>
          <w:rFonts w:hint="eastAsia" w:ascii="黑体" w:hAnsi="黑体" w:eastAsia="黑体" w:cs="黑体"/>
          <w:b w:val="0"/>
          <w:bCs w:val="0"/>
          <w:sz w:val="36"/>
          <w:szCs w:val="36"/>
        </w:rPr>
        <w:t>附件</w:t>
      </w:r>
      <w:bookmarkEnd w:id="58"/>
    </w:p>
    <w:p w14:paraId="5E636621">
      <w:pPr>
        <w:pStyle w:val="3"/>
        <w:rPr>
          <w:rStyle w:val="17"/>
          <w:rFonts w:ascii="仿宋" w:hAnsi="仿宋" w:eastAsia="仿宋"/>
          <w:b/>
          <w:bCs w:val="0"/>
          <w:sz w:val="32"/>
          <w:szCs w:val="32"/>
        </w:rPr>
      </w:pPr>
      <w:bookmarkStart w:id="59" w:name="_Toc15396615"/>
      <w:r>
        <w:rPr>
          <w:rStyle w:val="17"/>
          <w:rFonts w:hint="eastAsia" w:ascii="仿宋" w:hAnsi="仿宋" w:eastAsia="仿宋" w:cs="仿宋"/>
          <w:b/>
          <w:bCs w:val="0"/>
          <w:sz w:val="32"/>
          <w:szCs w:val="32"/>
        </w:rPr>
        <w:t>附件</w:t>
      </w:r>
      <w:r>
        <w:rPr>
          <w:rStyle w:val="17"/>
          <w:rFonts w:ascii="仿宋" w:hAnsi="仿宋" w:eastAsia="仿宋" w:cs="仿宋"/>
          <w:b/>
          <w:bCs w:val="0"/>
          <w:sz w:val="32"/>
          <w:szCs w:val="32"/>
        </w:rPr>
        <w:t>1</w:t>
      </w:r>
      <w:bookmarkEnd w:id="59"/>
    </w:p>
    <w:p w14:paraId="088083A7">
      <w:pPr>
        <w:jc w:val="center"/>
        <w:rPr>
          <w:rFonts w:ascii="宋体" w:hAnsi="宋体"/>
          <w:b/>
          <w:sz w:val="36"/>
          <w:szCs w:val="36"/>
        </w:rPr>
      </w:pPr>
      <w:bookmarkStart w:id="60" w:name="_Toc15396617"/>
      <w:r>
        <w:rPr>
          <w:rFonts w:hint="eastAsia" w:ascii="宋体" w:hAnsi="宋体"/>
          <w:b/>
          <w:sz w:val="36"/>
          <w:szCs w:val="36"/>
        </w:rPr>
        <w:t>德阳市罗江区略坪镇人民政府</w:t>
      </w:r>
    </w:p>
    <w:p w14:paraId="4E3D843D">
      <w:pPr>
        <w:jc w:val="center"/>
        <w:rPr>
          <w:rFonts w:ascii="宋体" w:hAnsi="宋体"/>
          <w:sz w:val="32"/>
          <w:szCs w:val="32"/>
        </w:rPr>
      </w:pPr>
      <w:r>
        <w:rPr>
          <w:rFonts w:hint="eastAsia" w:ascii="宋体" w:hAnsi="宋体"/>
          <w:b/>
          <w:sz w:val="36"/>
          <w:szCs w:val="36"/>
        </w:rPr>
        <w:t>2020年度部门整体支出绩效评价报告</w:t>
      </w:r>
    </w:p>
    <w:p w14:paraId="2B784F4F">
      <w:pPr>
        <w:rPr>
          <w:rFonts w:ascii="宋体" w:hAnsi="宋体"/>
          <w:sz w:val="32"/>
          <w:szCs w:val="32"/>
        </w:rPr>
      </w:pPr>
    </w:p>
    <w:p w14:paraId="4C5E932C">
      <w:pPr>
        <w:rPr>
          <w:rFonts w:ascii="宋体" w:hAnsi="宋体"/>
          <w:sz w:val="32"/>
          <w:szCs w:val="32"/>
        </w:rPr>
      </w:pPr>
      <w:r>
        <w:rPr>
          <w:rFonts w:hint="eastAsia" w:ascii="宋体" w:hAnsi="宋体"/>
          <w:sz w:val="32"/>
          <w:szCs w:val="32"/>
        </w:rPr>
        <w:t>德阳市罗江区财政局：</w:t>
      </w:r>
    </w:p>
    <w:p w14:paraId="5786843E">
      <w:pPr>
        <w:ind w:firstLine="640" w:firstLineChars="200"/>
        <w:rPr>
          <w:rFonts w:ascii="宋体" w:hAnsi="宋体"/>
          <w:sz w:val="32"/>
          <w:szCs w:val="32"/>
        </w:rPr>
      </w:pPr>
      <w:r>
        <w:rPr>
          <w:rFonts w:hint="eastAsia" w:ascii="宋体" w:hAnsi="宋体"/>
          <w:sz w:val="32"/>
          <w:szCs w:val="32"/>
        </w:rPr>
        <w:t>按照《德阳市罗江区财政局关于开展2021年财政绩效评价工作的通知》（德市罗财预【2021】6号）要求，我单位积极开展2020年度财政综合预算支出绩效评价工作，现将部门综合预算支出绩效自评结果报告如下：</w:t>
      </w:r>
    </w:p>
    <w:p w14:paraId="0A777A3F">
      <w:pPr>
        <w:ind w:firstLine="640"/>
        <w:rPr>
          <w:rFonts w:ascii="宋体" w:hAnsi="宋体"/>
          <w:b/>
          <w:sz w:val="32"/>
          <w:szCs w:val="32"/>
        </w:rPr>
      </w:pPr>
      <w:r>
        <w:rPr>
          <w:rFonts w:hint="eastAsia" w:ascii="宋体" w:hAnsi="宋体"/>
          <w:b/>
          <w:sz w:val="32"/>
          <w:szCs w:val="32"/>
        </w:rPr>
        <w:t>一、部门（单位）概况</w:t>
      </w:r>
    </w:p>
    <w:p w14:paraId="2665A97D">
      <w:pPr>
        <w:ind w:firstLine="640"/>
        <w:rPr>
          <w:rFonts w:ascii="宋体" w:hAnsi="宋体"/>
          <w:sz w:val="32"/>
          <w:szCs w:val="32"/>
        </w:rPr>
      </w:pPr>
      <w:r>
        <w:rPr>
          <w:rFonts w:hint="eastAsia" w:ascii="宋体" w:hAnsi="宋体"/>
          <w:sz w:val="32"/>
          <w:szCs w:val="32"/>
        </w:rPr>
        <w:t>（一）机构组成</w:t>
      </w:r>
    </w:p>
    <w:p w14:paraId="3CFCE668">
      <w:pPr>
        <w:ind w:firstLine="640"/>
        <w:rPr>
          <w:rFonts w:ascii="宋体" w:hAnsi="宋体"/>
          <w:sz w:val="32"/>
          <w:szCs w:val="32"/>
        </w:rPr>
      </w:pPr>
      <w:r>
        <w:rPr>
          <w:rFonts w:hint="eastAsia" w:ascii="宋体" w:hAnsi="宋体"/>
          <w:sz w:val="32"/>
          <w:szCs w:val="32"/>
        </w:rPr>
        <w:t>按照《中共德阳市罗江区委机构编制委员会办公室关于乡镇行政区划调整改革后机构编制事项的通知》规定，本单位（部门）内设非独立核算党政综合办事机构（正股级）7个，即：党建工作办公室、社会事务办公室、综合行政执法办公室、经济发展和乡村振兴办公室、社会治理和应急管理办公室、自然资源和建设管理办公室、财政工作办公室。</w:t>
      </w:r>
    </w:p>
    <w:p w14:paraId="7B744770">
      <w:pPr>
        <w:ind w:firstLine="640"/>
        <w:rPr>
          <w:rFonts w:ascii="宋体" w:hAnsi="宋体"/>
          <w:sz w:val="32"/>
          <w:szCs w:val="32"/>
        </w:rPr>
      </w:pPr>
      <w:r>
        <w:rPr>
          <w:rFonts w:hint="eastAsia" w:ascii="宋体" w:hAnsi="宋体"/>
          <w:sz w:val="32"/>
          <w:szCs w:val="32"/>
        </w:rPr>
        <w:t>（二）机构职能</w:t>
      </w:r>
    </w:p>
    <w:p w14:paraId="338DB211">
      <w:pPr>
        <w:ind w:firstLine="640"/>
        <w:rPr>
          <w:rFonts w:ascii="宋体" w:hAnsi="宋体"/>
          <w:sz w:val="32"/>
          <w:szCs w:val="32"/>
        </w:rPr>
      </w:pPr>
      <w:r>
        <w:rPr>
          <w:rFonts w:hint="eastAsia" w:ascii="宋体" w:hAnsi="宋体"/>
          <w:sz w:val="32"/>
          <w:szCs w:val="32"/>
        </w:rPr>
        <w:t>1、宣传贯彻党的路线、方针政策和国家的法律、法规；执行上级党组织、上级人民政府及本级党的代表大会、人民代表大会的决议、决定。</w:t>
      </w:r>
    </w:p>
    <w:p w14:paraId="58C6B2B6">
      <w:pPr>
        <w:ind w:firstLine="640"/>
        <w:rPr>
          <w:rFonts w:ascii="宋体" w:hAnsi="宋体"/>
          <w:sz w:val="32"/>
          <w:szCs w:val="32"/>
        </w:rPr>
      </w:pPr>
      <w:r>
        <w:rPr>
          <w:rFonts w:hint="eastAsia" w:ascii="宋体" w:hAnsi="宋体"/>
          <w:sz w:val="32"/>
          <w:szCs w:val="32"/>
        </w:rPr>
        <w:t>2、讨论决定本镇经济建设项目和社会发展中的重大问题。</w:t>
      </w:r>
    </w:p>
    <w:p w14:paraId="4FEA6354">
      <w:pPr>
        <w:ind w:firstLine="640"/>
        <w:rPr>
          <w:rFonts w:ascii="宋体" w:hAnsi="宋体"/>
          <w:sz w:val="32"/>
          <w:szCs w:val="32"/>
        </w:rPr>
      </w:pPr>
      <w:r>
        <w:rPr>
          <w:rFonts w:hint="eastAsia" w:ascii="宋体" w:hAnsi="宋体"/>
          <w:sz w:val="32"/>
          <w:szCs w:val="32"/>
        </w:rPr>
        <w:t>3、领导镇政权机关和群众组织，支持和保证镇政权机关和组织依照国家法律法规及各自章程充分行使职权。</w:t>
      </w:r>
    </w:p>
    <w:p w14:paraId="5310B2B0">
      <w:pPr>
        <w:ind w:firstLine="640"/>
        <w:rPr>
          <w:rFonts w:ascii="宋体" w:hAnsi="宋体"/>
          <w:sz w:val="32"/>
          <w:szCs w:val="32"/>
        </w:rPr>
      </w:pPr>
      <w:r>
        <w:rPr>
          <w:rFonts w:hint="eastAsia" w:ascii="宋体" w:hAnsi="宋体"/>
          <w:sz w:val="32"/>
          <w:szCs w:val="32"/>
        </w:rPr>
        <w:t>4、加强镇党委自身组织建设和以党支部为核心的村级组织建设。按照干部管理权限，负责本镇干部队伍建设。</w:t>
      </w:r>
    </w:p>
    <w:p w14:paraId="7ACAC675">
      <w:pPr>
        <w:ind w:firstLine="640"/>
        <w:rPr>
          <w:rFonts w:ascii="宋体" w:hAnsi="宋体"/>
          <w:sz w:val="32"/>
          <w:szCs w:val="32"/>
        </w:rPr>
      </w:pPr>
      <w:r>
        <w:rPr>
          <w:rFonts w:hint="eastAsia" w:ascii="宋体" w:hAnsi="宋体"/>
          <w:sz w:val="32"/>
          <w:szCs w:val="32"/>
        </w:rPr>
        <w:t>5、加强和巩固农村基层政权建设，积极推进村民自治和民主化进程；负责辖区内信访稳定和社会治安综合治理工作，加强对突发事件的预警和管理，建立、健全各种应急机制，努力化解社会矛盾，切实保障农民合法权益，着力构建和谐社会。</w:t>
      </w:r>
    </w:p>
    <w:p w14:paraId="1D261409">
      <w:pPr>
        <w:ind w:firstLine="640"/>
        <w:rPr>
          <w:rFonts w:ascii="宋体" w:hAnsi="宋体"/>
          <w:sz w:val="32"/>
          <w:szCs w:val="32"/>
        </w:rPr>
      </w:pPr>
      <w:r>
        <w:rPr>
          <w:rFonts w:hint="eastAsia" w:ascii="宋体" w:hAnsi="宋体"/>
          <w:sz w:val="32"/>
          <w:szCs w:val="32"/>
        </w:rPr>
        <w:t>6、制定本镇经济和社会发展规划，营造发展环境，推广农业技术，提高社会主义新农村建设水平。</w:t>
      </w:r>
    </w:p>
    <w:p w14:paraId="339F9199">
      <w:pPr>
        <w:ind w:firstLine="640"/>
        <w:rPr>
          <w:rFonts w:ascii="宋体" w:hAnsi="宋体"/>
          <w:sz w:val="32"/>
          <w:szCs w:val="32"/>
        </w:rPr>
      </w:pPr>
      <w:r>
        <w:rPr>
          <w:rFonts w:hint="eastAsia" w:ascii="宋体" w:hAnsi="宋体"/>
          <w:sz w:val="32"/>
          <w:szCs w:val="32"/>
        </w:rPr>
        <w:t>7、加强农村基础设施建设，增加公共产品；加强镇村规划、教育、科技、文化、卫生、计划生育等社会管理和社会主义精神文明建设，不断提高农村人口素质。</w:t>
      </w:r>
    </w:p>
    <w:p w14:paraId="4CCB33E3">
      <w:pPr>
        <w:ind w:firstLine="640"/>
        <w:rPr>
          <w:rFonts w:ascii="宋体" w:hAnsi="宋体"/>
          <w:sz w:val="32"/>
          <w:szCs w:val="32"/>
        </w:rPr>
      </w:pPr>
      <w:r>
        <w:rPr>
          <w:rFonts w:hint="eastAsia" w:ascii="宋体" w:hAnsi="宋体"/>
          <w:sz w:val="32"/>
          <w:szCs w:val="32"/>
        </w:rPr>
        <w:t>8、进一步发展和完善农业社会化服务体系，引导各类协会和农村专业合作经济组织建设，发展农村社会公益事业和集体公益事业，提供科技信息和社会救济、救助服务。</w:t>
      </w:r>
    </w:p>
    <w:p w14:paraId="052844F5">
      <w:pPr>
        <w:ind w:firstLine="640"/>
        <w:rPr>
          <w:rFonts w:ascii="宋体" w:hAnsi="宋体"/>
          <w:sz w:val="32"/>
          <w:szCs w:val="32"/>
        </w:rPr>
      </w:pPr>
      <w:r>
        <w:rPr>
          <w:rFonts w:hint="eastAsia" w:ascii="宋体" w:hAnsi="宋体"/>
          <w:sz w:val="32"/>
          <w:szCs w:val="32"/>
        </w:rPr>
        <w:t>9、负责筹备、召集和主持本镇人民代表大会会议，负责处理镇人民代表大会闭会期间的日常工作。</w:t>
      </w:r>
    </w:p>
    <w:p w14:paraId="2371BBAA">
      <w:pPr>
        <w:ind w:firstLine="640"/>
        <w:rPr>
          <w:rFonts w:ascii="宋体" w:hAnsi="宋体"/>
          <w:sz w:val="32"/>
          <w:szCs w:val="32"/>
        </w:rPr>
      </w:pPr>
      <w:r>
        <w:rPr>
          <w:rFonts w:hint="eastAsia" w:ascii="宋体" w:hAnsi="宋体"/>
          <w:sz w:val="32"/>
          <w:szCs w:val="32"/>
        </w:rPr>
        <w:t>10、完成区委、区政府安排的其他工作。</w:t>
      </w:r>
    </w:p>
    <w:p w14:paraId="3F595AD7">
      <w:pPr>
        <w:ind w:firstLine="640"/>
        <w:rPr>
          <w:rFonts w:ascii="宋体" w:hAnsi="宋体"/>
          <w:sz w:val="32"/>
          <w:szCs w:val="32"/>
        </w:rPr>
      </w:pPr>
      <w:r>
        <w:rPr>
          <w:rFonts w:hint="eastAsia" w:ascii="宋体" w:hAnsi="宋体"/>
          <w:sz w:val="32"/>
          <w:szCs w:val="32"/>
        </w:rPr>
        <w:t>（三）编制及人员情况</w:t>
      </w:r>
    </w:p>
    <w:p w14:paraId="43DD81D2">
      <w:pPr>
        <w:snapToGrid w:val="0"/>
        <w:spacing w:line="360" w:lineRule="auto"/>
        <w:ind w:firstLine="640" w:firstLineChars="200"/>
        <w:rPr>
          <w:rFonts w:ascii="宋体" w:hAnsi="宋体"/>
          <w:sz w:val="32"/>
          <w:szCs w:val="32"/>
        </w:rPr>
      </w:pPr>
      <w:r>
        <w:rPr>
          <w:rFonts w:hint="eastAsia" w:ascii="宋体" w:hAnsi="宋体"/>
          <w:sz w:val="32"/>
          <w:szCs w:val="32"/>
        </w:rPr>
        <w:t>按照《中共德阳市罗江区委办公室、德阳市罗江区人民政府办公室关于印发〈德阳市罗江区略坪镇党政机构设置、职能配置和人员编制规定〉的通知》（罗委办[2006]64号）的规定，部门内设两个正股级机构，即：党政办公室，经济和社会事务办公室。于2011年10月，按照德阳市罗江区委编办《关于设立乡镇财政所的通知》（罗委编发[2011]60号）规定，设立了德阳市罗江区略坪镇财政所，机构规格为正股级。至此，本部门实有经区委机构编制委员会批准的内设机构3个。于2019年11月，按照中共德阳市罗江区委机构编制委员会办公室《关于乡镇行政区划调整改革后机构编制事项的通知》规定，本单位统一内设正股级综合办事机构7个，即：党建工作办公室、社会事务办公室、综合执法办公室、经济发展和乡村振兴办公室、社会治理和应急管理办公室、自然资源和建设管理办公室、财政工作办公室。</w:t>
      </w:r>
    </w:p>
    <w:p w14:paraId="029EA6AA">
      <w:pPr>
        <w:ind w:firstLine="640"/>
        <w:rPr>
          <w:rFonts w:ascii="宋体" w:hAnsi="宋体"/>
          <w:sz w:val="32"/>
          <w:szCs w:val="32"/>
        </w:rPr>
      </w:pPr>
      <w:r>
        <w:rPr>
          <w:rFonts w:hint="eastAsia" w:ascii="宋体" w:hAnsi="宋体"/>
          <w:sz w:val="32"/>
          <w:szCs w:val="32"/>
        </w:rPr>
        <w:t>按照中共德阳市罗江区委机构编制委员会办公室《关于乡镇行政区划调整改革后机构编制事项的通知》规定，核定本单位行政编制总数28名，没有事业编制。科级职数9名，股级职数17名。2020年末，本单位实际配备科级领导职数3正6副，股级职数17名，其中，正股7名。</w:t>
      </w:r>
    </w:p>
    <w:p w14:paraId="0D8A4D7D">
      <w:pPr>
        <w:ind w:firstLine="640"/>
        <w:rPr>
          <w:rFonts w:ascii="宋体" w:hAnsi="宋体"/>
          <w:sz w:val="32"/>
          <w:szCs w:val="32"/>
        </w:rPr>
      </w:pPr>
      <w:r>
        <w:rPr>
          <w:rFonts w:hint="eastAsia" w:ascii="宋体" w:hAnsi="宋体"/>
          <w:sz w:val="32"/>
          <w:szCs w:val="32"/>
        </w:rPr>
        <w:t>2020年度，本单位年度平均在岗人数38人，年末实有在岗人员40人。其中：行政在编人员23人，本单位自聘人员4人，本单位代管的农村发展服务部人员12人，三支一扶人员1人。</w:t>
      </w:r>
    </w:p>
    <w:p w14:paraId="2B4A4BF6">
      <w:pPr>
        <w:ind w:firstLine="640"/>
        <w:rPr>
          <w:rFonts w:ascii="宋体" w:hAnsi="宋体"/>
          <w:sz w:val="32"/>
          <w:szCs w:val="32"/>
        </w:rPr>
      </w:pPr>
      <w:r>
        <w:rPr>
          <w:rFonts w:hint="eastAsia" w:ascii="宋体" w:hAnsi="宋体"/>
          <w:sz w:val="32"/>
          <w:szCs w:val="32"/>
        </w:rPr>
        <w:t>年末人员变动的主要原因是：期内，公务员遴选进入本单位1人，公务员考录进入本单位3人，退休1人；三支一扶人员服务期满解聘1人。</w:t>
      </w:r>
    </w:p>
    <w:p w14:paraId="0D9705C1">
      <w:pPr>
        <w:ind w:firstLine="640"/>
        <w:rPr>
          <w:rFonts w:ascii="宋体" w:hAnsi="宋体"/>
          <w:sz w:val="32"/>
          <w:szCs w:val="32"/>
        </w:rPr>
      </w:pPr>
      <w:r>
        <w:rPr>
          <w:rFonts w:hint="eastAsia" w:ascii="宋体" w:hAnsi="宋体"/>
          <w:sz w:val="32"/>
          <w:szCs w:val="32"/>
        </w:rPr>
        <w:t>2020年末，本单位实有退休人员45人。其中，公务员退休21人，事业退休人员14人，参照事业退休人员管理的农村发展服务部退休人员10人。</w:t>
      </w:r>
    </w:p>
    <w:p w14:paraId="0F75EE8A">
      <w:pPr>
        <w:ind w:firstLine="640"/>
        <w:rPr>
          <w:rFonts w:ascii="宋体" w:hAnsi="宋体"/>
          <w:sz w:val="32"/>
          <w:szCs w:val="32"/>
        </w:rPr>
      </w:pPr>
      <w:r>
        <w:rPr>
          <w:rFonts w:hint="eastAsia" w:ascii="宋体" w:hAnsi="宋体"/>
          <w:sz w:val="32"/>
          <w:szCs w:val="32"/>
        </w:rPr>
        <w:t>期内，公务员退休增加1人。</w:t>
      </w:r>
    </w:p>
    <w:p w14:paraId="30181329">
      <w:pPr>
        <w:ind w:firstLine="640"/>
        <w:rPr>
          <w:rFonts w:ascii="宋体" w:hAnsi="宋体"/>
          <w:b/>
          <w:sz w:val="32"/>
          <w:szCs w:val="32"/>
        </w:rPr>
      </w:pPr>
      <w:r>
        <w:rPr>
          <w:rFonts w:hint="eastAsia" w:ascii="宋体" w:hAnsi="宋体"/>
          <w:b/>
          <w:sz w:val="32"/>
          <w:szCs w:val="32"/>
        </w:rPr>
        <w:t>二、部门财政资金收支情况</w:t>
      </w:r>
    </w:p>
    <w:p w14:paraId="228E53AC">
      <w:pPr>
        <w:ind w:firstLine="640"/>
        <w:rPr>
          <w:rFonts w:ascii="宋体" w:hAnsi="宋体"/>
          <w:sz w:val="32"/>
          <w:szCs w:val="32"/>
        </w:rPr>
      </w:pPr>
      <w:r>
        <w:rPr>
          <w:rFonts w:hint="eastAsia" w:ascii="宋体" w:hAnsi="宋体"/>
          <w:sz w:val="32"/>
          <w:szCs w:val="32"/>
        </w:rPr>
        <w:t>（一）部门财政资金收入情况</w:t>
      </w:r>
    </w:p>
    <w:p w14:paraId="50D71667">
      <w:pPr>
        <w:widowControl/>
        <w:spacing w:line="360" w:lineRule="auto"/>
        <w:ind w:firstLine="640" w:firstLineChars="200"/>
        <w:rPr>
          <w:rFonts w:ascii="宋体" w:hAnsi="宋体"/>
          <w:sz w:val="32"/>
          <w:szCs w:val="32"/>
        </w:rPr>
      </w:pPr>
      <w:r>
        <w:rPr>
          <w:rFonts w:hint="eastAsia" w:ascii="宋体" w:hAnsi="宋体"/>
          <w:sz w:val="32"/>
          <w:szCs w:val="32"/>
        </w:rPr>
        <w:t>2020年度，部门收入支出预算（含调整预算，下同）安排支出1251.95万元，比上年减少140.99万元。其中：一般公共预算财政拨款收入支出安排1117.87万元，比上年减少41.13万元，减幅3.38%；政府性基金预算财政拨款收入支出安排38.98万元，比上年减少61.02万元，减幅61.02%；其他收入预算支出安排95.10万元，比上年减少38.83万元，减幅为28.99%。</w:t>
      </w:r>
    </w:p>
    <w:p w14:paraId="525AD1CC">
      <w:pPr>
        <w:snapToGrid w:val="0"/>
        <w:spacing w:line="360" w:lineRule="auto"/>
        <w:ind w:firstLine="640" w:firstLineChars="200"/>
        <w:rPr>
          <w:rFonts w:ascii="宋体" w:hAnsi="宋体"/>
          <w:sz w:val="32"/>
          <w:szCs w:val="32"/>
        </w:rPr>
      </w:pPr>
      <w:r>
        <w:rPr>
          <w:rFonts w:hint="eastAsia" w:ascii="宋体" w:hAnsi="宋体"/>
          <w:sz w:val="32"/>
          <w:szCs w:val="32"/>
        </w:rPr>
        <w:t>2020年收入支出预算安排比上年减少的主要原因是：一是人员经费减少41.13万元，减少的主要原因是：在职人员绩效奖励和退休人员生活补助减少；二是政府性基金预算财政拨款减少61.02万元，减少的主要原因是上年度追加土地整理项目经费100.00万元，本年度没有该项经费；三是同级财政横向拨款收入比上年减少38.83万元，减少的主要原因是上级各部门转拨至本部门实施的专项工作经费减少。</w:t>
      </w:r>
    </w:p>
    <w:p w14:paraId="34D62DB2">
      <w:pPr>
        <w:ind w:firstLine="640"/>
        <w:rPr>
          <w:rFonts w:ascii="宋体" w:hAnsi="宋体"/>
          <w:sz w:val="32"/>
          <w:szCs w:val="32"/>
        </w:rPr>
      </w:pPr>
      <w:r>
        <w:rPr>
          <w:rFonts w:hint="eastAsia" w:ascii="宋体" w:hAnsi="宋体"/>
          <w:sz w:val="32"/>
          <w:szCs w:val="32"/>
        </w:rPr>
        <w:t>（二）部门财政资金支出情况</w:t>
      </w:r>
    </w:p>
    <w:p w14:paraId="55525CFA">
      <w:pPr>
        <w:snapToGrid w:val="0"/>
        <w:spacing w:line="360" w:lineRule="auto"/>
        <w:ind w:firstLine="640" w:firstLineChars="200"/>
        <w:rPr>
          <w:rFonts w:ascii="宋体" w:hAnsi="宋体"/>
          <w:sz w:val="32"/>
          <w:szCs w:val="32"/>
        </w:rPr>
      </w:pPr>
      <w:r>
        <w:rPr>
          <w:rFonts w:hint="eastAsia" w:ascii="宋体" w:hAnsi="宋体"/>
          <w:sz w:val="32"/>
          <w:szCs w:val="32"/>
        </w:rPr>
        <w:t>2020年部门收入支出预算（含调整预算，下同）实际完成1294.29万元，比上年减少133.05万元，减幅9.18%。其中：一般公共预算财政拨款收入1160.21万元，比上年减少33.19万元，减幅2.61%。减少的主要原因是：在职人员绩效奖励和退休人员生活补助减少；政府性基金预算财政拨款收入38.98万元，比上年减少61.02万元，减幅61.02%。减少的主要原因是：上年追加预算土地整理项目工程费，本年度没有该项费用。其他收入95.10万元，比上年减少38.83万元，减幅28.99%。减少的主要原因是：上级各部门转拨到本单位实施的专项工作经费减少。</w:t>
      </w:r>
    </w:p>
    <w:p w14:paraId="7FBC9579">
      <w:pPr>
        <w:ind w:firstLine="640"/>
        <w:rPr>
          <w:rFonts w:ascii="宋体" w:hAnsi="宋体"/>
          <w:sz w:val="32"/>
          <w:szCs w:val="32"/>
        </w:rPr>
      </w:pPr>
      <w:r>
        <w:rPr>
          <w:rFonts w:hint="eastAsia" w:ascii="宋体" w:hAnsi="宋体"/>
          <w:sz w:val="32"/>
          <w:szCs w:val="32"/>
        </w:rPr>
        <w:t>2020年，本部门预算支出完成1294.03万元，其中：一般公共预算财政拨款收入支出1159.95万元，完成部门一般公共预算财政拨款收入支出的99.98%；政府性基金预算财政拨款收入支出38.98万元，完成100%；其他收入支出95.10万元，完成100%。</w:t>
      </w:r>
    </w:p>
    <w:p w14:paraId="63D6FE36">
      <w:pPr>
        <w:ind w:firstLine="640"/>
        <w:rPr>
          <w:rFonts w:ascii="宋体" w:hAnsi="宋体"/>
          <w:sz w:val="32"/>
          <w:szCs w:val="32"/>
        </w:rPr>
      </w:pPr>
      <w:r>
        <w:rPr>
          <w:rFonts w:hint="eastAsia" w:ascii="宋体" w:hAnsi="宋体"/>
          <w:sz w:val="32"/>
          <w:szCs w:val="32"/>
        </w:rPr>
        <w:t>1、按支出功能科目分类（【表一】）</w:t>
      </w:r>
    </w:p>
    <w:tbl>
      <w:tblPr>
        <w:tblStyle w:val="13"/>
        <w:tblW w:w="8205" w:type="dxa"/>
        <w:tblInd w:w="93" w:type="dxa"/>
        <w:tblLayout w:type="autofit"/>
        <w:tblCellMar>
          <w:top w:w="0" w:type="dxa"/>
          <w:left w:w="108" w:type="dxa"/>
          <w:bottom w:w="0" w:type="dxa"/>
          <w:right w:w="108" w:type="dxa"/>
        </w:tblCellMar>
      </w:tblPr>
      <w:tblGrid>
        <w:gridCol w:w="4300"/>
        <w:gridCol w:w="3905"/>
      </w:tblGrid>
      <w:tr w14:paraId="3F656E80">
        <w:tblPrEx>
          <w:tblCellMar>
            <w:top w:w="0" w:type="dxa"/>
            <w:left w:w="108" w:type="dxa"/>
            <w:bottom w:w="0" w:type="dxa"/>
            <w:right w:w="108" w:type="dxa"/>
          </w:tblCellMar>
        </w:tblPrEx>
        <w:trPr>
          <w:trHeight w:val="615" w:hRule="atLeast"/>
        </w:trPr>
        <w:tc>
          <w:tcPr>
            <w:tcW w:w="4300" w:type="dxa"/>
            <w:tcBorders>
              <w:top w:val="nil"/>
              <w:left w:val="nil"/>
              <w:bottom w:val="nil"/>
              <w:right w:val="nil"/>
            </w:tcBorders>
            <w:shd w:val="clear" w:color="auto" w:fill="auto"/>
            <w:noWrap/>
            <w:vAlign w:val="center"/>
          </w:tcPr>
          <w:p w14:paraId="3C38C9D1">
            <w:pPr>
              <w:widowControl/>
              <w:jc w:val="left"/>
              <w:rPr>
                <w:rFonts w:ascii="宋体" w:hAnsi="宋体" w:cs="宋体"/>
                <w:b/>
                <w:bCs/>
                <w:kern w:val="0"/>
                <w:sz w:val="28"/>
                <w:szCs w:val="28"/>
              </w:rPr>
            </w:pPr>
            <w:r>
              <w:rPr>
                <w:rFonts w:hint="eastAsia" w:ascii="宋体" w:hAnsi="宋体" w:cs="宋体"/>
                <w:b/>
                <w:bCs/>
                <w:kern w:val="0"/>
                <w:sz w:val="28"/>
                <w:szCs w:val="28"/>
              </w:rPr>
              <w:t>【表一】</w:t>
            </w:r>
          </w:p>
        </w:tc>
        <w:tc>
          <w:tcPr>
            <w:tcW w:w="3905" w:type="dxa"/>
            <w:tcBorders>
              <w:top w:val="nil"/>
              <w:left w:val="nil"/>
              <w:bottom w:val="nil"/>
              <w:right w:val="nil"/>
            </w:tcBorders>
            <w:shd w:val="clear" w:color="auto" w:fill="auto"/>
            <w:noWrap/>
            <w:vAlign w:val="center"/>
          </w:tcPr>
          <w:p w14:paraId="12DB64A0">
            <w:pPr>
              <w:widowControl/>
              <w:jc w:val="right"/>
              <w:rPr>
                <w:rFonts w:ascii="宋体" w:hAnsi="宋体" w:cs="宋体"/>
                <w:b/>
                <w:bCs/>
                <w:kern w:val="0"/>
                <w:sz w:val="24"/>
                <w:szCs w:val="24"/>
              </w:rPr>
            </w:pPr>
            <w:r>
              <w:rPr>
                <w:rFonts w:hint="eastAsia" w:ascii="宋体" w:hAnsi="宋体" w:cs="宋体"/>
                <w:b/>
                <w:bCs/>
                <w:kern w:val="0"/>
                <w:sz w:val="24"/>
                <w:szCs w:val="24"/>
              </w:rPr>
              <w:t>单位：万元</w:t>
            </w:r>
          </w:p>
        </w:tc>
      </w:tr>
      <w:tr w14:paraId="46613A72">
        <w:tblPrEx>
          <w:tblCellMar>
            <w:top w:w="0" w:type="dxa"/>
            <w:left w:w="108" w:type="dxa"/>
            <w:bottom w:w="0" w:type="dxa"/>
            <w:right w:w="108" w:type="dxa"/>
          </w:tblCellMar>
        </w:tblPrEx>
        <w:trPr>
          <w:trHeight w:val="559" w:hRule="atLeast"/>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66573">
            <w:pPr>
              <w:widowControl/>
              <w:jc w:val="center"/>
              <w:rPr>
                <w:rFonts w:ascii="宋体" w:hAnsi="宋体" w:cs="宋体"/>
                <w:b/>
                <w:bCs/>
                <w:kern w:val="0"/>
                <w:sz w:val="24"/>
                <w:szCs w:val="24"/>
              </w:rPr>
            </w:pPr>
            <w:r>
              <w:rPr>
                <w:rFonts w:hint="eastAsia" w:ascii="宋体" w:hAnsi="宋体" w:cs="宋体"/>
                <w:b/>
                <w:bCs/>
                <w:kern w:val="0"/>
                <w:sz w:val="24"/>
                <w:szCs w:val="24"/>
              </w:rPr>
              <w:t>项目（按功能分类）</w:t>
            </w:r>
          </w:p>
        </w:tc>
        <w:tc>
          <w:tcPr>
            <w:tcW w:w="3905" w:type="dxa"/>
            <w:tcBorders>
              <w:top w:val="single" w:color="auto" w:sz="4" w:space="0"/>
              <w:left w:val="nil"/>
              <w:bottom w:val="single" w:color="auto" w:sz="4" w:space="0"/>
              <w:right w:val="single" w:color="auto" w:sz="4" w:space="0"/>
            </w:tcBorders>
            <w:shd w:val="clear" w:color="auto" w:fill="auto"/>
            <w:noWrap/>
            <w:vAlign w:val="center"/>
          </w:tcPr>
          <w:p w14:paraId="4BEA114C">
            <w:pPr>
              <w:widowControl/>
              <w:jc w:val="center"/>
              <w:rPr>
                <w:rFonts w:ascii="宋体" w:hAnsi="宋体" w:cs="宋体"/>
                <w:b/>
                <w:bCs/>
                <w:kern w:val="0"/>
                <w:sz w:val="24"/>
                <w:szCs w:val="24"/>
              </w:rPr>
            </w:pPr>
            <w:r>
              <w:rPr>
                <w:rFonts w:hint="eastAsia" w:ascii="宋体" w:hAnsi="宋体" w:cs="宋体"/>
                <w:b/>
                <w:bCs/>
                <w:kern w:val="0"/>
                <w:sz w:val="24"/>
                <w:szCs w:val="24"/>
              </w:rPr>
              <w:t>合计金额</w:t>
            </w:r>
          </w:p>
        </w:tc>
      </w:tr>
      <w:tr w14:paraId="2D889988">
        <w:tblPrEx>
          <w:tblCellMar>
            <w:top w:w="0" w:type="dxa"/>
            <w:left w:w="108" w:type="dxa"/>
            <w:bottom w:w="0" w:type="dxa"/>
            <w:right w:w="108" w:type="dxa"/>
          </w:tblCellMar>
        </w:tblPrEx>
        <w:trPr>
          <w:trHeight w:val="510"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4AB764C8">
            <w:pPr>
              <w:widowControl/>
              <w:jc w:val="left"/>
              <w:rPr>
                <w:rFonts w:ascii="宋体" w:hAnsi="宋体" w:cs="宋体"/>
                <w:kern w:val="0"/>
                <w:sz w:val="24"/>
                <w:szCs w:val="24"/>
              </w:rPr>
            </w:pPr>
            <w:r>
              <w:rPr>
                <w:rFonts w:hint="eastAsia" w:ascii="宋体" w:hAnsi="宋体" w:cs="宋体"/>
                <w:kern w:val="0"/>
                <w:sz w:val="24"/>
                <w:szCs w:val="24"/>
              </w:rPr>
              <w:t>一、一般公共服务支出</w:t>
            </w:r>
          </w:p>
        </w:tc>
        <w:tc>
          <w:tcPr>
            <w:tcW w:w="3905" w:type="dxa"/>
            <w:tcBorders>
              <w:top w:val="nil"/>
              <w:left w:val="nil"/>
              <w:bottom w:val="single" w:color="auto" w:sz="4" w:space="0"/>
              <w:right w:val="single" w:color="auto" w:sz="4" w:space="0"/>
            </w:tcBorders>
            <w:shd w:val="clear" w:color="auto" w:fill="auto"/>
            <w:noWrap/>
            <w:vAlign w:val="center"/>
          </w:tcPr>
          <w:p w14:paraId="098F1C13">
            <w:pPr>
              <w:widowControl/>
              <w:jc w:val="left"/>
              <w:rPr>
                <w:rFonts w:ascii="宋体" w:hAnsi="宋体" w:cs="宋体"/>
                <w:kern w:val="0"/>
                <w:sz w:val="24"/>
                <w:szCs w:val="24"/>
              </w:rPr>
            </w:pPr>
            <w:r>
              <w:rPr>
                <w:rFonts w:hint="eastAsia" w:ascii="宋体" w:hAnsi="宋体" w:cs="宋体"/>
                <w:kern w:val="0"/>
                <w:sz w:val="24"/>
                <w:szCs w:val="24"/>
              </w:rPr>
              <w:t xml:space="preserve">                        456.23</w:t>
            </w:r>
          </w:p>
        </w:tc>
      </w:tr>
      <w:tr w14:paraId="05AAEA40">
        <w:tblPrEx>
          <w:tblCellMar>
            <w:top w:w="0" w:type="dxa"/>
            <w:left w:w="108" w:type="dxa"/>
            <w:bottom w:w="0" w:type="dxa"/>
            <w:right w:w="108" w:type="dxa"/>
          </w:tblCellMar>
        </w:tblPrEx>
        <w:trPr>
          <w:trHeight w:val="510"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302B4C40">
            <w:pPr>
              <w:widowControl/>
              <w:jc w:val="left"/>
              <w:rPr>
                <w:rFonts w:ascii="宋体" w:hAnsi="宋体" w:cs="宋体"/>
                <w:kern w:val="0"/>
                <w:sz w:val="24"/>
                <w:szCs w:val="24"/>
              </w:rPr>
            </w:pPr>
            <w:r>
              <w:rPr>
                <w:rFonts w:hint="eastAsia" w:ascii="宋体" w:hAnsi="宋体" w:cs="宋体"/>
                <w:kern w:val="0"/>
                <w:sz w:val="24"/>
                <w:szCs w:val="24"/>
              </w:rPr>
              <w:t>二、社会保障和就业支出</w:t>
            </w:r>
          </w:p>
        </w:tc>
        <w:tc>
          <w:tcPr>
            <w:tcW w:w="3905" w:type="dxa"/>
            <w:tcBorders>
              <w:top w:val="nil"/>
              <w:left w:val="nil"/>
              <w:bottom w:val="single" w:color="auto" w:sz="4" w:space="0"/>
              <w:right w:val="single" w:color="auto" w:sz="4" w:space="0"/>
            </w:tcBorders>
            <w:shd w:val="clear" w:color="auto" w:fill="auto"/>
            <w:noWrap/>
            <w:vAlign w:val="center"/>
          </w:tcPr>
          <w:p w14:paraId="3E67F23D">
            <w:pPr>
              <w:widowControl/>
              <w:jc w:val="left"/>
              <w:rPr>
                <w:rFonts w:ascii="宋体" w:hAnsi="宋体" w:cs="宋体"/>
                <w:kern w:val="0"/>
                <w:sz w:val="24"/>
                <w:szCs w:val="24"/>
              </w:rPr>
            </w:pPr>
            <w:r>
              <w:rPr>
                <w:rFonts w:hint="eastAsia" w:ascii="宋体" w:hAnsi="宋体" w:cs="宋体"/>
                <w:kern w:val="0"/>
                <w:sz w:val="24"/>
                <w:szCs w:val="24"/>
              </w:rPr>
              <w:t xml:space="preserve">                        135.14</w:t>
            </w:r>
          </w:p>
        </w:tc>
      </w:tr>
      <w:tr w14:paraId="0C3CB681">
        <w:tblPrEx>
          <w:tblCellMar>
            <w:top w:w="0" w:type="dxa"/>
            <w:left w:w="108" w:type="dxa"/>
            <w:bottom w:w="0" w:type="dxa"/>
            <w:right w:w="108" w:type="dxa"/>
          </w:tblCellMar>
        </w:tblPrEx>
        <w:trPr>
          <w:trHeight w:val="510"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4183BEE5">
            <w:pPr>
              <w:widowControl/>
              <w:jc w:val="left"/>
              <w:rPr>
                <w:rFonts w:ascii="宋体" w:hAnsi="宋体" w:cs="宋体"/>
                <w:kern w:val="0"/>
                <w:sz w:val="24"/>
                <w:szCs w:val="24"/>
              </w:rPr>
            </w:pPr>
            <w:r>
              <w:rPr>
                <w:rFonts w:hint="eastAsia" w:ascii="宋体" w:hAnsi="宋体" w:cs="宋体"/>
                <w:kern w:val="0"/>
                <w:sz w:val="24"/>
                <w:szCs w:val="24"/>
              </w:rPr>
              <w:t>三、卫生健康支出</w:t>
            </w:r>
          </w:p>
        </w:tc>
        <w:tc>
          <w:tcPr>
            <w:tcW w:w="3905" w:type="dxa"/>
            <w:tcBorders>
              <w:top w:val="nil"/>
              <w:left w:val="nil"/>
              <w:bottom w:val="single" w:color="auto" w:sz="4" w:space="0"/>
              <w:right w:val="single" w:color="auto" w:sz="4" w:space="0"/>
            </w:tcBorders>
            <w:shd w:val="clear" w:color="auto" w:fill="auto"/>
            <w:noWrap/>
            <w:vAlign w:val="center"/>
          </w:tcPr>
          <w:p w14:paraId="1490BC22">
            <w:pPr>
              <w:widowControl/>
              <w:jc w:val="left"/>
              <w:rPr>
                <w:rFonts w:ascii="宋体" w:hAnsi="宋体" w:cs="宋体"/>
                <w:kern w:val="0"/>
                <w:sz w:val="24"/>
                <w:szCs w:val="24"/>
              </w:rPr>
            </w:pPr>
            <w:r>
              <w:rPr>
                <w:rFonts w:hint="eastAsia" w:ascii="宋体" w:hAnsi="宋体" w:cs="宋体"/>
                <w:kern w:val="0"/>
                <w:sz w:val="24"/>
                <w:szCs w:val="24"/>
              </w:rPr>
              <w:t xml:space="preserve">                         24.74</w:t>
            </w:r>
          </w:p>
        </w:tc>
      </w:tr>
      <w:tr w14:paraId="78D4242C">
        <w:tblPrEx>
          <w:tblCellMar>
            <w:top w:w="0" w:type="dxa"/>
            <w:left w:w="108" w:type="dxa"/>
            <w:bottom w:w="0" w:type="dxa"/>
            <w:right w:w="108" w:type="dxa"/>
          </w:tblCellMar>
        </w:tblPrEx>
        <w:trPr>
          <w:trHeight w:val="510"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69FD7300">
            <w:pPr>
              <w:widowControl/>
              <w:jc w:val="left"/>
              <w:rPr>
                <w:rFonts w:ascii="宋体" w:hAnsi="宋体" w:cs="宋体"/>
                <w:kern w:val="0"/>
                <w:sz w:val="24"/>
                <w:szCs w:val="24"/>
              </w:rPr>
            </w:pPr>
            <w:r>
              <w:rPr>
                <w:rFonts w:hint="eastAsia" w:ascii="宋体" w:hAnsi="宋体" w:cs="宋体"/>
                <w:kern w:val="0"/>
                <w:sz w:val="24"/>
                <w:szCs w:val="24"/>
              </w:rPr>
              <w:t>四、城乡社区支出</w:t>
            </w:r>
          </w:p>
        </w:tc>
        <w:tc>
          <w:tcPr>
            <w:tcW w:w="3905" w:type="dxa"/>
            <w:tcBorders>
              <w:top w:val="nil"/>
              <w:left w:val="nil"/>
              <w:bottom w:val="single" w:color="auto" w:sz="4" w:space="0"/>
              <w:right w:val="single" w:color="auto" w:sz="4" w:space="0"/>
            </w:tcBorders>
            <w:shd w:val="clear" w:color="auto" w:fill="auto"/>
            <w:noWrap/>
            <w:vAlign w:val="center"/>
          </w:tcPr>
          <w:p w14:paraId="6609075E">
            <w:pPr>
              <w:widowControl/>
              <w:jc w:val="left"/>
              <w:rPr>
                <w:rFonts w:ascii="宋体" w:hAnsi="宋体" w:cs="宋体"/>
                <w:kern w:val="0"/>
                <w:sz w:val="24"/>
                <w:szCs w:val="24"/>
              </w:rPr>
            </w:pPr>
            <w:r>
              <w:rPr>
                <w:rFonts w:hint="eastAsia" w:ascii="宋体" w:hAnsi="宋体" w:cs="宋体"/>
                <w:kern w:val="0"/>
                <w:sz w:val="24"/>
                <w:szCs w:val="24"/>
              </w:rPr>
              <w:t xml:space="preserve">                         23.61</w:t>
            </w:r>
          </w:p>
        </w:tc>
      </w:tr>
      <w:tr w14:paraId="7AFAE6EF">
        <w:tblPrEx>
          <w:tblCellMar>
            <w:top w:w="0" w:type="dxa"/>
            <w:left w:w="108" w:type="dxa"/>
            <w:bottom w:w="0" w:type="dxa"/>
            <w:right w:w="108" w:type="dxa"/>
          </w:tblCellMar>
        </w:tblPrEx>
        <w:trPr>
          <w:trHeight w:val="510"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34F8A084">
            <w:pPr>
              <w:widowControl/>
              <w:jc w:val="left"/>
              <w:rPr>
                <w:rFonts w:ascii="宋体" w:hAnsi="宋体" w:cs="宋体"/>
                <w:kern w:val="0"/>
                <w:sz w:val="24"/>
                <w:szCs w:val="24"/>
              </w:rPr>
            </w:pPr>
            <w:r>
              <w:rPr>
                <w:rFonts w:hint="eastAsia" w:ascii="宋体" w:hAnsi="宋体" w:cs="宋体"/>
                <w:kern w:val="0"/>
                <w:sz w:val="24"/>
                <w:szCs w:val="24"/>
              </w:rPr>
              <w:t>五、农林水支出</w:t>
            </w:r>
          </w:p>
        </w:tc>
        <w:tc>
          <w:tcPr>
            <w:tcW w:w="3905" w:type="dxa"/>
            <w:tcBorders>
              <w:top w:val="nil"/>
              <w:left w:val="nil"/>
              <w:bottom w:val="single" w:color="auto" w:sz="4" w:space="0"/>
              <w:right w:val="single" w:color="auto" w:sz="4" w:space="0"/>
            </w:tcBorders>
            <w:shd w:val="clear" w:color="auto" w:fill="auto"/>
            <w:noWrap/>
            <w:vAlign w:val="center"/>
          </w:tcPr>
          <w:p w14:paraId="1DCAA1CD">
            <w:pPr>
              <w:widowControl/>
              <w:jc w:val="left"/>
              <w:rPr>
                <w:rFonts w:ascii="宋体" w:hAnsi="宋体" w:cs="宋体"/>
                <w:kern w:val="0"/>
                <w:sz w:val="24"/>
                <w:szCs w:val="24"/>
              </w:rPr>
            </w:pPr>
            <w:r>
              <w:rPr>
                <w:rFonts w:hint="eastAsia" w:ascii="宋体" w:hAnsi="宋体" w:cs="宋体"/>
                <w:kern w:val="0"/>
                <w:sz w:val="24"/>
                <w:szCs w:val="24"/>
              </w:rPr>
              <w:t xml:space="preserve">                        589.56</w:t>
            </w:r>
          </w:p>
        </w:tc>
      </w:tr>
      <w:tr w14:paraId="24F5EA01">
        <w:tblPrEx>
          <w:tblCellMar>
            <w:top w:w="0" w:type="dxa"/>
            <w:left w:w="108" w:type="dxa"/>
            <w:bottom w:w="0" w:type="dxa"/>
            <w:right w:w="108" w:type="dxa"/>
          </w:tblCellMar>
        </w:tblPrEx>
        <w:trPr>
          <w:trHeight w:val="510"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7BE7078E">
            <w:pPr>
              <w:widowControl/>
              <w:jc w:val="left"/>
              <w:rPr>
                <w:rFonts w:ascii="宋体" w:hAnsi="宋体" w:cs="宋体"/>
                <w:kern w:val="0"/>
                <w:sz w:val="24"/>
                <w:szCs w:val="24"/>
              </w:rPr>
            </w:pPr>
            <w:r>
              <w:rPr>
                <w:rFonts w:hint="eastAsia" w:ascii="宋体" w:hAnsi="宋体" w:cs="宋体"/>
                <w:kern w:val="0"/>
                <w:sz w:val="24"/>
                <w:szCs w:val="24"/>
              </w:rPr>
              <w:t>六、住房保障支出</w:t>
            </w:r>
          </w:p>
        </w:tc>
        <w:tc>
          <w:tcPr>
            <w:tcW w:w="3905" w:type="dxa"/>
            <w:tcBorders>
              <w:top w:val="nil"/>
              <w:left w:val="nil"/>
              <w:bottom w:val="single" w:color="auto" w:sz="4" w:space="0"/>
              <w:right w:val="single" w:color="auto" w:sz="4" w:space="0"/>
            </w:tcBorders>
            <w:shd w:val="clear" w:color="auto" w:fill="auto"/>
            <w:noWrap/>
            <w:vAlign w:val="center"/>
          </w:tcPr>
          <w:p w14:paraId="38BF3B3A">
            <w:pPr>
              <w:widowControl/>
              <w:jc w:val="left"/>
              <w:rPr>
                <w:rFonts w:ascii="宋体" w:hAnsi="宋体" w:cs="宋体"/>
                <w:kern w:val="0"/>
                <w:sz w:val="24"/>
                <w:szCs w:val="24"/>
              </w:rPr>
            </w:pPr>
            <w:r>
              <w:rPr>
                <w:rFonts w:hint="eastAsia" w:ascii="宋体" w:hAnsi="宋体" w:cs="宋体"/>
                <w:kern w:val="0"/>
                <w:sz w:val="24"/>
                <w:szCs w:val="24"/>
              </w:rPr>
              <w:t xml:space="preserve">                         31.00</w:t>
            </w:r>
          </w:p>
        </w:tc>
      </w:tr>
      <w:tr w14:paraId="202C60F2">
        <w:tblPrEx>
          <w:tblCellMar>
            <w:top w:w="0" w:type="dxa"/>
            <w:left w:w="108" w:type="dxa"/>
            <w:bottom w:w="0" w:type="dxa"/>
            <w:right w:w="108" w:type="dxa"/>
          </w:tblCellMar>
        </w:tblPrEx>
        <w:trPr>
          <w:trHeight w:val="510"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414ED08C">
            <w:pPr>
              <w:widowControl/>
              <w:jc w:val="left"/>
              <w:rPr>
                <w:rFonts w:ascii="宋体" w:hAnsi="宋体" w:cs="宋体"/>
                <w:kern w:val="0"/>
                <w:sz w:val="24"/>
                <w:szCs w:val="24"/>
              </w:rPr>
            </w:pPr>
            <w:r>
              <w:rPr>
                <w:rFonts w:hint="eastAsia" w:ascii="宋体" w:hAnsi="宋体" w:cs="宋体"/>
                <w:kern w:val="0"/>
                <w:sz w:val="24"/>
                <w:szCs w:val="24"/>
              </w:rPr>
              <w:t>七、抗疫特别国债安排的支出</w:t>
            </w:r>
          </w:p>
        </w:tc>
        <w:tc>
          <w:tcPr>
            <w:tcW w:w="3905" w:type="dxa"/>
            <w:tcBorders>
              <w:top w:val="nil"/>
              <w:left w:val="nil"/>
              <w:bottom w:val="single" w:color="auto" w:sz="4" w:space="0"/>
              <w:right w:val="single" w:color="auto" w:sz="4" w:space="0"/>
            </w:tcBorders>
            <w:shd w:val="clear" w:color="auto" w:fill="auto"/>
            <w:noWrap/>
            <w:vAlign w:val="center"/>
          </w:tcPr>
          <w:p w14:paraId="043B02FD">
            <w:pPr>
              <w:widowControl/>
              <w:jc w:val="left"/>
              <w:rPr>
                <w:rFonts w:ascii="宋体" w:hAnsi="宋体" w:cs="宋体"/>
                <w:kern w:val="0"/>
                <w:sz w:val="24"/>
                <w:szCs w:val="24"/>
              </w:rPr>
            </w:pPr>
            <w:r>
              <w:rPr>
                <w:rFonts w:hint="eastAsia" w:ascii="宋体" w:hAnsi="宋体" w:cs="宋体"/>
                <w:kern w:val="0"/>
                <w:sz w:val="24"/>
                <w:szCs w:val="24"/>
              </w:rPr>
              <w:t xml:space="preserve">                         33.75</w:t>
            </w:r>
          </w:p>
        </w:tc>
      </w:tr>
      <w:tr w14:paraId="0D89414E">
        <w:tblPrEx>
          <w:tblCellMar>
            <w:top w:w="0" w:type="dxa"/>
            <w:left w:w="108" w:type="dxa"/>
            <w:bottom w:w="0" w:type="dxa"/>
            <w:right w:w="108" w:type="dxa"/>
          </w:tblCellMar>
        </w:tblPrEx>
        <w:trPr>
          <w:trHeight w:val="510"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0C4009C3">
            <w:pPr>
              <w:widowControl/>
              <w:jc w:val="center"/>
              <w:rPr>
                <w:rFonts w:ascii="宋体" w:hAnsi="宋体" w:cs="宋体"/>
                <w:b/>
                <w:bCs/>
                <w:kern w:val="0"/>
                <w:sz w:val="24"/>
                <w:szCs w:val="24"/>
              </w:rPr>
            </w:pPr>
            <w:r>
              <w:rPr>
                <w:rFonts w:hint="eastAsia" w:ascii="宋体" w:hAnsi="宋体" w:cs="宋体"/>
                <w:b/>
                <w:bCs/>
                <w:kern w:val="0"/>
                <w:sz w:val="24"/>
                <w:szCs w:val="24"/>
              </w:rPr>
              <w:t>支出合计</w:t>
            </w:r>
          </w:p>
        </w:tc>
        <w:tc>
          <w:tcPr>
            <w:tcW w:w="3905" w:type="dxa"/>
            <w:tcBorders>
              <w:top w:val="nil"/>
              <w:left w:val="nil"/>
              <w:bottom w:val="single" w:color="auto" w:sz="4" w:space="0"/>
              <w:right w:val="single" w:color="auto" w:sz="4" w:space="0"/>
            </w:tcBorders>
            <w:shd w:val="clear" w:color="auto" w:fill="auto"/>
            <w:noWrap/>
            <w:vAlign w:val="bottom"/>
          </w:tcPr>
          <w:p w14:paraId="61AC44B0">
            <w:pPr>
              <w:widowControl/>
              <w:jc w:val="left"/>
              <w:rPr>
                <w:rFonts w:ascii="宋体" w:hAnsi="宋体" w:cs="宋体"/>
                <w:b/>
                <w:bCs/>
                <w:kern w:val="0"/>
                <w:sz w:val="24"/>
                <w:szCs w:val="24"/>
              </w:rPr>
            </w:pPr>
            <w:r>
              <w:rPr>
                <w:rFonts w:hint="eastAsia" w:ascii="宋体" w:hAnsi="宋体" w:cs="宋体"/>
                <w:b/>
                <w:bCs/>
                <w:kern w:val="0"/>
                <w:sz w:val="24"/>
                <w:szCs w:val="24"/>
              </w:rPr>
              <w:t xml:space="preserve">                       1294.03</w:t>
            </w:r>
          </w:p>
        </w:tc>
      </w:tr>
    </w:tbl>
    <w:p w14:paraId="1DC20779">
      <w:pPr>
        <w:ind w:firstLine="640"/>
        <w:rPr>
          <w:rFonts w:ascii="宋体" w:hAnsi="宋体"/>
          <w:sz w:val="32"/>
          <w:szCs w:val="32"/>
        </w:rPr>
      </w:pPr>
    </w:p>
    <w:p w14:paraId="31158D56">
      <w:pPr>
        <w:ind w:firstLine="640"/>
        <w:rPr>
          <w:rFonts w:ascii="宋体" w:hAnsi="宋体"/>
          <w:sz w:val="32"/>
          <w:szCs w:val="32"/>
        </w:rPr>
      </w:pPr>
      <w:r>
        <w:rPr>
          <w:rFonts w:hint="eastAsia" w:ascii="宋体" w:hAnsi="宋体"/>
          <w:sz w:val="32"/>
          <w:szCs w:val="32"/>
        </w:rPr>
        <w:t>2、按支出性质和经济科目分类（【表二】）</w:t>
      </w:r>
    </w:p>
    <w:tbl>
      <w:tblPr>
        <w:tblStyle w:val="13"/>
        <w:tblW w:w="8310" w:type="dxa"/>
        <w:tblInd w:w="93" w:type="dxa"/>
        <w:tblLayout w:type="autofit"/>
        <w:tblCellMar>
          <w:top w:w="0" w:type="dxa"/>
          <w:left w:w="108" w:type="dxa"/>
          <w:bottom w:w="0" w:type="dxa"/>
          <w:right w:w="108" w:type="dxa"/>
        </w:tblCellMar>
      </w:tblPr>
      <w:tblGrid>
        <w:gridCol w:w="4240"/>
        <w:gridCol w:w="4070"/>
      </w:tblGrid>
      <w:tr w14:paraId="2BEB07D5">
        <w:tblPrEx>
          <w:tblCellMar>
            <w:top w:w="0" w:type="dxa"/>
            <w:left w:w="108" w:type="dxa"/>
            <w:bottom w:w="0" w:type="dxa"/>
            <w:right w:w="108" w:type="dxa"/>
          </w:tblCellMar>
        </w:tblPrEx>
        <w:trPr>
          <w:trHeight w:val="439" w:hRule="atLeast"/>
        </w:trPr>
        <w:tc>
          <w:tcPr>
            <w:tcW w:w="4240" w:type="dxa"/>
            <w:tcBorders>
              <w:top w:val="nil"/>
              <w:left w:val="nil"/>
              <w:bottom w:val="nil"/>
              <w:right w:val="nil"/>
            </w:tcBorders>
            <w:shd w:val="clear" w:color="auto" w:fill="auto"/>
            <w:noWrap/>
            <w:vAlign w:val="center"/>
          </w:tcPr>
          <w:p w14:paraId="0E7A6E84">
            <w:pPr>
              <w:widowControl/>
              <w:jc w:val="left"/>
              <w:rPr>
                <w:rFonts w:ascii="宋体" w:hAnsi="宋体" w:cs="宋体"/>
                <w:b/>
                <w:bCs/>
                <w:kern w:val="0"/>
                <w:sz w:val="28"/>
                <w:szCs w:val="28"/>
              </w:rPr>
            </w:pPr>
            <w:r>
              <w:rPr>
                <w:rFonts w:hint="eastAsia" w:ascii="宋体" w:hAnsi="宋体" w:cs="宋体"/>
                <w:b/>
                <w:bCs/>
                <w:kern w:val="0"/>
                <w:sz w:val="28"/>
                <w:szCs w:val="28"/>
              </w:rPr>
              <w:t>【表二】</w:t>
            </w:r>
          </w:p>
        </w:tc>
        <w:tc>
          <w:tcPr>
            <w:tcW w:w="4070" w:type="dxa"/>
            <w:tcBorders>
              <w:top w:val="nil"/>
              <w:left w:val="nil"/>
              <w:bottom w:val="nil"/>
              <w:right w:val="nil"/>
            </w:tcBorders>
            <w:shd w:val="clear" w:color="auto" w:fill="auto"/>
            <w:noWrap/>
            <w:vAlign w:val="center"/>
          </w:tcPr>
          <w:p w14:paraId="16839AB8">
            <w:pPr>
              <w:widowControl/>
              <w:ind w:right="360"/>
              <w:jc w:val="right"/>
              <w:rPr>
                <w:rFonts w:ascii="宋体" w:hAnsi="宋体" w:cs="宋体"/>
                <w:b/>
                <w:bCs/>
                <w:kern w:val="0"/>
                <w:sz w:val="24"/>
                <w:szCs w:val="24"/>
              </w:rPr>
            </w:pPr>
            <w:r>
              <w:rPr>
                <w:rFonts w:hint="eastAsia" w:ascii="宋体" w:hAnsi="宋体" w:cs="宋体"/>
                <w:b/>
                <w:bCs/>
                <w:kern w:val="0"/>
                <w:sz w:val="24"/>
                <w:szCs w:val="24"/>
              </w:rPr>
              <w:t>单位：万元</w:t>
            </w:r>
          </w:p>
        </w:tc>
      </w:tr>
      <w:tr w14:paraId="57A0A1CE">
        <w:tblPrEx>
          <w:tblCellMar>
            <w:top w:w="0" w:type="dxa"/>
            <w:left w:w="108" w:type="dxa"/>
            <w:bottom w:w="0" w:type="dxa"/>
            <w:right w:w="108" w:type="dxa"/>
          </w:tblCellMar>
        </w:tblPrEx>
        <w:trPr>
          <w:trHeight w:val="439"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365A6">
            <w:pPr>
              <w:widowControl/>
              <w:jc w:val="center"/>
              <w:rPr>
                <w:rFonts w:ascii="宋体" w:hAnsi="宋体" w:cs="宋体"/>
                <w:b/>
                <w:bCs/>
                <w:kern w:val="0"/>
                <w:sz w:val="24"/>
                <w:szCs w:val="24"/>
              </w:rPr>
            </w:pPr>
            <w:r>
              <w:rPr>
                <w:rFonts w:hint="eastAsia" w:ascii="宋体" w:hAnsi="宋体" w:cs="宋体"/>
                <w:b/>
                <w:bCs/>
                <w:kern w:val="0"/>
                <w:sz w:val="24"/>
                <w:szCs w:val="24"/>
              </w:rPr>
              <w:t>项目（按支出性质和经济分类）</w:t>
            </w:r>
          </w:p>
        </w:tc>
        <w:tc>
          <w:tcPr>
            <w:tcW w:w="4070" w:type="dxa"/>
            <w:tcBorders>
              <w:top w:val="single" w:color="auto" w:sz="4" w:space="0"/>
              <w:left w:val="nil"/>
              <w:bottom w:val="single" w:color="auto" w:sz="4" w:space="0"/>
              <w:right w:val="single" w:color="auto" w:sz="4" w:space="0"/>
            </w:tcBorders>
            <w:shd w:val="clear" w:color="auto" w:fill="auto"/>
            <w:noWrap/>
            <w:vAlign w:val="center"/>
          </w:tcPr>
          <w:p w14:paraId="5AA33AA7">
            <w:pPr>
              <w:widowControl/>
              <w:jc w:val="center"/>
              <w:rPr>
                <w:rFonts w:ascii="宋体" w:hAnsi="宋体" w:cs="宋体"/>
                <w:b/>
                <w:bCs/>
                <w:kern w:val="0"/>
                <w:sz w:val="24"/>
                <w:szCs w:val="24"/>
              </w:rPr>
            </w:pPr>
            <w:r>
              <w:rPr>
                <w:rFonts w:hint="eastAsia" w:ascii="宋体" w:hAnsi="宋体" w:cs="宋体"/>
                <w:b/>
                <w:bCs/>
                <w:kern w:val="0"/>
                <w:sz w:val="24"/>
                <w:szCs w:val="24"/>
              </w:rPr>
              <w:t>合计金额</w:t>
            </w:r>
          </w:p>
        </w:tc>
      </w:tr>
      <w:tr w14:paraId="58CF44ED">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2DEF0A13">
            <w:pPr>
              <w:widowControl/>
              <w:jc w:val="left"/>
              <w:rPr>
                <w:rFonts w:ascii="宋体" w:hAnsi="宋体" w:cs="宋体"/>
                <w:kern w:val="0"/>
                <w:sz w:val="24"/>
                <w:szCs w:val="24"/>
              </w:rPr>
            </w:pPr>
            <w:r>
              <w:rPr>
                <w:rFonts w:hint="eastAsia" w:ascii="宋体" w:hAnsi="宋体" w:cs="宋体"/>
                <w:kern w:val="0"/>
                <w:sz w:val="24"/>
                <w:szCs w:val="24"/>
              </w:rPr>
              <w:t>一、基本支出</w:t>
            </w:r>
          </w:p>
        </w:tc>
        <w:tc>
          <w:tcPr>
            <w:tcW w:w="4070" w:type="dxa"/>
            <w:tcBorders>
              <w:top w:val="nil"/>
              <w:left w:val="nil"/>
              <w:bottom w:val="single" w:color="auto" w:sz="4" w:space="0"/>
              <w:right w:val="single" w:color="auto" w:sz="4" w:space="0"/>
            </w:tcBorders>
            <w:shd w:val="clear" w:color="auto" w:fill="auto"/>
            <w:noWrap/>
            <w:vAlign w:val="center"/>
          </w:tcPr>
          <w:p w14:paraId="1A424564">
            <w:pPr>
              <w:widowControl/>
              <w:ind w:left="2880" w:hanging="2880" w:hangingChars="1200"/>
              <w:jc w:val="left"/>
              <w:rPr>
                <w:rFonts w:ascii="宋体" w:hAnsi="宋体" w:cs="宋体"/>
                <w:kern w:val="0"/>
                <w:sz w:val="24"/>
                <w:szCs w:val="24"/>
              </w:rPr>
            </w:pPr>
            <w:r>
              <w:rPr>
                <w:rFonts w:hint="eastAsia" w:ascii="宋体" w:hAnsi="宋体" w:cs="宋体"/>
                <w:kern w:val="0"/>
                <w:sz w:val="24"/>
                <w:szCs w:val="24"/>
              </w:rPr>
              <w:t xml:space="preserve">                          654.10</w:t>
            </w:r>
          </w:p>
        </w:tc>
      </w:tr>
      <w:tr w14:paraId="1A1E8025">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67AA0228">
            <w:pPr>
              <w:widowControl/>
              <w:jc w:val="left"/>
              <w:rPr>
                <w:rFonts w:ascii="宋体" w:hAnsi="宋体" w:cs="宋体"/>
                <w:kern w:val="0"/>
                <w:sz w:val="24"/>
                <w:szCs w:val="24"/>
              </w:rPr>
            </w:pPr>
            <w:r>
              <w:rPr>
                <w:rFonts w:hint="eastAsia" w:ascii="宋体" w:hAnsi="宋体" w:cs="宋体"/>
                <w:kern w:val="0"/>
                <w:sz w:val="24"/>
                <w:szCs w:val="24"/>
              </w:rPr>
              <w:t>（一）人员经费</w:t>
            </w:r>
          </w:p>
        </w:tc>
        <w:tc>
          <w:tcPr>
            <w:tcW w:w="4070" w:type="dxa"/>
            <w:tcBorders>
              <w:top w:val="nil"/>
              <w:left w:val="nil"/>
              <w:bottom w:val="single" w:color="auto" w:sz="4" w:space="0"/>
              <w:right w:val="single" w:color="auto" w:sz="4" w:space="0"/>
            </w:tcBorders>
            <w:shd w:val="clear" w:color="auto" w:fill="auto"/>
            <w:noWrap/>
            <w:vAlign w:val="center"/>
          </w:tcPr>
          <w:p w14:paraId="456E15F7">
            <w:pPr>
              <w:widowControl/>
              <w:ind w:left="2880" w:hanging="2880" w:hangingChars="1200"/>
              <w:jc w:val="left"/>
              <w:rPr>
                <w:rFonts w:ascii="宋体" w:hAnsi="宋体" w:cs="宋体"/>
                <w:kern w:val="0"/>
                <w:sz w:val="24"/>
                <w:szCs w:val="24"/>
              </w:rPr>
            </w:pPr>
            <w:r>
              <w:rPr>
                <w:rFonts w:hint="eastAsia" w:ascii="宋体" w:hAnsi="宋体" w:cs="宋体"/>
                <w:kern w:val="0"/>
                <w:sz w:val="24"/>
                <w:szCs w:val="24"/>
              </w:rPr>
              <w:t xml:space="preserve">                          591.10</w:t>
            </w:r>
          </w:p>
        </w:tc>
      </w:tr>
      <w:tr w14:paraId="72F62107">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57FEC66A">
            <w:pPr>
              <w:widowControl/>
              <w:jc w:val="left"/>
              <w:rPr>
                <w:rFonts w:ascii="宋体" w:hAnsi="宋体" w:cs="宋体"/>
                <w:kern w:val="0"/>
                <w:sz w:val="24"/>
                <w:szCs w:val="24"/>
              </w:rPr>
            </w:pPr>
            <w:r>
              <w:rPr>
                <w:rFonts w:hint="eastAsia" w:ascii="宋体" w:hAnsi="宋体" w:cs="宋体"/>
                <w:kern w:val="0"/>
                <w:sz w:val="24"/>
                <w:szCs w:val="24"/>
              </w:rPr>
              <w:t>（二）日常公用经费</w:t>
            </w:r>
          </w:p>
        </w:tc>
        <w:tc>
          <w:tcPr>
            <w:tcW w:w="4070" w:type="dxa"/>
            <w:tcBorders>
              <w:top w:val="nil"/>
              <w:left w:val="nil"/>
              <w:bottom w:val="single" w:color="auto" w:sz="4" w:space="0"/>
              <w:right w:val="single" w:color="auto" w:sz="4" w:space="0"/>
            </w:tcBorders>
            <w:shd w:val="clear" w:color="auto" w:fill="auto"/>
            <w:noWrap/>
            <w:vAlign w:val="center"/>
          </w:tcPr>
          <w:p w14:paraId="78ED3B1C">
            <w:pPr>
              <w:widowControl/>
              <w:ind w:left="3000" w:hanging="3000" w:hangingChars="1250"/>
              <w:jc w:val="left"/>
              <w:rPr>
                <w:rFonts w:ascii="宋体" w:hAnsi="宋体" w:cs="宋体"/>
                <w:kern w:val="0"/>
                <w:sz w:val="24"/>
                <w:szCs w:val="24"/>
              </w:rPr>
            </w:pPr>
            <w:r>
              <w:rPr>
                <w:rFonts w:hint="eastAsia" w:ascii="宋体" w:hAnsi="宋体" w:cs="宋体"/>
                <w:kern w:val="0"/>
                <w:sz w:val="24"/>
                <w:szCs w:val="24"/>
              </w:rPr>
              <w:t xml:space="preserve">                           63.00</w:t>
            </w:r>
          </w:p>
        </w:tc>
      </w:tr>
      <w:tr w14:paraId="64A9CC1F">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6EF16ACF">
            <w:pPr>
              <w:widowControl/>
              <w:jc w:val="left"/>
              <w:rPr>
                <w:rFonts w:ascii="宋体" w:hAnsi="宋体" w:cs="宋体"/>
                <w:kern w:val="0"/>
                <w:sz w:val="24"/>
                <w:szCs w:val="24"/>
              </w:rPr>
            </w:pPr>
            <w:r>
              <w:rPr>
                <w:rFonts w:hint="eastAsia" w:ascii="宋体" w:hAnsi="宋体" w:cs="宋体"/>
                <w:kern w:val="0"/>
                <w:sz w:val="24"/>
                <w:szCs w:val="24"/>
              </w:rPr>
              <w:t>二、项目支出</w:t>
            </w:r>
          </w:p>
        </w:tc>
        <w:tc>
          <w:tcPr>
            <w:tcW w:w="4070" w:type="dxa"/>
            <w:tcBorders>
              <w:top w:val="nil"/>
              <w:left w:val="nil"/>
              <w:bottom w:val="single" w:color="auto" w:sz="4" w:space="0"/>
              <w:right w:val="single" w:color="auto" w:sz="4" w:space="0"/>
            </w:tcBorders>
            <w:shd w:val="clear" w:color="auto" w:fill="auto"/>
            <w:noWrap/>
            <w:vAlign w:val="center"/>
          </w:tcPr>
          <w:p w14:paraId="3E5968B7">
            <w:pPr>
              <w:widowControl/>
              <w:ind w:left="2880" w:hanging="2880" w:hangingChars="1200"/>
              <w:jc w:val="left"/>
              <w:rPr>
                <w:rFonts w:ascii="宋体" w:hAnsi="宋体" w:cs="宋体"/>
                <w:kern w:val="0"/>
                <w:sz w:val="24"/>
                <w:szCs w:val="24"/>
              </w:rPr>
            </w:pPr>
            <w:r>
              <w:rPr>
                <w:rFonts w:hint="eastAsia" w:ascii="宋体" w:hAnsi="宋体" w:cs="宋体"/>
                <w:kern w:val="0"/>
                <w:sz w:val="24"/>
                <w:szCs w:val="24"/>
              </w:rPr>
              <w:t xml:space="preserve">                          639.93</w:t>
            </w:r>
          </w:p>
        </w:tc>
      </w:tr>
      <w:tr w14:paraId="2CC69273">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51A7AB04">
            <w:pPr>
              <w:widowControl/>
              <w:jc w:val="left"/>
              <w:rPr>
                <w:rFonts w:ascii="宋体" w:hAnsi="宋体" w:cs="宋体"/>
                <w:kern w:val="0"/>
                <w:sz w:val="24"/>
                <w:szCs w:val="24"/>
              </w:rPr>
            </w:pPr>
            <w:r>
              <w:rPr>
                <w:rFonts w:hint="eastAsia" w:ascii="宋体" w:hAnsi="宋体" w:cs="宋体"/>
                <w:kern w:val="0"/>
                <w:sz w:val="24"/>
                <w:szCs w:val="24"/>
              </w:rPr>
              <w:t>（一）行政事业类项目</w:t>
            </w:r>
          </w:p>
        </w:tc>
        <w:tc>
          <w:tcPr>
            <w:tcW w:w="4070" w:type="dxa"/>
            <w:tcBorders>
              <w:top w:val="nil"/>
              <w:left w:val="nil"/>
              <w:bottom w:val="single" w:color="auto" w:sz="4" w:space="0"/>
              <w:right w:val="single" w:color="auto" w:sz="4" w:space="0"/>
            </w:tcBorders>
            <w:shd w:val="clear" w:color="auto" w:fill="auto"/>
            <w:noWrap/>
            <w:vAlign w:val="center"/>
          </w:tcPr>
          <w:p w14:paraId="634FBB42">
            <w:pPr>
              <w:widowControl/>
              <w:ind w:left="2880" w:hanging="2880" w:hangingChars="1200"/>
              <w:jc w:val="left"/>
              <w:rPr>
                <w:rFonts w:ascii="宋体" w:hAnsi="宋体" w:cs="宋体"/>
                <w:kern w:val="0"/>
                <w:sz w:val="24"/>
                <w:szCs w:val="24"/>
              </w:rPr>
            </w:pPr>
            <w:r>
              <w:rPr>
                <w:rFonts w:hint="eastAsia" w:ascii="宋体" w:hAnsi="宋体" w:cs="宋体"/>
                <w:kern w:val="0"/>
                <w:sz w:val="24"/>
                <w:szCs w:val="24"/>
              </w:rPr>
              <w:t xml:space="preserve">                          639.93</w:t>
            </w:r>
          </w:p>
        </w:tc>
      </w:tr>
      <w:tr w14:paraId="3B2E4426">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0F9962F3">
            <w:pPr>
              <w:widowControl/>
              <w:jc w:val="center"/>
              <w:rPr>
                <w:rFonts w:ascii="宋体" w:hAnsi="宋体" w:cs="宋体"/>
                <w:b/>
                <w:bCs/>
                <w:kern w:val="0"/>
                <w:sz w:val="24"/>
                <w:szCs w:val="24"/>
              </w:rPr>
            </w:pPr>
            <w:r>
              <w:rPr>
                <w:rFonts w:hint="eastAsia" w:ascii="宋体" w:hAnsi="宋体" w:cs="宋体"/>
                <w:b/>
                <w:bCs/>
                <w:kern w:val="0"/>
                <w:sz w:val="24"/>
                <w:szCs w:val="24"/>
              </w:rPr>
              <w:t>合  计</w:t>
            </w:r>
          </w:p>
        </w:tc>
        <w:tc>
          <w:tcPr>
            <w:tcW w:w="4070" w:type="dxa"/>
            <w:tcBorders>
              <w:top w:val="nil"/>
              <w:left w:val="nil"/>
              <w:bottom w:val="single" w:color="auto" w:sz="4" w:space="0"/>
              <w:right w:val="single" w:color="auto" w:sz="4" w:space="0"/>
            </w:tcBorders>
            <w:shd w:val="clear" w:color="auto" w:fill="auto"/>
            <w:noWrap/>
            <w:vAlign w:val="center"/>
          </w:tcPr>
          <w:p w14:paraId="0E935C40">
            <w:pPr>
              <w:widowControl/>
              <w:jc w:val="left"/>
              <w:rPr>
                <w:rFonts w:ascii="宋体" w:hAnsi="宋体" w:cs="宋体"/>
                <w:b/>
                <w:bCs/>
                <w:kern w:val="0"/>
                <w:sz w:val="24"/>
                <w:szCs w:val="24"/>
              </w:rPr>
            </w:pPr>
            <w:r>
              <w:rPr>
                <w:rFonts w:hint="eastAsia" w:ascii="宋体" w:hAnsi="宋体" w:cs="宋体"/>
                <w:b/>
                <w:bCs/>
                <w:kern w:val="0"/>
                <w:sz w:val="24"/>
                <w:szCs w:val="24"/>
              </w:rPr>
              <w:t xml:space="preserve">                        1294.03</w:t>
            </w:r>
          </w:p>
        </w:tc>
      </w:tr>
      <w:tr w14:paraId="7C2558D6">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7C8B2100">
            <w:pPr>
              <w:widowControl/>
              <w:jc w:val="center"/>
              <w:rPr>
                <w:rFonts w:ascii="宋体" w:hAnsi="宋体" w:cs="宋体"/>
                <w:b/>
                <w:bCs/>
                <w:kern w:val="0"/>
                <w:sz w:val="24"/>
                <w:szCs w:val="24"/>
              </w:rPr>
            </w:pPr>
            <w:r>
              <w:rPr>
                <w:rFonts w:hint="eastAsia" w:ascii="宋体" w:hAnsi="宋体" w:cs="宋体"/>
                <w:b/>
                <w:bCs/>
                <w:kern w:val="0"/>
                <w:sz w:val="24"/>
                <w:szCs w:val="24"/>
              </w:rPr>
              <w:t>按支出经济分类</w:t>
            </w:r>
          </w:p>
        </w:tc>
        <w:tc>
          <w:tcPr>
            <w:tcW w:w="4070" w:type="dxa"/>
            <w:tcBorders>
              <w:top w:val="nil"/>
              <w:left w:val="nil"/>
              <w:bottom w:val="single" w:color="auto" w:sz="4" w:space="0"/>
              <w:right w:val="single" w:color="auto" w:sz="4" w:space="0"/>
            </w:tcBorders>
            <w:shd w:val="clear" w:color="auto" w:fill="auto"/>
            <w:noWrap/>
            <w:vAlign w:val="center"/>
          </w:tcPr>
          <w:p w14:paraId="24674188">
            <w:pPr>
              <w:widowControl/>
              <w:jc w:val="left"/>
              <w:rPr>
                <w:rFonts w:ascii="宋体" w:hAnsi="宋体" w:cs="宋体"/>
                <w:b/>
                <w:bCs/>
                <w:kern w:val="0"/>
                <w:sz w:val="24"/>
                <w:szCs w:val="24"/>
              </w:rPr>
            </w:pPr>
            <w:r>
              <w:rPr>
                <w:rFonts w:hint="eastAsia" w:ascii="宋体" w:hAnsi="宋体" w:cs="宋体"/>
                <w:b/>
                <w:bCs/>
                <w:kern w:val="0"/>
                <w:sz w:val="24"/>
                <w:szCs w:val="24"/>
              </w:rPr>
              <w:t>　</w:t>
            </w:r>
          </w:p>
        </w:tc>
      </w:tr>
      <w:tr w14:paraId="55D7EF22">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078F723F">
            <w:pPr>
              <w:widowControl/>
              <w:jc w:val="left"/>
              <w:rPr>
                <w:rFonts w:ascii="宋体" w:hAnsi="宋体" w:cs="宋体"/>
                <w:kern w:val="0"/>
                <w:sz w:val="24"/>
                <w:szCs w:val="24"/>
              </w:rPr>
            </w:pPr>
            <w:r>
              <w:rPr>
                <w:rFonts w:hint="eastAsia" w:ascii="宋体" w:hAnsi="宋体" w:cs="宋体"/>
                <w:kern w:val="0"/>
                <w:sz w:val="24"/>
                <w:szCs w:val="24"/>
              </w:rPr>
              <w:t>一、工资和福利支出</w:t>
            </w:r>
          </w:p>
        </w:tc>
        <w:tc>
          <w:tcPr>
            <w:tcW w:w="4070" w:type="dxa"/>
            <w:tcBorders>
              <w:top w:val="nil"/>
              <w:left w:val="nil"/>
              <w:bottom w:val="single" w:color="auto" w:sz="4" w:space="0"/>
              <w:right w:val="single" w:color="auto" w:sz="4" w:space="0"/>
            </w:tcBorders>
            <w:shd w:val="clear" w:color="auto" w:fill="auto"/>
            <w:noWrap/>
            <w:vAlign w:val="center"/>
          </w:tcPr>
          <w:p w14:paraId="4DDFA131">
            <w:pPr>
              <w:widowControl/>
              <w:ind w:left="2760" w:hanging="2760" w:hangingChars="1150"/>
              <w:jc w:val="left"/>
              <w:rPr>
                <w:rFonts w:ascii="宋体" w:hAnsi="宋体" w:cs="宋体"/>
                <w:kern w:val="0"/>
                <w:sz w:val="24"/>
                <w:szCs w:val="24"/>
              </w:rPr>
            </w:pPr>
            <w:r>
              <w:rPr>
                <w:rFonts w:hint="eastAsia" w:ascii="宋体" w:hAnsi="宋体" w:cs="宋体"/>
                <w:kern w:val="0"/>
                <w:sz w:val="24"/>
                <w:szCs w:val="24"/>
              </w:rPr>
              <w:t xml:space="preserve">                          440.23</w:t>
            </w:r>
          </w:p>
        </w:tc>
      </w:tr>
      <w:tr w14:paraId="08E09353">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5899D4A8">
            <w:pPr>
              <w:widowControl/>
              <w:jc w:val="left"/>
              <w:rPr>
                <w:rFonts w:ascii="宋体" w:hAnsi="宋体" w:cs="宋体"/>
                <w:kern w:val="0"/>
                <w:sz w:val="24"/>
                <w:szCs w:val="24"/>
              </w:rPr>
            </w:pPr>
            <w:r>
              <w:rPr>
                <w:rFonts w:hint="eastAsia" w:ascii="宋体" w:hAnsi="宋体" w:cs="宋体"/>
                <w:kern w:val="0"/>
                <w:sz w:val="24"/>
                <w:szCs w:val="24"/>
              </w:rPr>
              <w:t>二、商品和服务支出</w:t>
            </w:r>
          </w:p>
        </w:tc>
        <w:tc>
          <w:tcPr>
            <w:tcW w:w="4070" w:type="dxa"/>
            <w:tcBorders>
              <w:top w:val="nil"/>
              <w:left w:val="nil"/>
              <w:bottom w:val="single" w:color="auto" w:sz="4" w:space="0"/>
              <w:right w:val="single" w:color="auto" w:sz="4" w:space="0"/>
            </w:tcBorders>
            <w:shd w:val="clear" w:color="auto" w:fill="auto"/>
            <w:noWrap/>
            <w:vAlign w:val="center"/>
          </w:tcPr>
          <w:p w14:paraId="78EBF791">
            <w:pPr>
              <w:widowControl/>
              <w:ind w:left="2760" w:hanging="2760" w:hangingChars="1150"/>
              <w:jc w:val="left"/>
              <w:rPr>
                <w:rFonts w:ascii="宋体" w:hAnsi="宋体" w:cs="宋体"/>
                <w:kern w:val="0"/>
                <w:sz w:val="24"/>
                <w:szCs w:val="24"/>
              </w:rPr>
            </w:pPr>
            <w:r>
              <w:rPr>
                <w:rFonts w:hint="eastAsia" w:ascii="宋体" w:hAnsi="宋体" w:cs="宋体"/>
                <w:kern w:val="0"/>
                <w:sz w:val="24"/>
                <w:szCs w:val="24"/>
              </w:rPr>
              <w:t xml:space="preserve">                          350.47</w:t>
            </w:r>
          </w:p>
        </w:tc>
      </w:tr>
      <w:tr w14:paraId="421B5329">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319B4F40">
            <w:pPr>
              <w:widowControl/>
              <w:jc w:val="left"/>
              <w:rPr>
                <w:rFonts w:ascii="宋体" w:hAnsi="宋体" w:cs="宋体"/>
                <w:kern w:val="0"/>
                <w:sz w:val="24"/>
                <w:szCs w:val="24"/>
              </w:rPr>
            </w:pPr>
            <w:r>
              <w:rPr>
                <w:rFonts w:hint="eastAsia" w:ascii="宋体" w:hAnsi="宋体" w:cs="宋体"/>
                <w:kern w:val="0"/>
                <w:sz w:val="24"/>
                <w:szCs w:val="24"/>
              </w:rPr>
              <w:t>三、对家庭和个人补助支出</w:t>
            </w:r>
          </w:p>
        </w:tc>
        <w:tc>
          <w:tcPr>
            <w:tcW w:w="4070" w:type="dxa"/>
            <w:tcBorders>
              <w:top w:val="nil"/>
              <w:left w:val="nil"/>
              <w:bottom w:val="single" w:color="auto" w:sz="4" w:space="0"/>
              <w:right w:val="single" w:color="auto" w:sz="4" w:space="0"/>
            </w:tcBorders>
            <w:shd w:val="clear" w:color="auto" w:fill="auto"/>
            <w:noWrap/>
            <w:vAlign w:val="center"/>
          </w:tcPr>
          <w:p w14:paraId="79AA17CE">
            <w:pPr>
              <w:widowControl/>
              <w:ind w:left="2760" w:hanging="2760" w:hangingChars="1150"/>
              <w:jc w:val="left"/>
              <w:rPr>
                <w:rFonts w:ascii="宋体" w:hAnsi="宋体" w:cs="宋体"/>
                <w:kern w:val="0"/>
                <w:sz w:val="24"/>
                <w:szCs w:val="24"/>
              </w:rPr>
            </w:pPr>
            <w:r>
              <w:rPr>
                <w:rFonts w:hint="eastAsia" w:ascii="宋体" w:hAnsi="宋体" w:cs="宋体"/>
                <w:kern w:val="0"/>
                <w:sz w:val="24"/>
                <w:szCs w:val="24"/>
              </w:rPr>
              <w:t xml:space="preserve">                          404.21</w:t>
            </w:r>
          </w:p>
        </w:tc>
      </w:tr>
      <w:tr w14:paraId="736E1A4E">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111A138D">
            <w:pPr>
              <w:widowControl/>
              <w:jc w:val="left"/>
              <w:rPr>
                <w:rFonts w:ascii="宋体" w:hAnsi="宋体" w:cs="宋体"/>
                <w:kern w:val="0"/>
                <w:sz w:val="24"/>
                <w:szCs w:val="24"/>
              </w:rPr>
            </w:pPr>
            <w:r>
              <w:rPr>
                <w:rFonts w:hint="eastAsia" w:ascii="宋体" w:hAnsi="宋体" w:cs="宋体"/>
                <w:kern w:val="0"/>
                <w:sz w:val="24"/>
                <w:szCs w:val="24"/>
              </w:rPr>
              <w:t>四、资本性支出</w:t>
            </w:r>
          </w:p>
        </w:tc>
        <w:tc>
          <w:tcPr>
            <w:tcW w:w="4070" w:type="dxa"/>
            <w:tcBorders>
              <w:top w:val="nil"/>
              <w:left w:val="nil"/>
              <w:bottom w:val="single" w:color="auto" w:sz="4" w:space="0"/>
              <w:right w:val="single" w:color="auto" w:sz="4" w:space="0"/>
            </w:tcBorders>
            <w:shd w:val="clear" w:color="auto" w:fill="auto"/>
            <w:noWrap/>
            <w:vAlign w:val="center"/>
          </w:tcPr>
          <w:p w14:paraId="4E5FB213">
            <w:pPr>
              <w:widowControl/>
              <w:ind w:left="3120" w:hanging="3120" w:hangingChars="1300"/>
              <w:jc w:val="left"/>
              <w:rPr>
                <w:rFonts w:ascii="宋体" w:hAnsi="宋体" w:cs="宋体"/>
                <w:kern w:val="0"/>
                <w:sz w:val="24"/>
                <w:szCs w:val="24"/>
              </w:rPr>
            </w:pPr>
            <w:r>
              <w:rPr>
                <w:rFonts w:hint="eastAsia" w:ascii="宋体" w:hAnsi="宋体" w:cs="宋体"/>
                <w:kern w:val="0"/>
                <w:sz w:val="24"/>
                <w:szCs w:val="24"/>
              </w:rPr>
              <w:t xml:space="preserve">                           99.11</w:t>
            </w:r>
          </w:p>
        </w:tc>
      </w:tr>
      <w:tr w14:paraId="712FD776">
        <w:tblPrEx>
          <w:tblCellMar>
            <w:top w:w="0" w:type="dxa"/>
            <w:left w:w="108" w:type="dxa"/>
            <w:bottom w:w="0" w:type="dxa"/>
            <w:right w:w="108" w:type="dxa"/>
          </w:tblCellMar>
        </w:tblPrEx>
        <w:trPr>
          <w:trHeight w:val="482"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6F45E046">
            <w:pPr>
              <w:widowControl/>
              <w:jc w:val="center"/>
              <w:rPr>
                <w:rFonts w:ascii="宋体" w:hAnsi="宋体" w:cs="宋体"/>
                <w:b/>
                <w:bCs/>
                <w:kern w:val="0"/>
                <w:sz w:val="24"/>
                <w:szCs w:val="24"/>
              </w:rPr>
            </w:pPr>
            <w:r>
              <w:rPr>
                <w:rFonts w:hint="eastAsia" w:ascii="宋体" w:hAnsi="宋体" w:cs="宋体"/>
                <w:b/>
                <w:bCs/>
                <w:kern w:val="0"/>
                <w:sz w:val="24"/>
                <w:szCs w:val="24"/>
              </w:rPr>
              <w:t>合  计</w:t>
            </w:r>
          </w:p>
        </w:tc>
        <w:tc>
          <w:tcPr>
            <w:tcW w:w="4070" w:type="dxa"/>
            <w:tcBorders>
              <w:top w:val="nil"/>
              <w:left w:val="nil"/>
              <w:bottom w:val="single" w:color="auto" w:sz="4" w:space="0"/>
              <w:right w:val="single" w:color="auto" w:sz="4" w:space="0"/>
            </w:tcBorders>
            <w:shd w:val="clear" w:color="auto" w:fill="auto"/>
            <w:noWrap/>
            <w:vAlign w:val="bottom"/>
          </w:tcPr>
          <w:p w14:paraId="5DDA81FF">
            <w:pPr>
              <w:widowControl/>
              <w:jc w:val="left"/>
              <w:rPr>
                <w:rFonts w:ascii="宋体" w:hAnsi="宋体" w:cs="宋体"/>
                <w:b/>
                <w:bCs/>
                <w:kern w:val="0"/>
                <w:sz w:val="24"/>
                <w:szCs w:val="24"/>
              </w:rPr>
            </w:pPr>
            <w:r>
              <w:rPr>
                <w:rFonts w:hint="eastAsia" w:ascii="宋体" w:hAnsi="宋体" w:cs="宋体"/>
                <w:b/>
                <w:bCs/>
                <w:kern w:val="0"/>
                <w:sz w:val="24"/>
                <w:szCs w:val="24"/>
              </w:rPr>
              <w:t xml:space="preserve">                        1294.03</w:t>
            </w:r>
          </w:p>
        </w:tc>
      </w:tr>
    </w:tbl>
    <w:p w14:paraId="04248565">
      <w:pPr>
        <w:ind w:firstLine="640"/>
        <w:rPr>
          <w:rFonts w:ascii="宋体" w:hAnsi="宋体"/>
          <w:b/>
          <w:sz w:val="32"/>
          <w:szCs w:val="32"/>
        </w:rPr>
      </w:pPr>
    </w:p>
    <w:p w14:paraId="115B8D54">
      <w:pPr>
        <w:ind w:firstLine="640"/>
        <w:rPr>
          <w:rFonts w:ascii="宋体" w:hAnsi="宋体"/>
          <w:b/>
          <w:sz w:val="32"/>
          <w:szCs w:val="32"/>
        </w:rPr>
      </w:pPr>
      <w:r>
        <w:rPr>
          <w:rFonts w:hint="eastAsia" w:ascii="宋体" w:hAnsi="宋体"/>
          <w:b/>
          <w:sz w:val="32"/>
          <w:szCs w:val="32"/>
        </w:rPr>
        <w:t>三、部门整体预算绩效管理情况</w:t>
      </w:r>
    </w:p>
    <w:p w14:paraId="2B4C7F7E">
      <w:pPr>
        <w:rPr>
          <w:rFonts w:ascii="宋体" w:hAnsi="宋体"/>
          <w:sz w:val="32"/>
          <w:szCs w:val="32"/>
        </w:rPr>
      </w:pPr>
      <w:r>
        <w:rPr>
          <w:rFonts w:hint="eastAsia" w:ascii="宋体" w:hAnsi="宋体"/>
          <w:sz w:val="32"/>
          <w:szCs w:val="32"/>
        </w:rPr>
        <w:t xml:space="preserve">   （一）预决算编制情况</w:t>
      </w:r>
    </w:p>
    <w:p w14:paraId="337448C2">
      <w:pPr>
        <w:ind w:firstLine="640"/>
        <w:rPr>
          <w:rFonts w:ascii="宋体" w:hAnsi="宋体"/>
          <w:sz w:val="32"/>
          <w:szCs w:val="32"/>
        </w:rPr>
      </w:pPr>
      <w:r>
        <w:rPr>
          <w:rFonts w:hint="eastAsia" w:ascii="宋体" w:hAnsi="宋体"/>
          <w:sz w:val="32"/>
          <w:szCs w:val="32"/>
        </w:rPr>
        <w:t>本部门为一级预算单位，单位性质：行政机关。本部门执行的会计制度为：政府会计准则制度。</w:t>
      </w:r>
    </w:p>
    <w:p w14:paraId="144C9EAA">
      <w:pPr>
        <w:ind w:firstLine="640"/>
        <w:rPr>
          <w:rFonts w:ascii="宋体" w:hAnsi="宋体"/>
          <w:sz w:val="32"/>
          <w:szCs w:val="32"/>
        </w:rPr>
      </w:pPr>
      <w:r>
        <w:rPr>
          <w:rFonts w:hint="eastAsia" w:ascii="宋体" w:hAnsi="宋体"/>
          <w:sz w:val="32"/>
          <w:szCs w:val="32"/>
        </w:rPr>
        <w:t>1、部门预算编制情况</w:t>
      </w:r>
    </w:p>
    <w:p w14:paraId="51731FA9">
      <w:pPr>
        <w:ind w:firstLine="640"/>
        <w:rPr>
          <w:rFonts w:ascii="宋体" w:hAnsi="宋体"/>
          <w:sz w:val="32"/>
          <w:szCs w:val="32"/>
        </w:rPr>
      </w:pPr>
      <w:r>
        <w:rPr>
          <w:rFonts w:hint="eastAsia" w:ascii="宋体" w:hAnsi="宋体"/>
          <w:sz w:val="32"/>
          <w:szCs w:val="32"/>
        </w:rPr>
        <w:t>编制部门预算时，严格按照区财政局预算编制要求、口径、项目和预算控制数，坚持“保重点、保稳定、精细化、绩效化”的原则，通过“二上二下”的预算编制程序，确定预算编制工作。坚持“先有预算，后有支出”的原则，严控无预算额度的支出，强化国库集中支出，严格审批程序，大力压减一般性支出。</w:t>
      </w:r>
    </w:p>
    <w:p w14:paraId="0A1D806D">
      <w:pPr>
        <w:ind w:firstLine="640"/>
        <w:rPr>
          <w:rFonts w:ascii="宋体" w:hAnsi="宋体"/>
          <w:sz w:val="32"/>
          <w:szCs w:val="32"/>
        </w:rPr>
      </w:pPr>
      <w:r>
        <w:rPr>
          <w:rFonts w:hint="eastAsia" w:ascii="宋体" w:hAnsi="宋体"/>
          <w:sz w:val="32"/>
          <w:szCs w:val="32"/>
        </w:rPr>
        <w:t>2020年，按照《德阳市罗江区财政局关于批复2020年部门预算的通知》（德市罗财预【2020】1号）文件，本部门年初预算收支情况如下（表三）：</w:t>
      </w:r>
    </w:p>
    <w:tbl>
      <w:tblPr>
        <w:tblStyle w:val="13"/>
        <w:tblW w:w="8205" w:type="dxa"/>
        <w:tblInd w:w="93" w:type="dxa"/>
        <w:tblLayout w:type="autofit"/>
        <w:tblCellMar>
          <w:top w:w="0" w:type="dxa"/>
          <w:left w:w="108" w:type="dxa"/>
          <w:bottom w:w="0" w:type="dxa"/>
          <w:right w:w="108" w:type="dxa"/>
        </w:tblCellMar>
      </w:tblPr>
      <w:tblGrid>
        <w:gridCol w:w="4240"/>
        <w:gridCol w:w="3965"/>
      </w:tblGrid>
      <w:tr w14:paraId="37E6DC70">
        <w:tblPrEx>
          <w:tblCellMar>
            <w:top w:w="0" w:type="dxa"/>
            <w:left w:w="108" w:type="dxa"/>
            <w:bottom w:w="0" w:type="dxa"/>
            <w:right w:w="108" w:type="dxa"/>
          </w:tblCellMar>
        </w:tblPrEx>
        <w:trPr>
          <w:trHeight w:val="451" w:hRule="atLeast"/>
        </w:trPr>
        <w:tc>
          <w:tcPr>
            <w:tcW w:w="4240" w:type="dxa"/>
            <w:tcBorders>
              <w:top w:val="nil"/>
              <w:left w:val="nil"/>
              <w:bottom w:val="nil"/>
              <w:right w:val="nil"/>
            </w:tcBorders>
            <w:shd w:val="clear" w:color="auto" w:fill="auto"/>
            <w:noWrap/>
            <w:vAlign w:val="center"/>
          </w:tcPr>
          <w:p w14:paraId="1858ED19">
            <w:pPr>
              <w:widowControl/>
              <w:jc w:val="left"/>
              <w:rPr>
                <w:rFonts w:ascii="宋体" w:hAnsi="宋体" w:cs="宋体"/>
                <w:b/>
                <w:bCs/>
                <w:kern w:val="0"/>
                <w:sz w:val="28"/>
                <w:szCs w:val="28"/>
              </w:rPr>
            </w:pPr>
            <w:r>
              <w:rPr>
                <w:rFonts w:hint="eastAsia" w:ascii="宋体" w:hAnsi="宋体" w:cs="宋体"/>
                <w:b/>
                <w:bCs/>
                <w:kern w:val="0"/>
                <w:sz w:val="28"/>
                <w:szCs w:val="28"/>
              </w:rPr>
              <w:t>【表三】</w:t>
            </w:r>
          </w:p>
        </w:tc>
        <w:tc>
          <w:tcPr>
            <w:tcW w:w="3965" w:type="dxa"/>
            <w:tcBorders>
              <w:top w:val="nil"/>
              <w:left w:val="nil"/>
              <w:bottom w:val="nil"/>
              <w:right w:val="nil"/>
            </w:tcBorders>
            <w:shd w:val="clear" w:color="auto" w:fill="auto"/>
            <w:noWrap/>
            <w:vAlign w:val="bottom"/>
          </w:tcPr>
          <w:p w14:paraId="1A7733E1">
            <w:pPr>
              <w:widowControl/>
              <w:jc w:val="left"/>
              <w:rPr>
                <w:rFonts w:ascii="宋体" w:hAnsi="宋体" w:cs="宋体"/>
                <w:kern w:val="0"/>
                <w:sz w:val="24"/>
                <w:szCs w:val="24"/>
              </w:rPr>
            </w:pPr>
          </w:p>
          <w:p w14:paraId="1A5FBAED">
            <w:pPr>
              <w:widowControl/>
              <w:jc w:val="left"/>
              <w:rPr>
                <w:rFonts w:ascii="宋体" w:hAnsi="宋体" w:cs="宋体"/>
                <w:kern w:val="0"/>
                <w:sz w:val="24"/>
                <w:szCs w:val="24"/>
              </w:rPr>
            </w:pPr>
          </w:p>
        </w:tc>
      </w:tr>
      <w:tr w14:paraId="0B367E97">
        <w:tblPrEx>
          <w:tblCellMar>
            <w:top w:w="0" w:type="dxa"/>
            <w:left w:w="108" w:type="dxa"/>
            <w:bottom w:w="0" w:type="dxa"/>
            <w:right w:w="108" w:type="dxa"/>
          </w:tblCellMar>
        </w:tblPrEx>
        <w:trPr>
          <w:trHeight w:val="559"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42479">
            <w:pPr>
              <w:widowControl/>
              <w:jc w:val="center"/>
              <w:rPr>
                <w:rFonts w:ascii="宋体" w:hAnsi="宋体" w:cs="宋体"/>
                <w:b/>
                <w:bCs/>
                <w:kern w:val="0"/>
                <w:sz w:val="24"/>
                <w:szCs w:val="24"/>
              </w:rPr>
            </w:pPr>
            <w:r>
              <w:rPr>
                <w:rFonts w:hint="eastAsia" w:ascii="宋体" w:hAnsi="宋体" w:cs="宋体"/>
                <w:b/>
                <w:bCs/>
                <w:kern w:val="0"/>
                <w:sz w:val="24"/>
                <w:szCs w:val="24"/>
              </w:rPr>
              <w:t>预算项目</w:t>
            </w:r>
          </w:p>
        </w:tc>
        <w:tc>
          <w:tcPr>
            <w:tcW w:w="3965" w:type="dxa"/>
            <w:tcBorders>
              <w:top w:val="single" w:color="auto" w:sz="4" w:space="0"/>
              <w:left w:val="nil"/>
              <w:bottom w:val="single" w:color="auto" w:sz="4" w:space="0"/>
              <w:right w:val="single" w:color="auto" w:sz="4" w:space="0"/>
            </w:tcBorders>
            <w:shd w:val="clear" w:color="auto" w:fill="auto"/>
            <w:noWrap/>
            <w:vAlign w:val="center"/>
          </w:tcPr>
          <w:p w14:paraId="44C1855D">
            <w:pPr>
              <w:widowControl/>
              <w:jc w:val="center"/>
              <w:rPr>
                <w:rFonts w:ascii="宋体" w:hAnsi="宋体" w:cs="宋体"/>
                <w:b/>
                <w:bCs/>
                <w:kern w:val="0"/>
                <w:sz w:val="24"/>
                <w:szCs w:val="24"/>
              </w:rPr>
            </w:pPr>
            <w:r>
              <w:rPr>
                <w:rFonts w:hint="eastAsia" w:ascii="宋体" w:hAnsi="宋体" w:cs="宋体"/>
                <w:b/>
                <w:bCs/>
                <w:kern w:val="0"/>
                <w:sz w:val="24"/>
                <w:szCs w:val="24"/>
              </w:rPr>
              <w:t>合计金额（单位：万元）</w:t>
            </w:r>
          </w:p>
        </w:tc>
      </w:tr>
      <w:tr w14:paraId="4A077758">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78AB7862">
            <w:pPr>
              <w:widowControl/>
              <w:jc w:val="left"/>
              <w:rPr>
                <w:rFonts w:ascii="宋体" w:hAnsi="宋体" w:cs="宋体"/>
                <w:b/>
                <w:bCs/>
                <w:kern w:val="0"/>
                <w:sz w:val="24"/>
                <w:szCs w:val="24"/>
              </w:rPr>
            </w:pPr>
            <w:r>
              <w:rPr>
                <w:rFonts w:hint="eastAsia" w:ascii="宋体" w:hAnsi="宋体" w:cs="宋体"/>
                <w:b/>
                <w:bCs/>
                <w:kern w:val="0"/>
                <w:sz w:val="24"/>
                <w:szCs w:val="24"/>
              </w:rPr>
              <w:t>一、预算收入</w:t>
            </w:r>
          </w:p>
        </w:tc>
        <w:tc>
          <w:tcPr>
            <w:tcW w:w="3965" w:type="dxa"/>
            <w:tcBorders>
              <w:top w:val="nil"/>
              <w:left w:val="nil"/>
              <w:bottom w:val="single" w:color="auto" w:sz="4" w:space="0"/>
              <w:right w:val="single" w:color="auto" w:sz="4" w:space="0"/>
            </w:tcBorders>
            <w:shd w:val="clear" w:color="auto" w:fill="auto"/>
            <w:noWrap/>
            <w:vAlign w:val="center"/>
          </w:tcPr>
          <w:p w14:paraId="3F900426">
            <w:pPr>
              <w:widowControl/>
              <w:jc w:val="center"/>
              <w:rPr>
                <w:rFonts w:ascii="宋体" w:hAnsi="宋体" w:cs="宋体"/>
                <w:b/>
                <w:bCs/>
                <w:kern w:val="0"/>
                <w:sz w:val="24"/>
                <w:szCs w:val="24"/>
              </w:rPr>
            </w:pPr>
            <w:r>
              <w:rPr>
                <w:rFonts w:hint="eastAsia" w:ascii="宋体" w:hAnsi="宋体" w:cs="宋体"/>
                <w:b/>
                <w:bCs/>
                <w:kern w:val="0"/>
                <w:sz w:val="24"/>
                <w:szCs w:val="24"/>
              </w:rPr>
              <w:t xml:space="preserve">                    832.18</w:t>
            </w:r>
          </w:p>
        </w:tc>
      </w:tr>
      <w:tr w14:paraId="292D9EE6">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03E3BFF6">
            <w:pPr>
              <w:widowControl/>
              <w:jc w:val="left"/>
              <w:rPr>
                <w:rFonts w:ascii="宋体" w:hAnsi="宋体" w:cs="宋体"/>
                <w:kern w:val="0"/>
                <w:sz w:val="24"/>
                <w:szCs w:val="24"/>
              </w:rPr>
            </w:pPr>
            <w:r>
              <w:rPr>
                <w:rFonts w:hint="eastAsia" w:ascii="宋体" w:hAnsi="宋体" w:cs="宋体"/>
                <w:kern w:val="0"/>
                <w:sz w:val="24"/>
                <w:szCs w:val="24"/>
              </w:rPr>
              <w:t>（一）当年财政拨款收入</w:t>
            </w:r>
          </w:p>
        </w:tc>
        <w:tc>
          <w:tcPr>
            <w:tcW w:w="3965" w:type="dxa"/>
            <w:tcBorders>
              <w:top w:val="nil"/>
              <w:left w:val="nil"/>
              <w:bottom w:val="single" w:color="auto" w:sz="4" w:space="0"/>
              <w:right w:val="single" w:color="auto" w:sz="4" w:space="0"/>
            </w:tcBorders>
            <w:shd w:val="clear" w:color="auto" w:fill="auto"/>
            <w:noWrap/>
            <w:vAlign w:val="center"/>
          </w:tcPr>
          <w:p w14:paraId="4B271A4C">
            <w:pPr>
              <w:widowControl/>
              <w:ind w:left="1440" w:hanging="1440" w:hangingChars="600"/>
              <w:rPr>
                <w:rFonts w:ascii="宋体" w:hAnsi="宋体" w:cs="宋体"/>
                <w:kern w:val="0"/>
                <w:sz w:val="24"/>
                <w:szCs w:val="24"/>
              </w:rPr>
            </w:pPr>
            <w:r>
              <w:rPr>
                <w:rFonts w:hint="eastAsia" w:ascii="宋体" w:hAnsi="宋体" w:cs="宋体"/>
                <w:kern w:val="0"/>
                <w:sz w:val="24"/>
                <w:szCs w:val="24"/>
              </w:rPr>
              <w:t xml:space="preserve">                        832.18</w:t>
            </w:r>
          </w:p>
        </w:tc>
      </w:tr>
      <w:tr w14:paraId="05E9E17A">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2FA1C2AE">
            <w:pPr>
              <w:widowControl/>
              <w:jc w:val="left"/>
              <w:rPr>
                <w:rFonts w:ascii="宋体" w:hAnsi="宋体" w:cs="宋体"/>
                <w:b/>
                <w:bCs/>
                <w:kern w:val="0"/>
                <w:sz w:val="24"/>
                <w:szCs w:val="24"/>
              </w:rPr>
            </w:pPr>
            <w:r>
              <w:rPr>
                <w:rFonts w:hint="eastAsia" w:ascii="宋体" w:hAnsi="宋体" w:cs="宋体"/>
                <w:b/>
                <w:bCs/>
                <w:kern w:val="0"/>
                <w:sz w:val="24"/>
                <w:szCs w:val="24"/>
              </w:rPr>
              <w:t>二、预算支出</w:t>
            </w:r>
          </w:p>
        </w:tc>
        <w:tc>
          <w:tcPr>
            <w:tcW w:w="3965" w:type="dxa"/>
            <w:tcBorders>
              <w:top w:val="nil"/>
              <w:left w:val="nil"/>
              <w:bottom w:val="single" w:color="auto" w:sz="4" w:space="0"/>
              <w:right w:val="single" w:color="auto" w:sz="4" w:space="0"/>
            </w:tcBorders>
            <w:shd w:val="clear" w:color="auto" w:fill="auto"/>
            <w:noWrap/>
            <w:vAlign w:val="center"/>
          </w:tcPr>
          <w:p w14:paraId="65546C48">
            <w:pPr>
              <w:widowControl/>
              <w:jc w:val="center"/>
              <w:rPr>
                <w:rFonts w:ascii="宋体" w:hAnsi="宋体" w:cs="宋体"/>
                <w:b/>
                <w:bCs/>
                <w:kern w:val="0"/>
                <w:sz w:val="24"/>
                <w:szCs w:val="24"/>
              </w:rPr>
            </w:pPr>
            <w:r>
              <w:rPr>
                <w:rFonts w:hint="eastAsia" w:ascii="宋体" w:hAnsi="宋体" w:cs="宋体"/>
                <w:b/>
                <w:bCs/>
                <w:kern w:val="0"/>
                <w:sz w:val="24"/>
                <w:szCs w:val="24"/>
              </w:rPr>
              <w:t xml:space="preserve">                    832.18</w:t>
            </w:r>
          </w:p>
        </w:tc>
      </w:tr>
      <w:tr w14:paraId="4FE25179">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2177DDF4">
            <w:pPr>
              <w:widowControl/>
              <w:jc w:val="left"/>
              <w:rPr>
                <w:rFonts w:ascii="宋体" w:hAnsi="宋体" w:cs="宋体"/>
                <w:b/>
                <w:bCs/>
                <w:kern w:val="0"/>
                <w:sz w:val="24"/>
                <w:szCs w:val="24"/>
              </w:rPr>
            </w:pPr>
            <w:r>
              <w:rPr>
                <w:rFonts w:hint="eastAsia" w:ascii="宋体" w:hAnsi="宋体" w:cs="宋体"/>
                <w:b/>
                <w:bCs/>
                <w:kern w:val="0"/>
                <w:sz w:val="24"/>
                <w:szCs w:val="24"/>
              </w:rPr>
              <w:t>（一）基本支出</w:t>
            </w:r>
          </w:p>
        </w:tc>
        <w:tc>
          <w:tcPr>
            <w:tcW w:w="3965" w:type="dxa"/>
            <w:tcBorders>
              <w:top w:val="nil"/>
              <w:left w:val="nil"/>
              <w:bottom w:val="single" w:color="auto" w:sz="4" w:space="0"/>
              <w:right w:val="single" w:color="auto" w:sz="4" w:space="0"/>
            </w:tcBorders>
            <w:shd w:val="clear" w:color="auto" w:fill="auto"/>
            <w:noWrap/>
            <w:vAlign w:val="center"/>
          </w:tcPr>
          <w:p w14:paraId="1474C0C4">
            <w:pPr>
              <w:widowControl/>
              <w:jc w:val="center"/>
              <w:rPr>
                <w:rFonts w:ascii="宋体" w:hAnsi="宋体" w:cs="宋体"/>
                <w:b/>
                <w:bCs/>
                <w:kern w:val="0"/>
                <w:sz w:val="24"/>
                <w:szCs w:val="24"/>
              </w:rPr>
            </w:pPr>
            <w:r>
              <w:rPr>
                <w:rFonts w:hint="eastAsia" w:ascii="宋体" w:hAnsi="宋体" w:cs="宋体"/>
                <w:b/>
                <w:bCs/>
                <w:kern w:val="0"/>
                <w:sz w:val="24"/>
                <w:szCs w:val="24"/>
              </w:rPr>
              <w:t xml:space="preserve">                    812.18</w:t>
            </w:r>
          </w:p>
        </w:tc>
      </w:tr>
      <w:tr w14:paraId="2FDB94AE">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0A7252D9">
            <w:pPr>
              <w:widowControl/>
              <w:jc w:val="left"/>
              <w:rPr>
                <w:rFonts w:ascii="宋体" w:hAnsi="宋体" w:cs="宋体"/>
                <w:kern w:val="0"/>
                <w:sz w:val="24"/>
                <w:szCs w:val="24"/>
              </w:rPr>
            </w:pPr>
            <w:r>
              <w:rPr>
                <w:rFonts w:hint="eastAsia" w:ascii="宋体" w:hAnsi="宋体" w:cs="宋体"/>
                <w:kern w:val="0"/>
                <w:sz w:val="24"/>
                <w:szCs w:val="24"/>
              </w:rPr>
              <w:t>其中：当年财政拨款支出</w:t>
            </w:r>
          </w:p>
        </w:tc>
        <w:tc>
          <w:tcPr>
            <w:tcW w:w="3965" w:type="dxa"/>
            <w:tcBorders>
              <w:top w:val="nil"/>
              <w:left w:val="nil"/>
              <w:bottom w:val="single" w:color="auto" w:sz="4" w:space="0"/>
              <w:right w:val="single" w:color="auto" w:sz="4" w:space="0"/>
            </w:tcBorders>
            <w:shd w:val="clear" w:color="auto" w:fill="auto"/>
            <w:noWrap/>
            <w:vAlign w:val="center"/>
          </w:tcPr>
          <w:p w14:paraId="62F7F326">
            <w:pPr>
              <w:widowControl/>
              <w:rPr>
                <w:rFonts w:ascii="宋体" w:hAnsi="宋体" w:cs="宋体"/>
                <w:kern w:val="0"/>
                <w:sz w:val="24"/>
                <w:szCs w:val="24"/>
              </w:rPr>
            </w:pPr>
            <w:r>
              <w:rPr>
                <w:rFonts w:hint="eastAsia" w:ascii="宋体" w:hAnsi="宋体" w:cs="宋体"/>
                <w:kern w:val="0"/>
                <w:sz w:val="24"/>
                <w:szCs w:val="24"/>
              </w:rPr>
              <w:t xml:space="preserve">                        812.18</w:t>
            </w:r>
          </w:p>
        </w:tc>
      </w:tr>
      <w:tr w14:paraId="3DA4CE09">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2B7281AD">
            <w:pPr>
              <w:widowControl/>
              <w:jc w:val="left"/>
              <w:rPr>
                <w:rFonts w:ascii="宋体" w:hAnsi="宋体" w:cs="宋体"/>
                <w:kern w:val="0"/>
                <w:sz w:val="24"/>
                <w:szCs w:val="24"/>
              </w:rPr>
            </w:pPr>
            <w:r>
              <w:rPr>
                <w:rFonts w:hint="eastAsia" w:ascii="宋体" w:hAnsi="宋体" w:cs="宋体"/>
                <w:kern w:val="0"/>
                <w:sz w:val="24"/>
                <w:szCs w:val="24"/>
              </w:rPr>
              <w:t>1、工资福利支出</w:t>
            </w:r>
          </w:p>
        </w:tc>
        <w:tc>
          <w:tcPr>
            <w:tcW w:w="3965" w:type="dxa"/>
            <w:tcBorders>
              <w:top w:val="nil"/>
              <w:left w:val="nil"/>
              <w:bottom w:val="single" w:color="auto" w:sz="4" w:space="0"/>
              <w:right w:val="single" w:color="auto" w:sz="4" w:space="0"/>
            </w:tcBorders>
            <w:shd w:val="clear" w:color="auto" w:fill="auto"/>
            <w:noWrap/>
            <w:vAlign w:val="center"/>
          </w:tcPr>
          <w:p w14:paraId="1A4AC28B">
            <w:pPr>
              <w:widowControl/>
              <w:jc w:val="center"/>
              <w:rPr>
                <w:rFonts w:ascii="宋体" w:hAnsi="宋体" w:cs="宋体"/>
                <w:kern w:val="0"/>
                <w:sz w:val="24"/>
                <w:szCs w:val="24"/>
              </w:rPr>
            </w:pPr>
            <w:r>
              <w:rPr>
                <w:rFonts w:hint="eastAsia" w:ascii="宋体" w:hAnsi="宋体" w:cs="宋体"/>
                <w:kern w:val="0"/>
                <w:sz w:val="24"/>
                <w:szCs w:val="24"/>
              </w:rPr>
              <w:t xml:space="preserve">                      368.71</w:t>
            </w:r>
          </w:p>
        </w:tc>
      </w:tr>
      <w:tr w14:paraId="5D61D7EE">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0C76CD33">
            <w:pPr>
              <w:widowControl/>
              <w:jc w:val="left"/>
              <w:rPr>
                <w:rFonts w:ascii="宋体" w:hAnsi="宋体" w:cs="宋体"/>
                <w:kern w:val="0"/>
                <w:sz w:val="24"/>
                <w:szCs w:val="24"/>
              </w:rPr>
            </w:pPr>
            <w:r>
              <w:rPr>
                <w:rFonts w:hint="eastAsia" w:ascii="宋体" w:hAnsi="宋体" w:cs="宋体"/>
                <w:kern w:val="0"/>
                <w:sz w:val="24"/>
                <w:szCs w:val="24"/>
              </w:rPr>
              <w:t>2、商品和服务支出</w:t>
            </w:r>
          </w:p>
        </w:tc>
        <w:tc>
          <w:tcPr>
            <w:tcW w:w="3965" w:type="dxa"/>
            <w:tcBorders>
              <w:top w:val="nil"/>
              <w:left w:val="nil"/>
              <w:bottom w:val="single" w:color="auto" w:sz="4" w:space="0"/>
              <w:right w:val="single" w:color="auto" w:sz="4" w:space="0"/>
            </w:tcBorders>
            <w:shd w:val="clear" w:color="auto" w:fill="auto"/>
            <w:noWrap/>
            <w:vAlign w:val="center"/>
          </w:tcPr>
          <w:p w14:paraId="2AB42D9F">
            <w:pPr>
              <w:widowControl/>
              <w:jc w:val="center"/>
              <w:rPr>
                <w:rFonts w:ascii="宋体" w:hAnsi="宋体" w:cs="宋体"/>
                <w:kern w:val="0"/>
                <w:sz w:val="24"/>
                <w:szCs w:val="24"/>
              </w:rPr>
            </w:pPr>
            <w:r>
              <w:rPr>
                <w:rFonts w:hint="eastAsia" w:ascii="宋体" w:hAnsi="宋体" w:cs="宋体"/>
                <w:kern w:val="0"/>
                <w:sz w:val="24"/>
                <w:szCs w:val="24"/>
              </w:rPr>
              <w:t xml:space="preserve">                      109.24</w:t>
            </w:r>
          </w:p>
        </w:tc>
      </w:tr>
      <w:tr w14:paraId="2CE8609E">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659DCB84">
            <w:pPr>
              <w:widowControl/>
              <w:jc w:val="left"/>
              <w:rPr>
                <w:rFonts w:ascii="宋体" w:hAnsi="宋体" w:cs="宋体"/>
                <w:kern w:val="0"/>
                <w:sz w:val="24"/>
                <w:szCs w:val="24"/>
              </w:rPr>
            </w:pPr>
            <w:r>
              <w:rPr>
                <w:rFonts w:hint="eastAsia" w:ascii="宋体" w:hAnsi="宋体" w:cs="宋体"/>
                <w:kern w:val="0"/>
                <w:sz w:val="24"/>
                <w:szCs w:val="24"/>
              </w:rPr>
              <w:t>3、对家庭和个人补助支出</w:t>
            </w:r>
          </w:p>
        </w:tc>
        <w:tc>
          <w:tcPr>
            <w:tcW w:w="3965" w:type="dxa"/>
            <w:tcBorders>
              <w:top w:val="nil"/>
              <w:left w:val="nil"/>
              <w:bottom w:val="single" w:color="auto" w:sz="4" w:space="0"/>
              <w:right w:val="single" w:color="auto" w:sz="4" w:space="0"/>
            </w:tcBorders>
            <w:shd w:val="clear" w:color="auto" w:fill="auto"/>
            <w:noWrap/>
            <w:vAlign w:val="center"/>
          </w:tcPr>
          <w:p w14:paraId="2AD26957">
            <w:pPr>
              <w:widowControl/>
              <w:jc w:val="center"/>
              <w:rPr>
                <w:rFonts w:ascii="宋体" w:hAnsi="宋体" w:cs="宋体"/>
                <w:kern w:val="0"/>
                <w:sz w:val="24"/>
                <w:szCs w:val="24"/>
              </w:rPr>
            </w:pPr>
            <w:r>
              <w:rPr>
                <w:rFonts w:hint="eastAsia" w:ascii="宋体" w:hAnsi="宋体" w:cs="宋体"/>
                <w:kern w:val="0"/>
                <w:sz w:val="24"/>
                <w:szCs w:val="24"/>
              </w:rPr>
              <w:t xml:space="preserve">                      334.23</w:t>
            </w:r>
          </w:p>
        </w:tc>
      </w:tr>
      <w:tr w14:paraId="6E876E7E">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5145B93D">
            <w:pPr>
              <w:widowControl/>
              <w:jc w:val="left"/>
              <w:rPr>
                <w:rFonts w:ascii="宋体" w:hAnsi="宋体" w:cs="宋体"/>
                <w:b/>
                <w:bCs/>
                <w:kern w:val="0"/>
                <w:sz w:val="24"/>
                <w:szCs w:val="24"/>
              </w:rPr>
            </w:pPr>
            <w:r>
              <w:rPr>
                <w:rFonts w:hint="eastAsia" w:ascii="宋体" w:hAnsi="宋体" w:cs="宋体"/>
                <w:b/>
                <w:bCs/>
                <w:kern w:val="0"/>
                <w:sz w:val="24"/>
                <w:szCs w:val="24"/>
              </w:rPr>
              <w:t>（二）项目支出</w:t>
            </w:r>
          </w:p>
        </w:tc>
        <w:tc>
          <w:tcPr>
            <w:tcW w:w="3965" w:type="dxa"/>
            <w:tcBorders>
              <w:top w:val="nil"/>
              <w:left w:val="nil"/>
              <w:bottom w:val="single" w:color="auto" w:sz="4" w:space="0"/>
              <w:right w:val="single" w:color="auto" w:sz="4" w:space="0"/>
            </w:tcBorders>
            <w:shd w:val="clear" w:color="auto" w:fill="auto"/>
            <w:noWrap/>
            <w:vAlign w:val="center"/>
          </w:tcPr>
          <w:p w14:paraId="2DB26420">
            <w:pPr>
              <w:widowControl/>
              <w:jc w:val="center"/>
              <w:rPr>
                <w:rFonts w:ascii="宋体" w:hAnsi="宋体" w:cs="宋体"/>
                <w:b/>
                <w:bCs/>
                <w:kern w:val="0"/>
                <w:sz w:val="24"/>
                <w:szCs w:val="24"/>
              </w:rPr>
            </w:pPr>
            <w:r>
              <w:rPr>
                <w:rFonts w:hint="eastAsia" w:ascii="宋体" w:hAnsi="宋体" w:cs="宋体"/>
                <w:b/>
                <w:bCs/>
                <w:kern w:val="0"/>
                <w:sz w:val="24"/>
                <w:szCs w:val="24"/>
              </w:rPr>
              <w:t xml:space="preserve">                   20.00</w:t>
            </w:r>
          </w:p>
        </w:tc>
      </w:tr>
      <w:tr w14:paraId="311750CB">
        <w:tblPrEx>
          <w:tblCellMar>
            <w:top w:w="0" w:type="dxa"/>
            <w:left w:w="108" w:type="dxa"/>
            <w:bottom w:w="0" w:type="dxa"/>
            <w:right w:w="108" w:type="dxa"/>
          </w:tblCellMar>
        </w:tblPrEx>
        <w:trPr>
          <w:trHeight w:val="539" w:hRule="atLeast"/>
        </w:trPr>
        <w:tc>
          <w:tcPr>
            <w:tcW w:w="4240" w:type="dxa"/>
            <w:tcBorders>
              <w:top w:val="nil"/>
              <w:left w:val="single" w:color="auto" w:sz="4" w:space="0"/>
              <w:bottom w:val="single" w:color="auto" w:sz="4" w:space="0"/>
              <w:right w:val="single" w:color="auto" w:sz="4" w:space="0"/>
            </w:tcBorders>
            <w:shd w:val="clear" w:color="auto" w:fill="auto"/>
            <w:noWrap/>
            <w:vAlign w:val="center"/>
          </w:tcPr>
          <w:p w14:paraId="24DC72FB">
            <w:pPr>
              <w:widowControl/>
              <w:jc w:val="left"/>
              <w:rPr>
                <w:rFonts w:ascii="宋体" w:hAnsi="宋体" w:cs="宋体"/>
                <w:kern w:val="0"/>
                <w:sz w:val="24"/>
                <w:szCs w:val="24"/>
              </w:rPr>
            </w:pPr>
            <w:r>
              <w:rPr>
                <w:rFonts w:hint="eastAsia" w:ascii="宋体" w:hAnsi="宋体" w:cs="宋体"/>
                <w:kern w:val="0"/>
                <w:sz w:val="24"/>
                <w:szCs w:val="24"/>
              </w:rPr>
              <w:t>其中：当年财政拨款支出</w:t>
            </w:r>
          </w:p>
        </w:tc>
        <w:tc>
          <w:tcPr>
            <w:tcW w:w="3965" w:type="dxa"/>
            <w:tcBorders>
              <w:top w:val="nil"/>
              <w:left w:val="nil"/>
              <w:bottom w:val="single" w:color="auto" w:sz="4" w:space="0"/>
              <w:right w:val="single" w:color="auto" w:sz="4" w:space="0"/>
            </w:tcBorders>
            <w:shd w:val="clear" w:color="auto" w:fill="auto"/>
            <w:noWrap/>
            <w:vAlign w:val="center"/>
          </w:tcPr>
          <w:p w14:paraId="1C74221C">
            <w:pPr>
              <w:widowControl/>
              <w:jc w:val="center"/>
              <w:rPr>
                <w:rFonts w:ascii="宋体" w:hAnsi="宋体" w:cs="宋体"/>
                <w:kern w:val="0"/>
                <w:sz w:val="24"/>
                <w:szCs w:val="24"/>
              </w:rPr>
            </w:pPr>
            <w:r>
              <w:rPr>
                <w:rFonts w:hint="eastAsia" w:ascii="宋体" w:hAnsi="宋体" w:cs="宋体"/>
                <w:kern w:val="0"/>
                <w:sz w:val="24"/>
                <w:szCs w:val="24"/>
              </w:rPr>
              <w:t xml:space="preserve">                     20.00</w:t>
            </w:r>
          </w:p>
        </w:tc>
      </w:tr>
    </w:tbl>
    <w:p w14:paraId="4417D72A">
      <w:pPr>
        <w:ind w:firstLine="640"/>
        <w:rPr>
          <w:rFonts w:ascii="宋体" w:hAnsi="宋体"/>
          <w:sz w:val="32"/>
          <w:szCs w:val="32"/>
        </w:rPr>
      </w:pPr>
      <w:r>
        <w:rPr>
          <w:rFonts w:hint="eastAsia" w:ascii="宋体" w:hAnsi="宋体"/>
          <w:sz w:val="32"/>
          <w:szCs w:val="32"/>
        </w:rPr>
        <w:t>2、预算精细化及绩效目标填报情况</w:t>
      </w:r>
    </w:p>
    <w:p w14:paraId="34747AC6">
      <w:pPr>
        <w:ind w:firstLine="640"/>
        <w:rPr>
          <w:rFonts w:ascii="宋体" w:hAnsi="宋体"/>
          <w:sz w:val="32"/>
          <w:szCs w:val="32"/>
        </w:rPr>
      </w:pPr>
      <w:r>
        <w:rPr>
          <w:rFonts w:hint="eastAsia" w:ascii="宋体" w:hAnsi="宋体"/>
          <w:sz w:val="32"/>
          <w:szCs w:val="32"/>
        </w:rPr>
        <w:t>在预算编制过程中，注重预算精细化，绩效目标精确化。</w:t>
      </w:r>
    </w:p>
    <w:p w14:paraId="342B62EB">
      <w:pPr>
        <w:ind w:firstLine="640"/>
        <w:rPr>
          <w:rFonts w:ascii="宋体" w:hAnsi="宋体"/>
          <w:sz w:val="32"/>
          <w:szCs w:val="32"/>
        </w:rPr>
      </w:pPr>
      <w:r>
        <w:rPr>
          <w:rFonts w:hint="eastAsia" w:ascii="宋体" w:hAnsi="宋体"/>
          <w:sz w:val="32"/>
          <w:szCs w:val="32"/>
        </w:rPr>
        <w:t>人员经费预算编制：严格按照上年预算编制安排的时点月末的实有人数编制下年预算，并按照编制预算口径细化到人员基本工资，津（补）贴、其他工资和福利支出、社保缴费以及离（退）休人员所需经费。</w:t>
      </w:r>
    </w:p>
    <w:p w14:paraId="7844BDD7">
      <w:pPr>
        <w:ind w:firstLine="640"/>
        <w:rPr>
          <w:rFonts w:ascii="宋体" w:hAnsi="宋体"/>
          <w:sz w:val="32"/>
          <w:szCs w:val="32"/>
        </w:rPr>
      </w:pPr>
      <w:r>
        <w:rPr>
          <w:rFonts w:hint="eastAsia" w:ascii="宋体" w:hAnsi="宋体"/>
          <w:sz w:val="32"/>
          <w:szCs w:val="32"/>
        </w:rPr>
        <w:t>公用经费预算编制：参照上年度实际发生支出的经济科目，结合本年度公用经费压缩目标及“三公”经费控制目标，预算细化到具体的经济科目。总体要求是不突破预算编制口径规定的在职人员公用经费标准，不挤占其他经费。</w:t>
      </w:r>
    </w:p>
    <w:p w14:paraId="21A388FE">
      <w:pPr>
        <w:ind w:firstLine="640"/>
        <w:rPr>
          <w:rFonts w:ascii="宋体" w:hAnsi="宋体"/>
          <w:sz w:val="32"/>
          <w:szCs w:val="32"/>
        </w:rPr>
      </w:pPr>
      <w:r>
        <w:rPr>
          <w:rFonts w:hint="eastAsia" w:ascii="宋体" w:hAnsi="宋体"/>
          <w:sz w:val="32"/>
          <w:szCs w:val="32"/>
        </w:rPr>
        <w:t>项目经费预算编制：结合本部门当年可能发生支出的项目进行编制，项目细化到“项”级，支出细化到经济科目。</w:t>
      </w:r>
    </w:p>
    <w:p w14:paraId="66BEE535">
      <w:pPr>
        <w:ind w:firstLine="640"/>
        <w:rPr>
          <w:rFonts w:ascii="宋体" w:hAnsi="宋体"/>
          <w:sz w:val="32"/>
          <w:szCs w:val="32"/>
        </w:rPr>
      </w:pPr>
      <w:r>
        <w:rPr>
          <w:rFonts w:hint="eastAsia" w:ascii="宋体" w:hAnsi="宋体"/>
          <w:sz w:val="32"/>
          <w:szCs w:val="32"/>
        </w:rPr>
        <w:t>部门预算支出整体绩效本着充分发挥部门职能作用，实现绩效目标，便于绩效目标管理，提高财政支出效率，方便绩效目标评价结果运用等要求，编制预算支出绩效。</w:t>
      </w:r>
    </w:p>
    <w:p w14:paraId="0055058C">
      <w:pPr>
        <w:ind w:firstLine="640"/>
        <w:rPr>
          <w:rFonts w:ascii="宋体" w:hAnsi="宋体"/>
          <w:sz w:val="32"/>
          <w:szCs w:val="32"/>
        </w:rPr>
      </w:pPr>
      <w:r>
        <w:rPr>
          <w:rFonts w:hint="eastAsia" w:ascii="宋体" w:hAnsi="宋体"/>
          <w:sz w:val="32"/>
          <w:szCs w:val="32"/>
        </w:rPr>
        <w:t>项目支出绩效目标按照项目类别，分别细化到项目完成数量、质量、时效、成本控制、经济效益、社会效益、生态效益、可持续性影响和满意度等具体指标。</w:t>
      </w:r>
    </w:p>
    <w:p w14:paraId="67F07E46">
      <w:pPr>
        <w:rPr>
          <w:rFonts w:ascii="宋体" w:hAnsi="宋体"/>
          <w:sz w:val="32"/>
          <w:szCs w:val="32"/>
        </w:rPr>
      </w:pPr>
      <w:r>
        <w:rPr>
          <w:rFonts w:hint="eastAsia" w:ascii="宋体" w:hAnsi="宋体"/>
          <w:sz w:val="32"/>
          <w:szCs w:val="32"/>
        </w:rPr>
        <w:t xml:space="preserve">   （二）部门预算执行管理情况</w:t>
      </w:r>
    </w:p>
    <w:p w14:paraId="25642E0F">
      <w:pPr>
        <w:ind w:firstLine="800" w:firstLineChars="250"/>
        <w:rPr>
          <w:rFonts w:ascii="宋体" w:hAnsi="宋体"/>
          <w:sz w:val="32"/>
          <w:szCs w:val="32"/>
        </w:rPr>
      </w:pPr>
      <w:r>
        <w:rPr>
          <w:rFonts w:hint="eastAsia" w:ascii="宋体" w:hAnsi="宋体"/>
          <w:sz w:val="32"/>
          <w:szCs w:val="32"/>
        </w:rPr>
        <w:t>1、预算执行进度情况</w:t>
      </w:r>
    </w:p>
    <w:p w14:paraId="5B9B4338">
      <w:pPr>
        <w:ind w:firstLine="800" w:firstLineChars="250"/>
        <w:rPr>
          <w:rFonts w:ascii="宋体" w:hAnsi="宋体"/>
          <w:sz w:val="32"/>
          <w:szCs w:val="32"/>
        </w:rPr>
      </w:pPr>
      <w:r>
        <w:rPr>
          <w:rFonts w:hint="eastAsia" w:ascii="宋体" w:hAnsi="宋体"/>
          <w:sz w:val="32"/>
          <w:szCs w:val="32"/>
        </w:rPr>
        <w:t>2020年，部门总预算支出1294.03万元，其中：上年度财政返还额度支出42.34万元。</w:t>
      </w:r>
    </w:p>
    <w:p w14:paraId="4E335AD6">
      <w:pPr>
        <w:ind w:firstLine="640"/>
        <w:rPr>
          <w:rFonts w:ascii="宋体" w:hAnsi="宋体"/>
          <w:sz w:val="32"/>
          <w:szCs w:val="32"/>
        </w:rPr>
      </w:pPr>
      <w:r>
        <w:rPr>
          <w:rFonts w:hint="eastAsia" w:ascii="宋体" w:hAnsi="宋体"/>
          <w:sz w:val="32"/>
          <w:szCs w:val="32"/>
        </w:rPr>
        <w:t>本年度实际完成财政拨款支出1198.93万元，完成全年财政拨款支出99.98%。其中，基本支出654.10万元，完成100%；项目支出544.83万元，完成99.98%。</w:t>
      </w:r>
    </w:p>
    <w:p w14:paraId="372E2AE4">
      <w:pPr>
        <w:ind w:firstLine="640"/>
        <w:rPr>
          <w:rFonts w:ascii="宋体" w:hAnsi="宋体"/>
          <w:sz w:val="32"/>
          <w:szCs w:val="32"/>
        </w:rPr>
      </w:pPr>
      <w:r>
        <w:rPr>
          <w:rFonts w:hint="eastAsia" w:ascii="宋体" w:hAnsi="宋体"/>
          <w:sz w:val="32"/>
          <w:szCs w:val="32"/>
        </w:rPr>
        <w:t>预算执行进度总体较好。基本支出较为均衡，项目支出主要集中在下半年。其原因主要是：</w:t>
      </w:r>
    </w:p>
    <w:p w14:paraId="111196F2">
      <w:pPr>
        <w:ind w:firstLine="640"/>
        <w:rPr>
          <w:rFonts w:ascii="宋体" w:hAnsi="宋体"/>
          <w:sz w:val="32"/>
          <w:szCs w:val="32"/>
        </w:rPr>
      </w:pPr>
      <w:r>
        <w:rPr>
          <w:rFonts w:hint="eastAsia" w:ascii="宋体" w:hAnsi="宋体"/>
          <w:sz w:val="32"/>
          <w:szCs w:val="32"/>
        </w:rPr>
        <w:t>（1）部门预算经费构成及支付习惯影响。部门预算经费主要有三大部分构成，即基本支出、项目支出和转移支付到村（社区）经费支出。</w:t>
      </w:r>
    </w:p>
    <w:p w14:paraId="089A151A">
      <w:pPr>
        <w:ind w:firstLine="640"/>
        <w:rPr>
          <w:rFonts w:ascii="宋体" w:hAnsi="宋体"/>
          <w:sz w:val="32"/>
          <w:szCs w:val="32"/>
        </w:rPr>
      </w:pPr>
      <w:r>
        <w:rPr>
          <w:rFonts w:hint="eastAsia" w:ascii="宋体" w:hAnsi="宋体"/>
          <w:sz w:val="32"/>
          <w:szCs w:val="32"/>
        </w:rPr>
        <w:t>基本支出主要是人员经费支出，按月均衡，一般在当月10日前完成支付；村（社区）经费如办公费、组干部生活补助等，按惯例要到年终拨付，因此，预算执行进度基本上集中在年末时段。</w:t>
      </w:r>
    </w:p>
    <w:p w14:paraId="14479625">
      <w:pPr>
        <w:ind w:firstLine="640"/>
        <w:rPr>
          <w:rFonts w:ascii="宋体" w:hAnsi="宋体"/>
          <w:sz w:val="32"/>
          <w:szCs w:val="32"/>
        </w:rPr>
      </w:pPr>
      <w:r>
        <w:rPr>
          <w:rFonts w:hint="eastAsia" w:ascii="宋体" w:hAnsi="宋体"/>
          <w:sz w:val="32"/>
          <w:szCs w:val="32"/>
        </w:rPr>
        <w:t>（2）项目预算支出执行进度影响。因项目开竣工时间，施工进度，项目资料收集整理、审价结算等因素，致使项目预算支出执行进度集中于下半年。如村级组织活动和公共服务运行维护经费，年度内追加的项目经费等。</w:t>
      </w:r>
    </w:p>
    <w:p w14:paraId="35F9D0B7">
      <w:pPr>
        <w:ind w:firstLine="800" w:firstLineChars="250"/>
        <w:rPr>
          <w:rFonts w:ascii="宋体" w:hAnsi="宋体"/>
          <w:sz w:val="32"/>
          <w:szCs w:val="32"/>
        </w:rPr>
      </w:pPr>
      <w:r>
        <w:rPr>
          <w:rFonts w:hint="eastAsia" w:ascii="宋体" w:hAnsi="宋体"/>
          <w:sz w:val="32"/>
          <w:szCs w:val="32"/>
        </w:rPr>
        <w:t>2、节能降耗情况</w:t>
      </w:r>
    </w:p>
    <w:p w14:paraId="2B6AD3CE">
      <w:pPr>
        <w:ind w:firstLine="800" w:firstLineChars="250"/>
        <w:rPr>
          <w:rFonts w:ascii="宋体" w:hAnsi="宋体"/>
          <w:sz w:val="32"/>
          <w:szCs w:val="32"/>
        </w:rPr>
      </w:pPr>
      <w:r>
        <w:rPr>
          <w:rFonts w:hint="eastAsia" w:ascii="宋体" w:hAnsi="宋体"/>
          <w:sz w:val="32"/>
          <w:szCs w:val="32"/>
        </w:rPr>
        <w:t>通过加强机关日常管理，厉行节约之风，强化干部职工主人翁意识教育，2020年部门总体能源消耗有所下降，其中：全年电费支出4.53万元，比上年减少20.25%。减少的主要原因是场镇露灯电费减少；公务车燃油费支出3.67万元，比上年下降8.93%，其他能源消耗如食堂燃气费用支出保持相对稳定。</w:t>
      </w:r>
    </w:p>
    <w:p w14:paraId="4FA7A1A5">
      <w:pPr>
        <w:ind w:firstLine="800" w:firstLineChars="250"/>
        <w:rPr>
          <w:rFonts w:ascii="宋体" w:hAnsi="宋体"/>
          <w:sz w:val="32"/>
          <w:szCs w:val="32"/>
        </w:rPr>
      </w:pPr>
      <w:r>
        <w:rPr>
          <w:rFonts w:hint="eastAsia" w:ascii="宋体" w:hAnsi="宋体"/>
          <w:sz w:val="32"/>
          <w:szCs w:val="32"/>
        </w:rPr>
        <w:t>3、“三公”经费预算执行情况</w:t>
      </w:r>
    </w:p>
    <w:p w14:paraId="69FE9A6B">
      <w:pPr>
        <w:ind w:firstLine="800" w:firstLineChars="250"/>
        <w:rPr>
          <w:rFonts w:ascii="宋体" w:hAnsi="宋体"/>
          <w:sz w:val="32"/>
          <w:szCs w:val="32"/>
        </w:rPr>
      </w:pPr>
      <w:r>
        <w:rPr>
          <w:rFonts w:hint="eastAsia" w:ascii="宋体" w:hAnsi="宋体"/>
          <w:sz w:val="32"/>
          <w:szCs w:val="32"/>
        </w:rPr>
        <w:t>“三公”经费预、决算总体控制较好，预、决算数分别比上年增长6.36%，和减少14.42%（详见下图）</w:t>
      </w:r>
    </w:p>
    <w:p w14:paraId="6C2EE6D9">
      <w:pPr>
        <w:jc w:val="center"/>
        <w:rPr>
          <w:rFonts w:ascii="宋体" w:hAnsi="宋体"/>
          <w:sz w:val="32"/>
          <w:szCs w:val="32"/>
        </w:rPr>
      </w:pPr>
      <w:r>
        <w:rPr>
          <w:rFonts w:ascii="宋体" w:hAnsi="宋体"/>
          <w:sz w:val="32"/>
          <w:szCs w:val="32"/>
        </w:rPr>
        <w:pict>
          <v:shape id="_x0000_s1035" o:spid="_x0000_s1035" o:spt="75" type="#_x0000_t75" style="position:absolute;left:0pt;margin-left:-14.8pt;margin-top:248.45pt;height:174.95pt;width:437.6pt;mso-wrap-distance-bottom:0pt;mso-wrap-distance-top:0pt;z-index:251659264;mso-width-relative:page;mso-height-relative:page;" o:ole="t" filled="f" o:preferrelative="t" stroked="f" coordsize="21600,21600">
            <v:path/>
            <v:fill on="f" focussize="0,0"/>
            <v:stroke on="f" joinstyle="miter"/>
            <v:imagedata r:id="rId21" o:title=""/>
            <o:lock v:ext="edit" aspectratio="t"/>
            <w10:wrap type="topAndBottom"/>
          </v:shape>
          <o:OLEObject Type="Embed" ProgID="MSGraph.Chart.8" ShapeID="_x0000_s1035" DrawAspect="Content" ObjectID="_1468075732" r:id="rId20">
            <o:LockedField>false</o:LockedField>
          </o:OLEObject>
        </w:pict>
      </w:r>
      <w:r>
        <w:rPr>
          <w:rFonts w:ascii="宋体" w:hAnsi="宋体"/>
          <w:sz w:val="32"/>
          <w:szCs w:val="32"/>
        </w:rPr>
        <w:pict>
          <v:shape id="_x0000_s1036" o:spid="_x0000_s1036" o:spt="75" type="#_x0000_t75" style="position:absolute;left:0pt;margin-left:-20.25pt;margin-top:0.7pt;height:188.55pt;width:432.45pt;mso-wrap-distance-bottom:0pt;mso-wrap-distance-top:0pt;z-index:251659264;mso-width-relative:page;mso-height-relative:page;" o:ole="t" filled="f" o:preferrelative="t" stroked="f" coordsize="21600,21600">
            <v:path/>
            <v:fill on="f" focussize="0,0"/>
            <v:stroke on="f" joinstyle="miter"/>
            <v:imagedata r:id="rId23" o:title=""/>
            <o:lock v:ext="edit" aspectratio="t"/>
            <w10:wrap type="topAndBottom"/>
          </v:shape>
          <o:OLEObject Type="Embed" ProgID="MSGraph.Chart.8" ShapeID="_x0000_s1036" DrawAspect="Content" ObjectID="_1468075733" r:id="rId22">
            <o:LockedField>false</o:LockedField>
          </o:OLEObject>
        </w:pict>
      </w:r>
      <w:r>
        <w:rPr>
          <w:rFonts w:hint="eastAsia" w:ascii="宋体" w:hAnsi="宋体"/>
          <w:sz w:val="32"/>
          <w:szCs w:val="32"/>
        </w:rPr>
        <w:t>“三公”经费预算对比图</w:t>
      </w:r>
    </w:p>
    <w:p w14:paraId="1C55FCEB">
      <w:pPr>
        <w:jc w:val="center"/>
        <w:rPr>
          <w:rFonts w:ascii="宋体" w:hAnsi="宋体"/>
          <w:sz w:val="32"/>
          <w:szCs w:val="32"/>
        </w:rPr>
      </w:pPr>
      <w:r>
        <w:rPr>
          <w:rFonts w:hint="eastAsia" w:ascii="宋体" w:hAnsi="宋体"/>
          <w:sz w:val="32"/>
          <w:szCs w:val="32"/>
        </w:rPr>
        <w:t xml:space="preserve"> “三公”经费决算对比图</w:t>
      </w:r>
    </w:p>
    <w:p w14:paraId="567BE6B4">
      <w:pPr>
        <w:rPr>
          <w:rFonts w:ascii="宋体" w:hAnsi="宋体"/>
          <w:sz w:val="32"/>
          <w:szCs w:val="32"/>
        </w:rPr>
      </w:pPr>
      <w:r>
        <w:rPr>
          <w:rFonts w:hint="eastAsia" w:ascii="宋体" w:hAnsi="宋体"/>
          <w:sz w:val="32"/>
          <w:szCs w:val="32"/>
        </w:rPr>
        <w:t xml:space="preserve">    “三公”经费中的“公务车运行维护费”预算数比上年有所增加，主要是考虑到上年决算支出情况和当年重点工作情况；决算数有所减少是因为预算支出控制较好。</w:t>
      </w:r>
    </w:p>
    <w:p w14:paraId="62EA048B">
      <w:pPr>
        <w:ind w:firstLine="480" w:firstLineChars="150"/>
        <w:rPr>
          <w:rFonts w:ascii="宋体" w:hAnsi="宋体"/>
          <w:sz w:val="32"/>
          <w:szCs w:val="32"/>
        </w:rPr>
      </w:pPr>
      <w:r>
        <w:rPr>
          <w:rFonts w:hint="eastAsia" w:ascii="宋体" w:hAnsi="宋体"/>
          <w:sz w:val="32"/>
          <w:szCs w:val="32"/>
        </w:rPr>
        <w:t>（三）部门综合管理情况</w:t>
      </w:r>
    </w:p>
    <w:p w14:paraId="6D2602E4">
      <w:pPr>
        <w:ind w:firstLine="630"/>
        <w:rPr>
          <w:rFonts w:ascii="宋体" w:hAnsi="宋体"/>
          <w:sz w:val="32"/>
          <w:szCs w:val="32"/>
        </w:rPr>
      </w:pPr>
      <w:r>
        <w:rPr>
          <w:rFonts w:hint="eastAsia" w:ascii="宋体" w:hAnsi="宋体"/>
          <w:sz w:val="32"/>
          <w:szCs w:val="32"/>
        </w:rPr>
        <w:t>2020年部门预算支出坚持“保基本、保运转、保稳定”的原则，强化财政预算支出绩效，严格按照“先有预算、后有支出”的总体要求，严格支出管理，从严控制支出。</w:t>
      </w:r>
    </w:p>
    <w:p w14:paraId="6557444A">
      <w:pPr>
        <w:ind w:firstLine="787" w:firstLineChars="246"/>
        <w:rPr>
          <w:rFonts w:ascii="宋体" w:hAnsi="宋体"/>
          <w:sz w:val="32"/>
          <w:szCs w:val="32"/>
        </w:rPr>
      </w:pPr>
      <w:r>
        <w:rPr>
          <w:rFonts w:hint="eastAsia" w:ascii="宋体" w:hAnsi="宋体"/>
          <w:sz w:val="32"/>
          <w:szCs w:val="32"/>
        </w:rPr>
        <w:t>1、严格执行新《预算法》和财政部《关于将预算外资金管理的收入纳入预算管理的通知》（财预〔2010〕88号）精神，加强非税收入征缴管理，确保应收尽收，无截留、挤占、挪用等现象。2020年代收到川西采气厂占地及青苗补偿金1.04万元，已全额缴入非税收入代管资金专户，无坐收坐支现象。</w:t>
      </w:r>
    </w:p>
    <w:p w14:paraId="0162CD22">
      <w:pPr>
        <w:ind w:firstLine="787" w:firstLineChars="246"/>
        <w:rPr>
          <w:rFonts w:ascii="宋体" w:hAnsi="宋体"/>
          <w:sz w:val="32"/>
          <w:szCs w:val="32"/>
        </w:rPr>
      </w:pPr>
      <w:r>
        <w:rPr>
          <w:rFonts w:hint="eastAsia" w:ascii="宋体" w:hAnsi="宋体"/>
          <w:sz w:val="32"/>
          <w:szCs w:val="32"/>
        </w:rPr>
        <w:t>2、加强政府性债务管理，确保不产生新的债务。近几年来，部门没有发生新增债务，既没有直接债务和担保性债务，也没有发生拖欠工程项目款的情况。</w:t>
      </w:r>
    </w:p>
    <w:p w14:paraId="18CDDB79">
      <w:pPr>
        <w:ind w:firstLine="787" w:firstLineChars="246"/>
        <w:rPr>
          <w:rFonts w:ascii="宋体" w:hAnsi="宋体"/>
          <w:sz w:val="32"/>
          <w:szCs w:val="32"/>
        </w:rPr>
      </w:pPr>
      <w:r>
        <w:rPr>
          <w:rFonts w:hint="eastAsia" w:ascii="宋体" w:hAnsi="宋体"/>
          <w:sz w:val="32"/>
          <w:szCs w:val="32"/>
        </w:rPr>
        <w:t>3、严格政府采购管理，按照政府采购相关文件规定，严格执行采购目录清单和采购程序。2020年，部门政府采购支出0.62万元，其中，公务车保险费采购支出0.30万元，办公设备采购支出0.32万元。</w:t>
      </w:r>
    </w:p>
    <w:p w14:paraId="6E270420">
      <w:pPr>
        <w:ind w:firstLine="787" w:firstLineChars="246"/>
        <w:rPr>
          <w:rFonts w:ascii="宋体" w:hAnsi="宋体"/>
          <w:sz w:val="32"/>
          <w:szCs w:val="32"/>
        </w:rPr>
      </w:pPr>
      <w:r>
        <w:rPr>
          <w:rFonts w:hint="eastAsia" w:ascii="宋体" w:hAnsi="宋体"/>
          <w:sz w:val="32"/>
          <w:szCs w:val="32"/>
        </w:rPr>
        <w:t>4、加强部门国有资产管理，特别是使用管理的固定资产日常管理与维护，所有及时资产录入资产管理系统进行管理，并按要求报送资产报表，每年年末组织专门人员开展资产清查，确保账实相符。2020年末资产总额3541.02万元，其中，单位使用管理的固定资产总额（原值）1227.77万元，累计折旧389.35万元，年末固定资产净值838.42万元。</w:t>
      </w:r>
    </w:p>
    <w:p w14:paraId="0FEC57A4">
      <w:pPr>
        <w:ind w:firstLine="787" w:firstLineChars="246"/>
        <w:rPr>
          <w:rFonts w:ascii="宋体" w:hAnsi="宋体"/>
          <w:sz w:val="32"/>
          <w:szCs w:val="32"/>
        </w:rPr>
      </w:pPr>
      <w:r>
        <w:rPr>
          <w:rFonts w:hint="eastAsia" w:ascii="宋体" w:hAnsi="宋体"/>
          <w:sz w:val="32"/>
          <w:szCs w:val="32"/>
        </w:rPr>
        <w:t>5、加强财政信息公开工作。一是财政预、决算公开，财政预算经上级主管部门批复后，按照统一规定的时间、公开表格式和公开说明等内容，在政府门户网站公开。部门决算按照上级统一规定及时公开。二是公开财政专项资金分配、开支范围、使用管理要求和项目绩效等内容通过政府信息公开栏及时公开。</w:t>
      </w:r>
    </w:p>
    <w:p w14:paraId="379D2076">
      <w:pPr>
        <w:ind w:firstLine="787" w:firstLineChars="246"/>
        <w:rPr>
          <w:rFonts w:ascii="宋体" w:hAnsi="宋体"/>
          <w:sz w:val="32"/>
          <w:szCs w:val="32"/>
        </w:rPr>
      </w:pPr>
      <w:r>
        <w:rPr>
          <w:rFonts w:hint="eastAsia" w:ascii="宋体" w:hAnsi="宋体"/>
          <w:sz w:val="32"/>
          <w:szCs w:val="32"/>
        </w:rPr>
        <w:t>6、认真接受上级财政和相关职能部门监督检查。2020年，接受区民政局对下拨至本部门的民政专项资金使用管理情况监督检查2次，对本部门加强民政专项资金使用管理工作给予肯定；接受区财政局对本部门政府采购和财政票据管理工作进行专项监督检查，；接受上级相关部门对防疫物资采购，贫困地区农产品采购工作进行了专项检查，对发现的问题提出了整改要求，按照要求及时落实了整改措施。</w:t>
      </w:r>
    </w:p>
    <w:p w14:paraId="40CCC805">
      <w:pPr>
        <w:ind w:firstLine="640"/>
        <w:rPr>
          <w:rFonts w:ascii="宋体" w:hAnsi="宋体"/>
          <w:sz w:val="32"/>
          <w:szCs w:val="32"/>
        </w:rPr>
      </w:pPr>
      <w:r>
        <w:rPr>
          <w:rFonts w:hint="eastAsia" w:ascii="宋体" w:hAnsi="宋体"/>
          <w:sz w:val="32"/>
          <w:szCs w:val="32"/>
        </w:rPr>
        <w:t>（四）部门整体绩效评价情况</w:t>
      </w:r>
    </w:p>
    <w:p w14:paraId="09BCBAF1">
      <w:pPr>
        <w:ind w:firstLine="640"/>
        <w:rPr>
          <w:rFonts w:ascii="宋体" w:hAnsi="宋体"/>
          <w:sz w:val="32"/>
          <w:szCs w:val="32"/>
        </w:rPr>
      </w:pPr>
      <w:r>
        <w:rPr>
          <w:rFonts w:hint="eastAsia" w:ascii="宋体" w:hAnsi="宋体"/>
          <w:sz w:val="32"/>
          <w:szCs w:val="32"/>
        </w:rPr>
        <w:t>部门支出绩效从基本预算支出和专项预算项目支出反映。基本预算支出注重行政运行保障、机关厉行节约、节能降耗等方面；专项预算项目支出注重资金绩效分配、项目资金绩效管理、绩效目标完成及效益等方面评价，部门整体绩效量化评价得分83.5分。</w:t>
      </w:r>
    </w:p>
    <w:p w14:paraId="3EFBC310">
      <w:pPr>
        <w:ind w:firstLine="640"/>
        <w:rPr>
          <w:rFonts w:ascii="宋体" w:hAnsi="宋体"/>
          <w:sz w:val="32"/>
          <w:szCs w:val="32"/>
        </w:rPr>
      </w:pPr>
      <w:r>
        <w:rPr>
          <w:rFonts w:hint="eastAsia" w:ascii="宋体" w:hAnsi="宋体"/>
          <w:sz w:val="32"/>
          <w:szCs w:val="32"/>
        </w:rPr>
        <w:t>1、部门基本支出绩效情况</w:t>
      </w:r>
    </w:p>
    <w:p w14:paraId="5E5B3F79">
      <w:pPr>
        <w:ind w:firstLine="480" w:firstLineChars="150"/>
        <w:rPr>
          <w:rFonts w:ascii="宋体" w:hAnsi="宋体"/>
          <w:sz w:val="32"/>
          <w:szCs w:val="32"/>
        </w:rPr>
      </w:pPr>
      <w:r>
        <w:rPr>
          <w:rFonts w:hint="eastAsia" w:ascii="宋体" w:hAnsi="宋体"/>
          <w:sz w:val="32"/>
          <w:szCs w:val="32"/>
        </w:rPr>
        <w:t>（1）行政运行保障情况</w:t>
      </w:r>
    </w:p>
    <w:p w14:paraId="41033232">
      <w:pPr>
        <w:ind w:firstLine="640" w:firstLineChars="200"/>
        <w:rPr>
          <w:rFonts w:ascii="宋体" w:hAnsi="宋体"/>
          <w:sz w:val="32"/>
          <w:szCs w:val="32"/>
        </w:rPr>
      </w:pPr>
      <w:r>
        <w:rPr>
          <w:rFonts w:hint="eastAsia" w:ascii="宋体" w:hAnsi="宋体"/>
          <w:sz w:val="32"/>
          <w:szCs w:val="32"/>
        </w:rPr>
        <w:t>行政运行保障：一是保障机关正常运转，即开门办公；二是保障人员经费落实，不拖欠职工工资；三是保障离（退）休人员经费；四是保障民生支出和维护社会稳定。</w:t>
      </w:r>
    </w:p>
    <w:p w14:paraId="500EF869">
      <w:pPr>
        <w:ind w:firstLine="800" w:firstLineChars="250"/>
        <w:rPr>
          <w:rFonts w:ascii="宋体" w:hAnsi="宋体"/>
          <w:sz w:val="32"/>
          <w:szCs w:val="32"/>
        </w:rPr>
      </w:pPr>
      <w:r>
        <w:rPr>
          <w:rFonts w:hint="eastAsia" w:ascii="宋体" w:hAnsi="宋体"/>
          <w:sz w:val="32"/>
          <w:szCs w:val="32"/>
        </w:rPr>
        <w:t>2020年，部门运转正常、有序，各项工作开展顺利，没有发生因经费不落实而造成怠工、信访、安全稳定等事件。部门及各职能办公室履行职能职责情况较好，较好的完成了部门年度目标任务。</w:t>
      </w:r>
    </w:p>
    <w:p w14:paraId="3677F01D">
      <w:pPr>
        <w:ind w:firstLine="640" w:firstLineChars="200"/>
        <w:rPr>
          <w:rFonts w:ascii="宋体" w:hAnsi="宋体"/>
          <w:sz w:val="32"/>
          <w:szCs w:val="32"/>
        </w:rPr>
      </w:pPr>
      <w:r>
        <w:rPr>
          <w:rFonts w:hint="eastAsia" w:ascii="宋体" w:hAnsi="宋体"/>
          <w:sz w:val="32"/>
          <w:szCs w:val="32"/>
        </w:rPr>
        <w:t>（2）机关厉行节约情况</w:t>
      </w:r>
    </w:p>
    <w:p w14:paraId="520C1B57">
      <w:pPr>
        <w:ind w:firstLine="800" w:firstLineChars="250"/>
        <w:rPr>
          <w:rFonts w:ascii="宋体" w:hAnsi="宋体"/>
          <w:sz w:val="32"/>
          <w:szCs w:val="32"/>
        </w:rPr>
      </w:pPr>
      <w:r>
        <w:rPr>
          <w:rFonts w:hint="eastAsia" w:ascii="宋体" w:hAnsi="宋体"/>
          <w:sz w:val="32"/>
          <w:szCs w:val="32"/>
        </w:rPr>
        <w:t>努力压缩和控制“三公”经费、会议费、培训费、差旅费等日常公用经费开支，建设节约、廉洁、清明政府，提高财政资金使用效率。</w:t>
      </w:r>
    </w:p>
    <w:p w14:paraId="2EFAF842">
      <w:pPr>
        <w:ind w:firstLine="640"/>
        <w:rPr>
          <w:rFonts w:ascii="宋体" w:hAnsi="宋体"/>
          <w:sz w:val="32"/>
          <w:szCs w:val="32"/>
        </w:rPr>
      </w:pPr>
      <w:r>
        <w:rPr>
          <w:rFonts w:hint="eastAsia" w:ascii="宋体" w:hAnsi="宋体"/>
          <w:sz w:val="32"/>
          <w:szCs w:val="32"/>
        </w:rPr>
        <w:t>（3）部门重点工作完成情况</w:t>
      </w:r>
    </w:p>
    <w:p w14:paraId="0D50B066">
      <w:pPr>
        <w:widowControl/>
        <w:spacing w:line="600" w:lineRule="exact"/>
        <w:ind w:firstLine="640" w:firstLineChars="200"/>
        <w:rPr>
          <w:rFonts w:ascii="宋体" w:hAnsi="宋体"/>
          <w:sz w:val="32"/>
          <w:szCs w:val="32"/>
        </w:rPr>
      </w:pPr>
      <w:r>
        <w:rPr>
          <w:rFonts w:hint="eastAsia" w:ascii="宋体" w:hAnsi="宋体"/>
          <w:sz w:val="32"/>
          <w:szCs w:val="32"/>
        </w:rPr>
        <w:t>2020年，我们坚持高质量发展要求，着力统筹疫情防控和经济社会发展各项工作，经济社会发展保持和谐稳定。</w:t>
      </w:r>
    </w:p>
    <w:p w14:paraId="0D8DDABC">
      <w:pPr>
        <w:widowControl/>
        <w:spacing w:line="600" w:lineRule="exact"/>
        <w:ind w:firstLine="643" w:firstLineChars="200"/>
        <w:rPr>
          <w:rFonts w:ascii="宋体" w:hAnsi="宋体"/>
          <w:sz w:val="32"/>
          <w:szCs w:val="32"/>
        </w:rPr>
      </w:pPr>
      <w:r>
        <w:rPr>
          <w:rFonts w:hint="eastAsia" w:ascii="宋体" w:hAnsi="宋体" w:cs="楷体_GB2312"/>
          <w:b/>
          <w:bCs/>
          <w:sz w:val="32"/>
          <w:szCs w:val="32"/>
        </w:rPr>
        <w:t xml:space="preserve"> 决战决胜脱贫攻坚。</w:t>
      </w:r>
      <w:r>
        <w:rPr>
          <w:rFonts w:hint="eastAsia" w:ascii="宋体" w:hAnsi="宋体"/>
          <w:sz w:val="32"/>
          <w:szCs w:val="32"/>
        </w:rPr>
        <w:t>众志成城打好脱贫攻坚收官之战。聚焦“两不愁三保障”问题，确保一户都不能漏、一项都不能少，全镇贫困户家庭人均纯收入均超过5000元，新改建农村CD级危房121户。认真落实“周三”走访帮扶工作制度，强化返贫监测和动态帮扶，扎实推进消费扶贫，认真开展就业扶贫，新开发农村公益性岗位112个，申报贫困户就业奖补163人。圆满完成“百日会战”“问题整改清零”省级脱贫攻坚调查等重点工作任务，代表全区顺利迎接全省交叉检查。</w:t>
      </w:r>
    </w:p>
    <w:p w14:paraId="69EEBB36">
      <w:pPr>
        <w:spacing w:line="600" w:lineRule="exact"/>
        <w:ind w:firstLine="640"/>
        <w:rPr>
          <w:rFonts w:ascii="宋体" w:hAnsi="宋体"/>
          <w:sz w:val="32"/>
          <w:szCs w:val="32"/>
        </w:rPr>
      </w:pPr>
      <w:r>
        <w:rPr>
          <w:rFonts w:hint="eastAsia" w:ascii="宋体" w:hAnsi="宋体" w:cs="楷体_GB2312"/>
          <w:b/>
          <w:bCs/>
          <w:sz w:val="32"/>
          <w:szCs w:val="32"/>
        </w:rPr>
        <w:t>生态环境持续改善。</w:t>
      </w:r>
      <w:r>
        <w:rPr>
          <w:rFonts w:hint="eastAsia" w:ascii="宋体" w:hAnsi="宋体"/>
          <w:sz w:val="32"/>
          <w:szCs w:val="32"/>
        </w:rPr>
        <w:t>攻坚克难推进厕所革命，4个厕所革命示范村新改建户厕553个，三格化粪池668个。以镇村干部为主，对新改建厕所进行全覆盖验收，确保国家民生工程变成民心工程。完成全镇29家固定污染源企业发证和登记工作。处理环保信访问题13件，取缔涉事养殖场1处，整改5处。大力推进河湖长制工作，基本整改完毕东河排污口，改造升级垃圾中转站。严管砂石资源，开展巡查16次，柳树河项目进展顺利。</w:t>
      </w:r>
    </w:p>
    <w:p w14:paraId="226DD20A">
      <w:pPr>
        <w:spacing w:line="600" w:lineRule="exact"/>
        <w:ind w:firstLine="640"/>
        <w:rPr>
          <w:rFonts w:ascii="宋体" w:hAnsi="宋体"/>
          <w:sz w:val="32"/>
          <w:szCs w:val="32"/>
        </w:rPr>
      </w:pPr>
      <w:r>
        <w:rPr>
          <w:rFonts w:hint="eastAsia" w:ascii="宋体" w:hAnsi="宋体" w:cs="楷体_GB2312"/>
          <w:b/>
          <w:bCs/>
          <w:sz w:val="32"/>
          <w:szCs w:val="32"/>
        </w:rPr>
        <w:t>扎实推进乡村振兴。</w:t>
      </w:r>
      <w:r>
        <w:rPr>
          <w:rFonts w:hint="eastAsia" w:ascii="宋体" w:hAnsi="宋体"/>
          <w:sz w:val="32"/>
          <w:szCs w:val="32"/>
        </w:rPr>
        <w:t>略坪镇被评为全市实施乡村振兴战略示范镇。持续巩固产业基础，启动6个现代特色农业示范区建设，涉及8个村，青豆产业稳定在8000亩左右，翠冠梨产业达到3500亩左右，建成区级蔬菜园区1个。新型主体持续壮大，培育家庭农场147户，壮大专合社23个，新创省级示范社1个、市级示范社2个，发展职业农民203名。松花村、联丰村入选发展壮大村集体经济试点，各将得到100万元资金支持。</w:t>
      </w:r>
    </w:p>
    <w:p w14:paraId="37AB259E">
      <w:pPr>
        <w:widowControl/>
        <w:spacing w:line="600" w:lineRule="exact"/>
        <w:ind w:firstLine="643" w:firstLineChars="200"/>
        <w:rPr>
          <w:rFonts w:ascii="宋体" w:hAnsi="宋体"/>
          <w:sz w:val="32"/>
          <w:szCs w:val="32"/>
        </w:rPr>
      </w:pPr>
      <w:r>
        <w:rPr>
          <w:rFonts w:hint="eastAsia" w:ascii="宋体" w:hAnsi="宋体" w:cs="楷体_GB2312"/>
          <w:b/>
          <w:bCs/>
          <w:sz w:val="32"/>
          <w:szCs w:val="32"/>
        </w:rPr>
        <w:t>持续改善民生福祉。</w:t>
      </w:r>
      <w:r>
        <w:rPr>
          <w:rFonts w:hint="eastAsia" w:ascii="宋体" w:hAnsi="宋体"/>
          <w:sz w:val="32"/>
          <w:szCs w:val="32"/>
        </w:rPr>
        <w:t>扎实办好民生实事，学前教育普及率100%，义务教育普及率100%，城乡居民养老保险累覆盖率98%。完成全国文明城市创建任务，成功创建省级卫生镇、省级卫生村2个，成功创建市级文明村2个。成功应对年初冬干、春旱、初夏连续罕见旱情和“8.11”“8.16”特大暴雨洪涝灾害，协调保险公司人员对全镇17250亩受灾农作物进行核实登记，做到应赔尽赔。顺利通过国家血防阻断达标验收，略坪学校书画作品得到高度评价。略坪镇自来水厂开工建设，设计日供水量2000立方。开展安全检查和隐患排查120余次。</w:t>
      </w:r>
    </w:p>
    <w:p w14:paraId="393D929D">
      <w:pPr>
        <w:widowControl/>
        <w:spacing w:line="600" w:lineRule="exact"/>
        <w:ind w:firstLine="643" w:firstLineChars="200"/>
        <w:rPr>
          <w:rFonts w:ascii="宋体" w:hAnsi="宋体"/>
          <w:sz w:val="32"/>
          <w:szCs w:val="32"/>
        </w:rPr>
      </w:pPr>
      <w:r>
        <w:rPr>
          <w:rFonts w:hint="eastAsia" w:ascii="宋体" w:hAnsi="宋体" w:cs="楷体_GB2312"/>
          <w:b/>
          <w:bCs/>
          <w:sz w:val="32"/>
          <w:szCs w:val="32"/>
        </w:rPr>
        <w:t>大力改善基础设施。</w:t>
      </w:r>
      <w:r>
        <w:rPr>
          <w:rFonts w:hint="eastAsia" w:ascii="宋体" w:hAnsi="宋体"/>
          <w:sz w:val="32"/>
          <w:szCs w:val="32"/>
        </w:rPr>
        <w:t>着力稳定固定资产投资，全年预计完成投资1.4亿元，增涨16%，绵远河河堤改造、中石化新蓬23-1号井钻井工程等一批重大项目进展顺利，蔬菜园区彩油路成为群众健身热点线路。稳步启动广安村、高玉村和隐逸山村土地增减挂钩项目，收集群众申请800余份，完成新村聚居点的规划及建修方案，项目竣工后将彻底改变项目村的发展格局。有序补齐农业生产短板，开展河道清淤10公里，新建前龙4队、原同乐1队等大型提灌站，总投资600万元的高标准农田项目完成设计，全省领先的水稻育秧中心项目正式启动，建成后可承担1.5万亩的育秧任务。</w:t>
      </w:r>
    </w:p>
    <w:p w14:paraId="71027652">
      <w:pPr>
        <w:spacing w:line="600" w:lineRule="exact"/>
        <w:ind w:firstLine="640"/>
        <w:rPr>
          <w:rFonts w:ascii="宋体" w:hAnsi="宋体"/>
          <w:sz w:val="32"/>
          <w:szCs w:val="32"/>
        </w:rPr>
      </w:pPr>
      <w:r>
        <w:rPr>
          <w:rFonts w:hint="eastAsia" w:ascii="宋体" w:hAnsi="宋体" w:cs="楷体_GB2312"/>
          <w:b/>
          <w:bCs/>
          <w:sz w:val="32"/>
          <w:szCs w:val="32"/>
        </w:rPr>
        <w:t>社会保持和谐稳定。</w:t>
      </w:r>
      <w:r>
        <w:rPr>
          <w:rFonts w:hint="eastAsia" w:ascii="宋体" w:hAnsi="宋体"/>
          <w:sz w:val="32"/>
          <w:szCs w:val="32"/>
        </w:rPr>
        <w:t>狠抓信访案件调查核实处理，实行一案一册，制定专项化解方案，范玉明信访案件、述吉农业羊肚菌涉访案件等一大批重点信访问题得到妥善解决。深入推进扫黑除恶专项斗争，严厉打击偷盗电瓶车、贩毒吸毒等违法犯罪行为。强力开展农村道路安全整治，在罗绵路、河黄路、略文路安装警示标志23个，全年未发生重特大道路安全事故。认真开展森林防火、安全生产、危化品等大检查，把人民群众生命健康放在第一位。</w:t>
      </w:r>
    </w:p>
    <w:p w14:paraId="5893EEB7">
      <w:pPr>
        <w:widowControl/>
        <w:spacing w:line="600" w:lineRule="exact"/>
        <w:ind w:firstLine="643" w:firstLineChars="200"/>
        <w:rPr>
          <w:rFonts w:ascii="宋体" w:hAnsi="宋体"/>
          <w:sz w:val="32"/>
          <w:szCs w:val="32"/>
        </w:rPr>
      </w:pPr>
      <w:r>
        <w:rPr>
          <w:rFonts w:hint="eastAsia" w:ascii="宋体" w:hAnsi="宋体" w:cs="楷体_GB2312"/>
          <w:b/>
          <w:bCs/>
          <w:sz w:val="32"/>
          <w:szCs w:val="32"/>
        </w:rPr>
        <w:t>深入推进政府建设。</w:t>
      </w:r>
      <w:r>
        <w:rPr>
          <w:rFonts w:hint="eastAsia" w:ascii="宋体" w:hAnsi="宋体"/>
          <w:sz w:val="32"/>
          <w:szCs w:val="32"/>
        </w:rPr>
        <w:t>把政治建设摆在首位，严格落实政府系统全面从严治党主体责任，力戒形式主义、官僚主义。严格落实中央八项规定及实施细则，以及省市区相关要求，持之以恒纠正“四风”，坚定不移抓好政府领域反腐工作。认真落实过“紧日子”要求，“三公”经费支出下降15.3%。大力落实上级“放管服”改革要求，不断提升政务服务效率和水平，提升群众满意度。自觉接受人大监督，办理人大代表建议4件、政协委员提案3件。加大村组“三资”公开监督检查力度，确保换届工作风清气正。</w:t>
      </w:r>
    </w:p>
    <w:p w14:paraId="0A56DB33">
      <w:pPr>
        <w:ind w:firstLine="800" w:firstLineChars="250"/>
        <w:rPr>
          <w:rFonts w:ascii="宋体" w:hAnsi="宋体"/>
          <w:sz w:val="32"/>
          <w:szCs w:val="32"/>
        </w:rPr>
      </w:pPr>
      <w:r>
        <w:rPr>
          <w:rFonts w:hint="eastAsia" w:ascii="宋体" w:hAnsi="宋体"/>
          <w:sz w:val="32"/>
          <w:szCs w:val="32"/>
        </w:rPr>
        <w:t>2、项目支出绩效情况</w:t>
      </w:r>
    </w:p>
    <w:p w14:paraId="2D5C226C">
      <w:pPr>
        <w:ind w:firstLine="640"/>
        <w:rPr>
          <w:rFonts w:ascii="宋体" w:hAnsi="宋体"/>
          <w:sz w:val="32"/>
          <w:szCs w:val="32"/>
        </w:rPr>
      </w:pPr>
      <w:r>
        <w:rPr>
          <w:rFonts w:hint="eastAsia" w:ascii="宋体" w:hAnsi="宋体"/>
          <w:sz w:val="32"/>
          <w:szCs w:val="32"/>
        </w:rPr>
        <w:t>（1）专项资金绩效分配</w:t>
      </w:r>
    </w:p>
    <w:p w14:paraId="0C48A391">
      <w:pPr>
        <w:ind w:firstLine="800" w:firstLineChars="250"/>
        <w:rPr>
          <w:rFonts w:ascii="Arial" w:hAnsi="Arial" w:cs="Arial"/>
          <w:sz w:val="32"/>
          <w:szCs w:val="32"/>
        </w:rPr>
      </w:pPr>
      <w:r>
        <w:rPr>
          <w:rFonts w:hint="eastAsia" w:ascii="宋体" w:hAnsi="宋体"/>
          <w:sz w:val="32"/>
          <w:szCs w:val="32"/>
        </w:rPr>
        <w:t>根据《四川省省级财政专项资金绩效分配管理暂行办法》之规定，坚持</w:t>
      </w:r>
      <w:r>
        <w:rPr>
          <w:rFonts w:ascii="宋体" w:hAnsi="宋体"/>
          <w:sz w:val="32"/>
          <w:szCs w:val="32"/>
        </w:rPr>
        <w:t>“科学规范、分类管理、协作制衡”的原则</w:t>
      </w:r>
      <w:r>
        <w:rPr>
          <w:rFonts w:hint="eastAsia" w:ascii="宋体" w:hAnsi="宋体"/>
          <w:sz w:val="32"/>
          <w:szCs w:val="32"/>
        </w:rPr>
        <w:t>，</w:t>
      </w:r>
      <w:r>
        <w:rPr>
          <w:rFonts w:ascii="Arial" w:hAnsi="Arial" w:cs="Arial"/>
          <w:sz w:val="32"/>
          <w:szCs w:val="32"/>
        </w:rPr>
        <w:t>加快建立健全专项资金绩效分配机制，采用规范化、制度化、科学化的分配手段，实现财政资源的有效配置。</w:t>
      </w:r>
    </w:p>
    <w:p w14:paraId="03B0849D">
      <w:pPr>
        <w:ind w:firstLine="640"/>
        <w:rPr>
          <w:rFonts w:ascii="宋体" w:hAnsi="宋体"/>
          <w:sz w:val="32"/>
          <w:szCs w:val="32"/>
        </w:rPr>
      </w:pPr>
      <w:r>
        <w:rPr>
          <w:rFonts w:hint="eastAsia" w:ascii="宋体" w:hAnsi="宋体"/>
          <w:sz w:val="32"/>
          <w:szCs w:val="32"/>
        </w:rPr>
        <w:t>（2）项目资金绩效管理</w:t>
      </w:r>
    </w:p>
    <w:p w14:paraId="555AA8CF">
      <w:pPr>
        <w:ind w:firstLine="800" w:firstLineChars="250"/>
        <w:rPr>
          <w:rFonts w:ascii="宋体" w:hAnsi="宋体"/>
          <w:sz w:val="32"/>
          <w:szCs w:val="32"/>
        </w:rPr>
      </w:pPr>
      <w:r>
        <w:rPr>
          <w:rFonts w:hint="eastAsia" w:ascii="宋体" w:hAnsi="宋体"/>
          <w:sz w:val="32"/>
          <w:szCs w:val="32"/>
        </w:rPr>
        <w:t>项目资金绩效管理坚持“确保重点，兼顾长远，绩效优先”的原则，制定项目资金管理办法，严格遵循专款专用，独立核算。专项资金使用范围、支付程序以及专项资金核算所涉及的经济科目等严格按照上级财政部门要求和相关财务管理制度规范执行；专项资金支付严格审核审批手续；专项资金项目涉及招投标、政府采购事项的，均严格按照有关规定办理，签订有关合同。同时，办理所采购物资验收入库、登记管理等手续。</w:t>
      </w:r>
    </w:p>
    <w:p w14:paraId="478B020A">
      <w:pPr>
        <w:ind w:firstLine="640"/>
        <w:rPr>
          <w:rFonts w:ascii="宋体" w:hAnsi="宋体"/>
          <w:sz w:val="32"/>
          <w:szCs w:val="32"/>
        </w:rPr>
      </w:pPr>
      <w:r>
        <w:rPr>
          <w:rFonts w:hint="eastAsia" w:ascii="宋体" w:hAnsi="宋体"/>
          <w:sz w:val="32"/>
          <w:szCs w:val="32"/>
        </w:rPr>
        <w:t>（3）项目绩效目标完成情况</w:t>
      </w:r>
    </w:p>
    <w:p w14:paraId="02CA5CDB">
      <w:pPr>
        <w:ind w:firstLine="800" w:firstLineChars="250"/>
        <w:rPr>
          <w:rFonts w:ascii="宋体" w:hAnsi="宋体"/>
          <w:sz w:val="32"/>
          <w:szCs w:val="32"/>
        </w:rPr>
      </w:pPr>
      <w:r>
        <w:rPr>
          <w:rFonts w:hint="eastAsia" w:ascii="宋体" w:hAnsi="宋体"/>
          <w:sz w:val="32"/>
          <w:szCs w:val="32"/>
        </w:rPr>
        <w:t>2020年专项预算资金支出项目有长效项目，也有短期项目。通过各项目实施，较好地完成了预期工作目标任务，取得了较好的经济效益和社会效益。如“安全社区建设、社会治安综合治理、道路交通安全与管理、地质灾害滑坡点治理”等项目实施，大大地提高了我镇广大群众安全意识和安全感，消除了安全隐患，保障了广大群众安全、方便出行，营造了良好的经济、社会发展环境。特别是“农村公共服务体系运行维护”这一长效项目的实施，很好的解决了公共服务设施“有钱建设，无钱维护管理”的局面，如农村道路、农田水利设施设备、文化体育设施设备、农村环境综合治理设施等。过去，因缺乏项目资金运行维护和管理，一旦遭受自然或人为损坏，造成项目设施无法正常运转，对此，群众抱怨，干部无奈，严重时影响到干群关系。随着该长效项目逐步实施，农村公共服务设施“有钱建设，无钱维护管理”的局面得到有效改善。</w:t>
      </w:r>
    </w:p>
    <w:p w14:paraId="62A88DAC">
      <w:pPr>
        <w:ind w:firstLine="640"/>
        <w:rPr>
          <w:rFonts w:ascii="宋体" w:hAnsi="宋体"/>
          <w:sz w:val="32"/>
          <w:szCs w:val="32"/>
        </w:rPr>
      </w:pPr>
      <w:r>
        <w:rPr>
          <w:rFonts w:hint="eastAsia" w:ascii="宋体" w:hAnsi="宋体"/>
          <w:sz w:val="32"/>
          <w:szCs w:val="32"/>
        </w:rPr>
        <w:t>3、部门财务管理与制度建设情况</w:t>
      </w:r>
    </w:p>
    <w:p w14:paraId="2B54F1F3">
      <w:pPr>
        <w:ind w:firstLine="640"/>
        <w:rPr>
          <w:rFonts w:ascii="宋体" w:hAnsi="宋体"/>
          <w:sz w:val="32"/>
          <w:szCs w:val="32"/>
        </w:rPr>
      </w:pPr>
      <w:r>
        <w:rPr>
          <w:rFonts w:hint="eastAsia" w:ascii="宋体" w:hAnsi="宋体"/>
          <w:sz w:val="32"/>
          <w:szCs w:val="32"/>
        </w:rPr>
        <w:t>按照财政改革和精细化管理要求，本部门建立健全了相关财务管理制度，2020年初，先后修改完善了《略坪镇人民政府机关财务管理制度》、《略坪镇机关财务管理实施办法》、《略坪镇人民政府财政专项资金管理制度》和《略坪镇财政票据管理制度》等。同时，将相关财务管理制度和财政所岗位职责上墙公示，接受监督。</w:t>
      </w:r>
    </w:p>
    <w:p w14:paraId="240A9EF7">
      <w:pPr>
        <w:ind w:firstLine="640"/>
        <w:rPr>
          <w:rFonts w:ascii="宋体" w:hAnsi="宋体"/>
          <w:sz w:val="32"/>
          <w:szCs w:val="32"/>
        </w:rPr>
      </w:pPr>
      <w:r>
        <w:rPr>
          <w:rFonts w:hint="eastAsia" w:ascii="宋体" w:hAnsi="宋体"/>
          <w:sz w:val="32"/>
          <w:szCs w:val="32"/>
        </w:rPr>
        <w:t>新形势下，随着深化财政体制改革，财政监管水平提高适应财政工作精细化管理要求，本部门将进一步修订完善相关财务管理制度，加强各项制度建设。</w:t>
      </w:r>
    </w:p>
    <w:p w14:paraId="7CA6294A">
      <w:pPr>
        <w:ind w:firstLine="640"/>
        <w:rPr>
          <w:rFonts w:ascii="宋体" w:hAnsi="宋体"/>
          <w:sz w:val="32"/>
          <w:szCs w:val="32"/>
        </w:rPr>
      </w:pPr>
      <w:r>
        <w:rPr>
          <w:rFonts w:hint="eastAsia" w:ascii="宋体" w:hAnsi="宋体"/>
          <w:sz w:val="32"/>
          <w:szCs w:val="32"/>
        </w:rPr>
        <w:t>本部门为政府行政单位，会计核算执行《政府会计准则制度》。组织会计核算工作，本部门严格按照《政府会计制度》规定设置会计账簿、开列会计账户和设置会计科目。并依照《政府会计准则制度》规定的会计科目核算内容进行分类记账、算账、报账和编制会计报表。</w:t>
      </w:r>
    </w:p>
    <w:p w14:paraId="40AD3C65">
      <w:pPr>
        <w:ind w:firstLine="640"/>
        <w:rPr>
          <w:rFonts w:ascii="宋体" w:hAnsi="宋体"/>
          <w:sz w:val="32"/>
          <w:szCs w:val="32"/>
        </w:rPr>
      </w:pPr>
      <w:r>
        <w:rPr>
          <w:rFonts w:hint="eastAsia" w:ascii="宋体" w:hAnsi="宋体"/>
          <w:sz w:val="32"/>
          <w:szCs w:val="32"/>
        </w:rPr>
        <w:t>单位所有收入全部纳入预算管理，坚持“先有预算，后有支出”的原则，严格执行部门预算管理。</w:t>
      </w:r>
    </w:p>
    <w:p w14:paraId="4398625E">
      <w:pPr>
        <w:ind w:firstLine="640"/>
        <w:rPr>
          <w:rFonts w:ascii="宋体" w:hAnsi="宋体"/>
          <w:sz w:val="32"/>
          <w:szCs w:val="32"/>
        </w:rPr>
      </w:pPr>
      <w:r>
        <w:rPr>
          <w:rFonts w:hint="eastAsia" w:ascii="宋体" w:hAnsi="宋体"/>
          <w:sz w:val="32"/>
          <w:szCs w:val="32"/>
        </w:rPr>
        <w:t>单位所有收支全部纳入账内核算，无账外账。</w:t>
      </w:r>
    </w:p>
    <w:p w14:paraId="5C772E5D">
      <w:pPr>
        <w:ind w:firstLine="640"/>
        <w:rPr>
          <w:rFonts w:ascii="宋体" w:hAnsi="宋体"/>
          <w:sz w:val="32"/>
          <w:szCs w:val="32"/>
        </w:rPr>
      </w:pPr>
      <w:r>
        <w:rPr>
          <w:rFonts w:hint="eastAsia" w:ascii="宋体" w:hAnsi="宋体"/>
          <w:sz w:val="32"/>
          <w:szCs w:val="32"/>
        </w:rPr>
        <w:t>加强银行账户管理，开立银行账户严格按照上级财政部门规定执行，并报请上级财政部门批准。</w:t>
      </w:r>
    </w:p>
    <w:p w14:paraId="7F290054">
      <w:pPr>
        <w:ind w:firstLine="640"/>
        <w:rPr>
          <w:rFonts w:ascii="宋体" w:hAnsi="宋体"/>
          <w:sz w:val="32"/>
          <w:szCs w:val="32"/>
        </w:rPr>
      </w:pPr>
      <w:r>
        <w:rPr>
          <w:rFonts w:hint="eastAsia" w:ascii="宋体" w:hAnsi="宋体"/>
          <w:sz w:val="32"/>
          <w:szCs w:val="32"/>
        </w:rPr>
        <w:t>加强财政资金支付管理，强化国库集中支付，提高直接支付比例。2020年，门预算资金国库集中支付比例达89.23%，确保了财政资金安全性，提高了资金使用效率。</w:t>
      </w:r>
    </w:p>
    <w:p w14:paraId="0784C7A4">
      <w:pPr>
        <w:ind w:firstLine="800" w:firstLineChars="250"/>
        <w:rPr>
          <w:rFonts w:ascii="宋体" w:hAnsi="宋体"/>
          <w:sz w:val="32"/>
          <w:szCs w:val="32"/>
        </w:rPr>
      </w:pPr>
      <w:r>
        <w:rPr>
          <w:rFonts w:hint="eastAsia" w:ascii="宋体" w:hAnsi="宋体"/>
          <w:sz w:val="32"/>
          <w:szCs w:val="32"/>
        </w:rPr>
        <w:t>4、绩效评价开展情况</w:t>
      </w:r>
    </w:p>
    <w:p w14:paraId="7BECCFA2">
      <w:pPr>
        <w:ind w:firstLine="640"/>
        <w:rPr>
          <w:rFonts w:ascii="宋体" w:hAnsi="宋体"/>
          <w:sz w:val="32"/>
          <w:szCs w:val="32"/>
        </w:rPr>
      </w:pPr>
      <w:r>
        <w:rPr>
          <w:rFonts w:hint="eastAsia" w:ascii="宋体" w:hAnsi="宋体"/>
          <w:sz w:val="32"/>
          <w:szCs w:val="32"/>
        </w:rPr>
        <w:t>（1）绩效评价目的</w:t>
      </w:r>
    </w:p>
    <w:p w14:paraId="0FB98BD9">
      <w:pPr>
        <w:ind w:firstLine="640"/>
        <w:rPr>
          <w:rFonts w:ascii="宋体" w:hAnsi="宋体"/>
          <w:sz w:val="32"/>
          <w:szCs w:val="32"/>
        </w:rPr>
      </w:pPr>
      <w:r>
        <w:rPr>
          <w:rFonts w:hint="eastAsia" w:ascii="宋体" w:hAnsi="宋体"/>
          <w:sz w:val="32"/>
          <w:szCs w:val="32"/>
        </w:rPr>
        <w:t>按照县财政局要求，为了全面分析和综合评价我镇财政预算资金使用管理，切实提高财政资金使用效益，强化财政预算资金支出的监管责任，提高财政资金使用效率等方面提供参考依据。</w:t>
      </w:r>
    </w:p>
    <w:p w14:paraId="6B439CCF">
      <w:pPr>
        <w:ind w:firstLine="480" w:firstLineChars="150"/>
        <w:rPr>
          <w:rFonts w:ascii="宋体" w:hAnsi="宋体"/>
          <w:sz w:val="32"/>
          <w:szCs w:val="32"/>
        </w:rPr>
      </w:pPr>
      <w:r>
        <w:rPr>
          <w:rFonts w:hint="eastAsia" w:ascii="宋体" w:hAnsi="宋体"/>
          <w:sz w:val="32"/>
          <w:szCs w:val="32"/>
        </w:rPr>
        <w:t>（2）绩效评价过程</w:t>
      </w:r>
    </w:p>
    <w:p w14:paraId="0B9AC3C2">
      <w:pPr>
        <w:ind w:firstLine="630" w:firstLineChars="196"/>
        <w:rPr>
          <w:rFonts w:ascii="宋体" w:hAnsi="宋体"/>
          <w:sz w:val="32"/>
          <w:szCs w:val="32"/>
        </w:rPr>
      </w:pPr>
      <w:r>
        <w:rPr>
          <w:rFonts w:hint="eastAsia" w:ascii="宋体" w:hAnsi="宋体"/>
          <w:b/>
          <w:sz w:val="32"/>
          <w:szCs w:val="32"/>
        </w:rPr>
        <w:t>准备阶段</w:t>
      </w:r>
      <w:r>
        <w:rPr>
          <w:rFonts w:hint="eastAsia" w:ascii="宋体" w:hAnsi="宋体"/>
          <w:sz w:val="32"/>
          <w:szCs w:val="32"/>
        </w:rPr>
        <w:t xml:space="preserve">  由镇财政所牵头，组织相关职能办收集资料，制定评价实施方案，落实相关责任，确定评价指标细则等工作。</w:t>
      </w:r>
    </w:p>
    <w:p w14:paraId="381BCB33">
      <w:pPr>
        <w:ind w:firstLine="640"/>
        <w:rPr>
          <w:rFonts w:ascii="宋体" w:hAnsi="宋体"/>
          <w:sz w:val="32"/>
          <w:szCs w:val="32"/>
        </w:rPr>
      </w:pPr>
      <w:r>
        <w:rPr>
          <w:rFonts w:hint="eastAsia" w:ascii="宋体" w:hAnsi="宋体"/>
          <w:b/>
          <w:sz w:val="32"/>
          <w:szCs w:val="32"/>
        </w:rPr>
        <w:t>自评阶段</w:t>
      </w:r>
      <w:r>
        <w:rPr>
          <w:rFonts w:hint="eastAsia" w:ascii="宋体" w:hAnsi="宋体"/>
          <w:sz w:val="32"/>
          <w:szCs w:val="32"/>
        </w:rPr>
        <w:t xml:space="preserve">  按照财政资金运用方向，确定归口使用管理部门开展自评，特别是专项预算资金支出，要求归口使用管理部门要从资金分配、资金使用、支付程序、审核审批、结算审查、使用效率和效益等方面开展自评，各职能办自评结果交由镇财政所汇总。</w:t>
      </w:r>
    </w:p>
    <w:p w14:paraId="348F6D72">
      <w:pPr>
        <w:ind w:firstLine="640"/>
        <w:rPr>
          <w:rFonts w:ascii="宋体" w:hAnsi="宋体"/>
          <w:sz w:val="32"/>
          <w:szCs w:val="32"/>
        </w:rPr>
      </w:pPr>
      <w:r>
        <w:rPr>
          <w:rFonts w:hint="eastAsia" w:ascii="宋体" w:hAnsi="宋体"/>
          <w:b/>
          <w:sz w:val="32"/>
          <w:szCs w:val="32"/>
        </w:rPr>
        <w:t>终评阶段</w:t>
      </w:r>
      <w:r>
        <w:rPr>
          <w:rFonts w:hint="eastAsia" w:ascii="宋体" w:hAnsi="宋体"/>
          <w:sz w:val="32"/>
          <w:szCs w:val="32"/>
        </w:rPr>
        <w:t xml:space="preserve">  首先，组织相关职能办召开终评会议，讨论各职能办的自评情况；其次，通过查阅相关文件资料，查阅会计档案和会计凭证，对各职能办自评结果进行定量定性分析，经综合评议后形成评价结论。最后，依据综合评价结论出具部门预算支出绩效评价报告。</w:t>
      </w:r>
    </w:p>
    <w:p w14:paraId="2C40F30B">
      <w:pPr>
        <w:ind w:firstLine="480" w:firstLineChars="150"/>
        <w:rPr>
          <w:rFonts w:ascii="宋体" w:hAnsi="宋体"/>
          <w:sz w:val="32"/>
          <w:szCs w:val="32"/>
        </w:rPr>
      </w:pPr>
      <w:r>
        <w:rPr>
          <w:rFonts w:hint="eastAsia" w:ascii="宋体" w:hAnsi="宋体"/>
          <w:sz w:val="32"/>
          <w:szCs w:val="32"/>
        </w:rPr>
        <w:t>（3）绩效评价结果运用</w:t>
      </w:r>
    </w:p>
    <w:p w14:paraId="426FECFC">
      <w:pPr>
        <w:ind w:firstLine="640"/>
        <w:rPr>
          <w:rFonts w:ascii="宋体" w:hAnsi="宋体"/>
          <w:sz w:val="32"/>
          <w:szCs w:val="32"/>
        </w:rPr>
      </w:pPr>
      <w:r>
        <w:rPr>
          <w:rFonts w:hint="eastAsia" w:ascii="宋体" w:hAnsi="宋体"/>
          <w:sz w:val="32"/>
          <w:szCs w:val="32"/>
        </w:rPr>
        <w:t>财政支出绩效评价结果运用是开展绩效评价工作的基本前提，是增加资金绩效观念，加强财政支出管理，合理配置公共资源，优化财政资金支出结构，提高资金管理水平和使用效益的重要手段。因此，要充分发挥绩效评价结果运用促进财政管理水平提高。积极探索和建立一套与财政预算管理相结合、多渠道应用评价结果的有效机制，努力提高财政支出绩效意识和资金使用效益。</w:t>
      </w:r>
    </w:p>
    <w:p w14:paraId="422E6E27">
      <w:pPr>
        <w:ind w:firstLine="640"/>
        <w:rPr>
          <w:rFonts w:ascii="宋体" w:hAnsi="宋体"/>
          <w:sz w:val="32"/>
          <w:szCs w:val="32"/>
        </w:rPr>
      </w:pPr>
      <w:r>
        <w:rPr>
          <w:rFonts w:hint="eastAsia" w:ascii="宋体" w:hAnsi="宋体"/>
          <w:sz w:val="32"/>
          <w:szCs w:val="32"/>
        </w:rPr>
        <w:t>通过开展财政预算支出绩效评价工作，发现了部门财政管理中存在的问题，为部门进一步加强财政资金管理，完善财务管理制度，合理配置公共资源，确保财政资金使用效益最优化提供了重要参考。</w:t>
      </w:r>
    </w:p>
    <w:p w14:paraId="720E1049">
      <w:pPr>
        <w:ind w:firstLine="640"/>
        <w:rPr>
          <w:rFonts w:ascii="宋体" w:hAnsi="宋体"/>
          <w:b/>
          <w:sz w:val="32"/>
          <w:szCs w:val="32"/>
        </w:rPr>
      </w:pPr>
      <w:r>
        <w:rPr>
          <w:rFonts w:hint="eastAsia" w:ascii="宋体" w:hAnsi="宋体"/>
          <w:b/>
          <w:sz w:val="32"/>
          <w:szCs w:val="32"/>
        </w:rPr>
        <w:t>四、评价结论及建议</w:t>
      </w:r>
    </w:p>
    <w:p w14:paraId="53C47EE3">
      <w:pPr>
        <w:ind w:firstLine="640"/>
        <w:rPr>
          <w:rFonts w:ascii="宋体" w:hAnsi="宋体"/>
          <w:sz w:val="32"/>
          <w:szCs w:val="32"/>
        </w:rPr>
      </w:pPr>
      <w:r>
        <w:rPr>
          <w:rFonts w:hint="eastAsia" w:ascii="宋体" w:hAnsi="宋体"/>
          <w:sz w:val="32"/>
          <w:szCs w:val="32"/>
        </w:rPr>
        <w:t>（一）评价结论</w:t>
      </w:r>
    </w:p>
    <w:p w14:paraId="74E41B37">
      <w:pPr>
        <w:ind w:firstLine="640"/>
        <w:rPr>
          <w:rFonts w:ascii="宋体" w:hAnsi="宋体"/>
          <w:sz w:val="32"/>
          <w:szCs w:val="32"/>
        </w:rPr>
      </w:pPr>
      <w:r>
        <w:rPr>
          <w:rFonts w:hint="eastAsia" w:ascii="宋体" w:hAnsi="宋体"/>
          <w:sz w:val="32"/>
          <w:szCs w:val="32"/>
        </w:rPr>
        <w:t>按照“先有预算，后有支出”的原则和《德阳市罗江区财政资金拨付管理办法》等规定，结合本部门职能和2020年工作目标任务，积极履职、强化管理，较好地完成了年度工作目标。通过加强预算收支管理，建立完善内部管理制度，优化支付流程，将部门预算资金全部纳入“大平台”系统管理，加强国库集中支付，并严格审批程序，确保专款专用。2020年部门整体财政支出绩效量化评价得分83.5分。</w:t>
      </w:r>
    </w:p>
    <w:p w14:paraId="3D801FE5">
      <w:pPr>
        <w:ind w:firstLine="640"/>
        <w:rPr>
          <w:rFonts w:ascii="宋体" w:hAnsi="宋体"/>
          <w:sz w:val="32"/>
          <w:szCs w:val="32"/>
        </w:rPr>
      </w:pPr>
      <w:r>
        <w:rPr>
          <w:rFonts w:hint="eastAsia" w:ascii="宋体" w:hAnsi="宋体"/>
          <w:sz w:val="32"/>
          <w:szCs w:val="32"/>
        </w:rPr>
        <w:t>1、经济效益评价</w:t>
      </w:r>
    </w:p>
    <w:p w14:paraId="578224E5">
      <w:pPr>
        <w:ind w:firstLine="480" w:firstLineChars="150"/>
        <w:rPr>
          <w:rFonts w:ascii="宋体" w:hAnsi="宋体"/>
          <w:sz w:val="32"/>
          <w:szCs w:val="32"/>
        </w:rPr>
      </w:pPr>
      <w:r>
        <w:rPr>
          <w:rFonts w:hint="eastAsia" w:ascii="宋体" w:hAnsi="宋体"/>
          <w:sz w:val="32"/>
          <w:szCs w:val="32"/>
        </w:rPr>
        <w:t>（1）预算执行进度较好。全年预算执行率达99.98%。预算执行效果较好，预算资金支付到位及时，保证了部门正常运转，保障了经济社会发展，维护了农村社会稳定。</w:t>
      </w:r>
    </w:p>
    <w:p w14:paraId="6B16887C">
      <w:pPr>
        <w:ind w:firstLine="480" w:firstLineChars="150"/>
        <w:rPr>
          <w:rFonts w:ascii="宋体" w:hAnsi="宋体"/>
          <w:sz w:val="32"/>
          <w:szCs w:val="32"/>
        </w:rPr>
      </w:pPr>
      <w:r>
        <w:rPr>
          <w:rFonts w:hint="eastAsia" w:ascii="宋体" w:hAnsi="宋体"/>
          <w:sz w:val="32"/>
          <w:szCs w:val="32"/>
        </w:rPr>
        <w:t>（2）预决算支出控制较好。一是通过四川省政府财政信息化管理系统（大平台）支付的比例达97.93%，提高了财政资金支付安全性、及时性和资金使用效益；二是“三公”经费预算支出控制有效，预算支出总体增长了6.36%，决算支出下降了9.74%；三是专项预算支出绩效目标明确，符合预期，效益较好。</w:t>
      </w:r>
    </w:p>
    <w:p w14:paraId="591AD32B">
      <w:pPr>
        <w:ind w:firstLine="480" w:firstLineChars="150"/>
        <w:rPr>
          <w:rFonts w:ascii="宋体" w:hAnsi="宋体"/>
          <w:sz w:val="32"/>
          <w:szCs w:val="32"/>
        </w:rPr>
      </w:pPr>
      <w:r>
        <w:rPr>
          <w:rFonts w:hint="eastAsia" w:ascii="宋体" w:hAnsi="宋体"/>
          <w:sz w:val="32"/>
          <w:szCs w:val="32"/>
        </w:rPr>
        <w:t>（3）财政资金支出结构优化，重点突出，保障有力。按照部门年度可支配财力，切实保障了部门行政运转，运转高效，年度部门各项工作任务完成较好。专项预算资金支出突出热点、难点问题，注重民生项目和维护社会稳定，确保有限财政资金发挥最大效益。</w:t>
      </w:r>
    </w:p>
    <w:p w14:paraId="31404FE2">
      <w:pPr>
        <w:ind w:firstLine="480" w:firstLineChars="150"/>
        <w:rPr>
          <w:rFonts w:ascii="宋体" w:hAnsi="宋体"/>
          <w:sz w:val="32"/>
          <w:szCs w:val="32"/>
        </w:rPr>
      </w:pPr>
      <w:r>
        <w:rPr>
          <w:rFonts w:hint="eastAsia" w:ascii="宋体" w:hAnsi="宋体"/>
          <w:sz w:val="32"/>
          <w:szCs w:val="32"/>
        </w:rPr>
        <w:t>（4）财政工作精细化、规范化、制度化。从年初预算编制着手，统筹年度预算经费，细化预算项目及各项目必保经费，努力做到预算精细化、规范化、科学化、绩效化。</w:t>
      </w:r>
    </w:p>
    <w:p w14:paraId="71D739EE">
      <w:pPr>
        <w:ind w:firstLine="640"/>
        <w:rPr>
          <w:rFonts w:ascii="宋体" w:hAnsi="宋体"/>
          <w:sz w:val="32"/>
          <w:szCs w:val="32"/>
        </w:rPr>
      </w:pPr>
      <w:r>
        <w:rPr>
          <w:rFonts w:hint="eastAsia" w:ascii="宋体" w:hAnsi="宋体"/>
          <w:sz w:val="32"/>
          <w:szCs w:val="32"/>
        </w:rPr>
        <w:t>专项预算资金支出项目从项目筛选、绩效评估到资金分配，力争效益最大化；从项目资金拨付使用、跟踪检查到项目结算进行全程监管，确保资金安全。</w:t>
      </w:r>
    </w:p>
    <w:p w14:paraId="49CAEDD7">
      <w:pPr>
        <w:ind w:firstLine="640"/>
        <w:rPr>
          <w:rFonts w:ascii="宋体" w:hAnsi="宋体"/>
          <w:sz w:val="32"/>
          <w:szCs w:val="32"/>
        </w:rPr>
      </w:pPr>
      <w:r>
        <w:rPr>
          <w:rFonts w:hint="eastAsia" w:ascii="宋体" w:hAnsi="宋体"/>
          <w:sz w:val="32"/>
          <w:szCs w:val="32"/>
        </w:rPr>
        <w:t>2、社会效益评价</w:t>
      </w:r>
    </w:p>
    <w:p w14:paraId="73CC5FAC">
      <w:pPr>
        <w:ind w:firstLine="640"/>
        <w:rPr>
          <w:rFonts w:ascii="宋体" w:hAnsi="宋体"/>
          <w:sz w:val="32"/>
          <w:szCs w:val="32"/>
        </w:rPr>
      </w:pPr>
      <w:r>
        <w:rPr>
          <w:rFonts w:hint="eastAsia" w:ascii="宋体" w:hAnsi="宋体"/>
          <w:sz w:val="32"/>
          <w:szCs w:val="32"/>
        </w:rPr>
        <w:t>2020年部门整体预算和“三公”经费预算支出情况，分别通过政府公开网站和政府公开栏进行了公开、公示，接受广大群众监督。同时，设立了意见箱，公示了举报电话。从公开、公示的结果来看，群众反映较好，阳光财政工作受到广大群众好评。</w:t>
      </w:r>
    </w:p>
    <w:p w14:paraId="2B14253D">
      <w:pPr>
        <w:ind w:firstLine="640"/>
        <w:rPr>
          <w:rFonts w:ascii="宋体" w:hAnsi="宋体"/>
          <w:sz w:val="32"/>
          <w:szCs w:val="32"/>
        </w:rPr>
      </w:pPr>
      <w:r>
        <w:rPr>
          <w:rFonts w:hint="eastAsia" w:ascii="宋体" w:hAnsi="宋体"/>
          <w:sz w:val="32"/>
          <w:szCs w:val="32"/>
        </w:rPr>
        <w:t>特别是通过相关专项预算项目资金支出，使我镇城乡环境综合治理、维护社会稳定构建和谐社会和农村公共服务体系运行维护等方面有了明显改观。过去，脏、乱、差的环境得到有效治理；信访稳定工作明显加强，有关信访事件得到妥善处置，年度期间无重大安全稳定事故发生；农村公共服务体系运转维护有了资金支持，特别是农田水利设施、设备维修维护和农村道路维护等方面有了资金保障，保证了农村人畜饮水和农田灌溉，方便了广大群众出行，保障了群众出行安全，促进了地方经济发展。在年度干部群众满意度测评中，好评率达98.2%以上。</w:t>
      </w:r>
    </w:p>
    <w:p w14:paraId="338A7D39">
      <w:pPr>
        <w:ind w:firstLine="640"/>
        <w:rPr>
          <w:rFonts w:ascii="宋体" w:hAnsi="宋体"/>
          <w:sz w:val="32"/>
          <w:szCs w:val="32"/>
        </w:rPr>
      </w:pPr>
      <w:r>
        <w:rPr>
          <w:rFonts w:hint="eastAsia" w:ascii="宋体" w:hAnsi="宋体"/>
          <w:sz w:val="32"/>
          <w:szCs w:val="32"/>
        </w:rPr>
        <w:t>（二）存在的问题</w:t>
      </w:r>
    </w:p>
    <w:p w14:paraId="7F72FDA0">
      <w:pPr>
        <w:ind w:firstLine="640"/>
        <w:rPr>
          <w:rFonts w:ascii="宋体" w:hAnsi="宋体"/>
          <w:sz w:val="32"/>
          <w:szCs w:val="32"/>
        </w:rPr>
      </w:pPr>
      <w:r>
        <w:rPr>
          <w:rFonts w:hint="eastAsia" w:ascii="宋体" w:hAnsi="宋体"/>
          <w:sz w:val="32"/>
          <w:szCs w:val="32"/>
        </w:rPr>
        <w:t>1、预算编制工作须进一步明细化、绩效目标化。如编制公用经费支出时，综合评估前三年预算支出情况，并结合当年绩效目标管理要求，细化经济科目和对应金额，切实做到“先有预算，后有支出”的预算支出管理目标。</w:t>
      </w:r>
    </w:p>
    <w:p w14:paraId="690FACD0">
      <w:pPr>
        <w:ind w:firstLine="640"/>
        <w:rPr>
          <w:rFonts w:ascii="宋体" w:hAnsi="宋体"/>
          <w:sz w:val="32"/>
          <w:szCs w:val="32"/>
        </w:rPr>
      </w:pPr>
      <w:r>
        <w:rPr>
          <w:rFonts w:hint="eastAsia" w:ascii="宋体" w:hAnsi="宋体"/>
          <w:sz w:val="32"/>
          <w:szCs w:val="32"/>
        </w:rPr>
        <w:t>2、专项资金预算支出类/款/项和经济科目须进一步规范化，科目运用恰当，预算金额符合绩效目标管理要求。2020年，“农村公共服务体系运行维护”项目经费预算在“其他商品和服务支出”经济科目中，财务处理时也没有按照实际支出情况进行分类记账。部门决算没有真实反映经济分类，不符合《2020年政府收支预算分类科目》的规定。</w:t>
      </w:r>
    </w:p>
    <w:p w14:paraId="71CC6AE0">
      <w:pPr>
        <w:ind w:firstLine="640"/>
        <w:rPr>
          <w:rFonts w:ascii="宋体" w:hAnsi="宋体"/>
          <w:sz w:val="32"/>
          <w:szCs w:val="32"/>
        </w:rPr>
      </w:pPr>
      <w:r>
        <w:rPr>
          <w:rFonts w:hint="eastAsia" w:ascii="宋体" w:hAnsi="宋体"/>
          <w:sz w:val="32"/>
          <w:szCs w:val="32"/>
        </w:rPr>
        <w:t>3、预算执行进度有待加强。重点是平衡基本支出预算执行进度，如村（社区）经费，尽量避免年终集中支付，减轻财政支付压力和提高资金支付效率。</w:t>
      </w:r>
    </w:p>
    <w:p w14:paraId="32CD9444">
      <w:pPr>
        <w:ind w:firstLine="640"/>
        <w:rPr>
          <w:rFonts w:ascii="宋体" w:hAnsi="宋体"/>
          <w:sz w:val="32"/>
          <w:szCs w:val="32"/>
        </w:rPr>
      </w:pPr>
      <w:r>
        <w:rPr>
          <w:rFonts w:hint="eastAsia" w:ascii="宋体" w:hAnsi="宋体"/>
          <w:sz w:val="32"/>
          <w:szCs w:val="32"/>
        </w:rPr>
        <w:t>4、部门财务报表与部门决算报表一致性较差。虽然部门总体收支保持一致，支出类/款/项基本保持一致，但是，经济分类科目账表一致性较差。</w:t>
      </w:r>
    </w:p>
    <w:p w14:paraId="1AA0456C">
      <w:pPr>
        <w:ind w:firstLine="640"/>
        <w:rPr>
          <w:rFonts w:ascii="宋体" w:hAnsi="宋体"/>
          <w:sz w:val="32"/>
          <w:szCs w:val="32"/>
        </w:rPr>
      </w:pPr>
      <w:r>
        <w:rPr>
          <w:rFonts w:hint="eastAsia" w:ascii="宋体" w:hAnsi="宋体"/>
          <w:sz w:val="32"/>
          <w:szCs w:val="32"/>
        </w:rPr>
        <w:t>5、部门资产管理有待加强。单位资产存在账实不相符的情况。由于缺乏专人负责资产管理，资产台账不完善，资产购置登记，毁损报废、处置核销等工作不及时，造成账实不相符的情况。</w:t>
      </w:r>
    </w:p>
    <w:p w14:paraId="5A4542E1">
      <w:pPr>
        <w:ind w:firstLine="640"/>
        <w:rPr>
          <w:rFonts w:ascii="宋体" w:hAnsi="宋体"/>
          <w:sz w:val="32"/>
          <w:szCs w:val="32"/>
        </w:rPr>
      </w:pPr>
      <w:r>
        <w:rPr>
          <w:rFonts w:hint="eastAsia" w:ascii="宋体" w:hAnsi="宋体"/>
          <w:sz w:val="32"/>
          <w:szCs w:val="32"/>
        </w:rPr>
        <w:t>6、进一步加强财务管理制度建设，适应新时期财政管理工作要求。如“三公”经费管理细则，日常公用经费管理细则，费用审核审批权限和决策程序等。</w:t>
      </w:r>
    </w:p>
    <w:p w14:paraId="70C841B2">
      <w:pPr>
        <w:ind w:firstLine="640"/>
        <w:rPr>
          <w:rFonts w:ascii="宋体" w:hAnsi="宋体"/>
          <w:sz w:val="32"/>
          <w:szCs w:val="32"/>
        </w:rPr>
      </w:pPr>
      <w:r>
        <w:rPr>
          <w:rFonts w:hint="eastAsia" w:ascii="宋体" w:hAnsi="宋体"/>
          <w:sz w:val="32"/>
          <w:szCs w:val="32"/>
        </w:rPr>
        <w:t>7、乡镇财力保障不足，协调运转压力大。就本部门2020年度情况分析，年平均实有在岗职工42人，除公务员和参照事业管理的服务部人员工资福利及人头公用经费由上级财力基本保障外，三支一扶人员福利待遇、政府自聘人员的工资福利均由部门自行解决，部门财政支付压力较大。</w:t>
      </w:r>
    </w:p>
    <w:p w14:paraId="304034D8">
      <w:pPr>
        <w:ind w:firstLine="640"/>
        <w:rPr>
          <w:rFonts w:ascii="宋体" w:hAnsi="宋体"/>
          <w:sz w:val="32"/>
          <w:szCs w:val="32"/>
        </w:rPr>
      </w:pPr>
      <w:r>
        <w:rPr>
          <w:rFonts w:hint="eastAsia" w:ascii="宋体" w:hAnsi="宋体"/>
          <w:sz w:val="32"/>
          <w:szCs w:val="32"/>
        </w:rPr>
        <w:t>另一原因是：随着经济社会发展，劳动力成本提高，村管理事务加强，维护农村社会稳定压力加大，解决历史遗留问题的矛盾日益突出。上级财力保障明显不足，部门财力保障压力凸显。从近三年的情况分析，用于安全稳定、解决历史遗留问题、村干部年终考核奖励和公共服务设施运行维护等方面支出。平均每年达60万元以上。</w:t>
      </w:r>
    </w:p>
    <w:p w14:paraId="2135B9F6">
      <w:pPr>
        <w:ind w:firstLine="640"/>
        <w:rPr>
          <w:rFonts w:ascii="宋体" w:hAnsi="宋体"/>
          <w:sz w:val="32"/>
          <w:szCs w:val="32"/>
        </w:rPr>
      </w:pPr>
      <w:r>
        <w:rPr>
          <w:rFonts w:hint="eastAsia" w:ascii="宋体" w:hAnsi="宋体"/>
          <w:sz w:val="32"/>
          <w:szCs w:val="32"/>
        </w:rPr>
        <w:t>（三）改进建议</w:t>
      </w:r>
    </w:p>
    <w:p w14:paraId="7511936A">
      <w:pPr>
        <w:ind w:firstLine="640"/>
        <w:rPr>
          <w:rFonts w:ascii="宋体" w:hAnsi="宋体"/>
          <w:sz w:val="32"/>
          <w:szCs w:val="32"/>
        </w:rPr>
      </w:pPr>
      <w:r>
        <w:rPr>
          <w:rFonts w:hint="eastAsia" w:ascii="宋体" w:hAnsi="宋体"/>
          <w:sz w:val="32"/>
          <w:szCs w:val="32"/>
        </w:rPr>
        <w:t>针对本部门存在的问题和绩效目标管理的需要，拟落实整改措施如下：</w:t>
      </w:r>
    </w:p>
    <w:p w14:paraId="07042C48">
      <w:pPr>
        <w:ind w:firstLine="640"/>
        <w:rPr>
          <w:rFonts w:ascii="宋体" w:hAnsi="宋体"/>
          <w:sz w:val="32"/>
          <w:szCs w:val="32"/>
        </w:rPr>
      </w:pPr>
      <w:r>
        <w:rPr>
          <w:rFonts w:hint="eastAsia" w:ascii="宋体" w:hAnsi="宋体"/>
          <w:sz w:val="32"/>
          <w:szCs w:val="32"/>
        </w:rPr>
        <w:t>1、加强预算编制管理，严格按要求编制部门预算，确保预算编制明细化、规范化、科学化。专项预算以绩效管理为目标，确保预算绩效目标化。</w:t>
      </w:r>
    </w:p>
    <w:p w14:paraId="5C89C95D">
      <w:pPr>
        <w:ind w:firstLine="640"/>
        <w:rPr>
          <w:rFonts w:ascii="宋体" w:hAnsi="宋体"/>
          <w:sz w:val="32"/>
          <w:szCs w:val="32"/>
        </w:rPr>
      </w:pPr>
      <w:r>
        <w:rPr>
          <w:rFonts w:hint="eastAsia" w:ascii="宋体" w:hAnsi="宋体"/>
          <w:sz w:val="32"/>
          <w:szCs w:val="32"/>
        </w:rPr>
        <w:t>2、加强预算执行进度管理，按照财政预算资金性质和使用规范，平衡执行预算进度，防止年末集中支付款项。</w:t>
      </w:r>
    </w:p>
    <w:p w14:paraId="2BA504A8">
      <w:pPr>
        <w:ind w:firstLine="640"/>
        <w:rPr>
          <w:rFonts w:ascii="宋体" w:hAnsi="宋体"/>
          <w:sz w:val="32"/>
          <w:szCs w:val="32"/>
        </w:rPr>
      </w:pPr>
      <w:r>
        <w:rPr>
          <w:rFonts w:hint="eastAsia" w:ascii="宋体" w:hAnsi="宋体"/>
          <w:sz w:val="32"/>
          <w:szCs w:val="32"/>
        </w:rPr>
        <w:t>3、加强“三公”经费预算管理，严格执行相关“三公”经费管理规定，严格控制“三公”、会议费、培训费、差旅费等费用规模和比例，合理压缩“三公”经费支出，确保不突破预算指标。</w:t>
      </w:r>
    </w:p>
    <w:p w14:paraId="437D25CC">
      <w:pPr>
        <w:ind w:firstLine="640"/>
        <w:rPr>
          <w:rFonts w:ascii="宋体" w:hAnsi="宋体"/>
          <w:sz w:val="32"/>
          <w:szCs w:val="32"/>
        </w:rPr>
      </w:pPr>
      <w:r>
        <w:rPr>
          <w:rFonts w:hint="eastAsia" w:ascii="宋体" w:hAnsi="宋体"/>
          <w:sz w:val="32"/>
          <w:szCs w:val="32"/>
        </w:rPr>
        <w:t>4、加强部门资产管理，落实归口管理部门和管理人员，做好资产购置、处置和清查盘点工作，确保账实相符。</w:t>
      </w:r>
    </w:p>
    <w:p w14:paraId="1B63BA60">
      <w:pPr>
        <w:ind w:firstLine="640"/>
        <w:rPr>
          <w:rFonts w:ascii="宋体" w:hAnsi="宋体"/>
          <w:sz w:val="32"/>
          <w:szCs w:val="32"/>
        </w:rPr>
      </w:pPr>
      <w:r>
        <w:rPr>
          <w:rFonts w:hint="eastAsia" w:ascii="宋体" w:hAnsi="宋体"/>
          <w:sz w:val="32"/>
          <w:szCs w:val="32"/>
        </w:rPr>
        <w:t>5、修改完善部门财务管理制度，细化内部控制制度，强化内控目标的针对性，内控流程的可操作性，做好内控制度的评价应用工作，以适应新形势下财政管理工作要求，加强财务制度执行力度，保证财政资金安全、高效使用。</w:t>
      </w:r>
    </w:p>
    <w:p w14:paraId="4BAF2794">
      <w:pPr>
        <w:rPr>
          <w:rFonts w:ascii="宋体" w:hAnsi="宋体"/>
          <w:sz w:val="32"/>
          <w:szCs w:val="32"/>
        </w:rPr>
      </w:pPr>
    </w:p>
    <w:p w14:paraId="7CEEF072">
      <w:pPr>
        <w:ind w:firstLine="4640" w:firstLineChars="1450"/>
        <w:rPr>
          <w:rFonts w:ascii="宋体" w:hAnsi="宋体"/>
          <w:sz w:val="32"/>
          <w:szCs w:val="32"/>
        </w:rPr>
      </w:pPr>
    </w:p>
    <w:p w14:paraId="1FD98581">
      <w:pPr>
        <w:widowControl/>
        <w:jc w:val="left"/>
        <w:rPr>
          <w:rStyle w:val="17"/>
          <w:rFonts w:ascii="黑体" w:hAnsi="黑体" w:eastAsia="黑体" w:cs="仿宋"/>
          <w:sz w:val="32"/>
          <w:szCs w:val="32"/>
        </w:rPr>
      </w:pPr>
      <w:r>
        <w:rPr>
          <w:rStyle w:val="17"/>
          <w:rFonts w:hint="eastAsia" w:ascii="黑体" w:hAnsi="黑体" w:eastAsia="黑体" w:cs="仿宋"/>
          <w:sz w:val="32"/>
          <w:szCs w:val="32"/>
        </w:rPr>
        <w:t>附件</w:t>
      </w:r>
      <w:r>
        <w:rPr>
          <w:rStyle w:val="17"/>
          <w:rFonts w:ascii="黑体" w:hAnsi="黑体" w:eastAsia="黑体" w:cs="仿宋"/>
          <w:sz w:val="32"/>
          <w:szCs w:val="32"/>
        </w:rPr>
        <w:t>2</w:t>
      </w:r>
      <w:bookmarkEnd w:id="60"/>
      <w:r>
        <w:rPr>
          <w:rStyle w:val="17"/>
          <w:rFonts w:hint="eastAsia" w:ascii="黑体" w:hAnsi="黑体" w:eastAsia="黑体" w:cs="仿宋"/>
          <w:sz w:val="32"/>
          <w:szCs w:val="32"/>
        </w:rPr>
        <w:t>-1</w:t>
      </w:r>
    </w:p>
    <w:p w14:paraId="1EB335B2">
      <w:pPr>
        <w:spacing w:line="580" w:lineRule="exact"/>
        <w:jc w:val="center"/>
        <w:rPr>
          <w:rFonts w:ascii="黑体" w:hAnsi="黑体" w:eastAsia="黑体" w:cs="黑体"/>
          <w:sz w:val="44"/>
          <w:szCs w:val="44"/>
        </w:rPr>
      </w:pPr>
    </w:p>
    <w:p w14:paraId="56A972AC">
      <w:pPr>
        <w:spacing w:line="640" w:lineRule="exact"/>
        <w:jc w:val="center"/>
        <w:rPr>
          <w:rFonts w:ascii="仿宋_GB2312" w:hAnsi="宋体" w:eastAsia="仿宋_GB2312"/>
          <w:b/>
          <w:sz w:val="44"/>
          <w:szCs w:val="44"/>
        </w:rPr>
      </w:pPr>
      <w:bookmarkStart w:id="61" w:name="_Toc15396618"/>
      <w:r>
        <w:rPr>
          <w:rFonts w:hint="eastAsia" w:ascii="仿宋_GB2312" w:hAnsi="宋体" w:eastAsia="仿宋_GB2312"/>
          <w:b/>
          <w:sz w:val="44"/>
          <w:szCs w:val="44"/>
        </w:rPr>
        <w:t>德阳市罗江区略坪镇人民政府</w:t>
      </w:r>
    </w:p>
    <w:p w14:paraId="7D99BB69">
      <w:pPr>
        <w:spacing w:line="640" w:lineRule="exact"/>
        <w:jc w:val="center"/>
        <w:rPr>
          <w:rFonts w:ascii="仿宋_GB2312" w:hAnsi="宋体" w:eastAsia="仿宋_GB2312"/>
          <w:b/>
          <w:sz w:val="44"/>
          <w:szCs w:val="44"/>
        </w:rPr>
      </w:pPr>
      <w:r>
        <w:rPr>
          <w:rFonts w:hint="eastAsia" w:ascii="仿宋_GB2312" w:hAnsi="宋体" w:eastAsia="仿宋_GB2312"/>
          <w:b/>
          <w:sz w:val="44"/>
          <w:szCs w:val="44"/>
        </w:rPr>
        <w:t>2020年“基层组织活动和公共服务运行经费”预算项目支出绩效自评报告</w:t>
      </w:r>
    </w:p>
    <w:p w14:paraId="3ED48CC7">
      <w:pPr>
        <w:pStyle w:val="30"/>
        <w:spacing w:line="240" w:lineRule="auto"/>
        <w:jc w:val="center"/>
        <w:rPr>
          <w:rFonts w:ascii="仿宋_GB2312" w:hAnsi="宋体" w:eastAsia="仿宋_GB2312" w:cs="Times New Roman"/>
          <w:color w:val="auto"/>
          <w:kern w:val="2"/>
          <w:sz w:val="32"/>
          <w:szCs w:val="32"/>
        </w:rPr>
      </w:pPr>
    </w:p>
    <w:p w14:paraId="64CA487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项目概况</w:t>
      </w:r>
    </w:p>
    <w:p w14:paraId="4BC420AC">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（一）项目基本情况</w:t>
      </w:r>
    </w:p>
    <w:p w14:paraId="12F7B41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村级组织活动和公共服务运行维护费项目是我省十大民生工程之一。该项目经费主要用于三大方面开支，一是基层组织活动方面支出，主要包括基层组织开展活动、党员干部教育活动、群众教育活动、群众团体开展活动等支出；二是农村公共服务设施运行维护支出，主要包括农村道路、水利设施、供水供电、客运交通、生活垃圾处理、村村通广播、文化健身设施、生态环境治理、园林绿化等方面支出；三是社会管理与村级运转方面支出，主要包括维护稳定、环境卫生监督、政策宣传、法律咨询与援助、传染病防治、食品安全监督和农村土地规划管理等方面支出。</w:t>
      </w:r>
    </w:p>
    <w:p w14:paraId="6179859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1．项目主管部门及其职能</w:t>
      </w:r>
    </w:p>
    <w:p w14:paraId="0B6FA31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的主管部门为德阳市罗江区略坪镇人民政府。主要职能是：评价项目实施的必要性和有效性，负责项目资金的申请；负责项目资金分配和使用监督管理；编制项目绩效目标，负责项目绩效运行监控；督察、检查和考评项目绩效目标完成情况，编制项目支出绩效评价报告。</w:t>
      </w:r>
    </w:p>
    <w:p w14:paraId="068BDBC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14:paraId="5E3426C7">
      <w:pPr>
        <w:adjustRightInd w:val="0"/>
        <w:snapToGrid w:val="0"/>
        <w:spacing w:line="560" w:lineRule="exact"/>
        <w:ind w:firstLine="480" w:firstLineChars="150"/>
        <w:rPr>
          <w:rFonts w:ascii="仿宋_GB2312" w:hAnsi="宋体" w:eastAsia="仿宋_GB2312" w:cs="宋体"/>
          <w:sz w:val="32"/>
          <w:szCs w:val="32"/>
          <w:lang w:val="zh-CN"/>
        </w:rPr>
      </w:pPr>
      <w:r>
        <w:rPr>
          <w:rFonts w:hint="eastAsia" w:ascii="仿宋_GB2312" w:hAnsi="宋体" w:eastAsia="仿宋_GB2312"/>
          <w:sz w:val="32"/>
          <w:szCs w:val="32"/>
          <w:lang w:val="zh-CN"/>
        </w:rPr>
        <w:t xml:space="preserve"> 该项目主要解决农村公共服务设施运行维护经费和基层组织活动经费需求等方面问题。项目依据年初预算安排申报资金，同时，年内追加预算项目资金申报。具体按照罗财预[2020]4729号、罗财预C172-003、罗财预C187-003、德市财预[2020]89</w:t>
      </w:r>
      <w:r>
        <w:rPr>
          <w:rFonts w:hint="eastAsia" w:ascii="仿宋_GB2312" w:hAnsi="宋体" w:eastAsia="仿宋_GB2312" w:cs="宋体"/>
          <w:sz w:val="32"/>
          <w:szCs w:val="32"/>
          <w:lang w:val="zh-CN"/>
        </w:rPr>
        <w:t>号-006和川财预[2020]37号-006等资金管理文件申请项目资金。</w:t>
      </w:r>
    </w:p>
    <w:p w14:paraId="244C125C">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3．项目资金管理使用情况</w:t>
      </w:r>
    </w:p>
    <w:p w14:paraId="7CB0ABE8">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项目资金使用管理严格按照上级相关要求和规定，同时严格执行《略坪镇人民政府财政专项资金管理办法》的规定。财政直达资金通过财政大平台直达项目实施方；该项目经费除通过财政大平台直接支付到项目实施方或商品和服务提供方外。其余资金</w:t>
      </w:r>
      <w:r>
        <w:rPr>
          <w:rFonts w:hint="eastAsia" w:ascii="仿宋_GB2312" w:hAnsi="宋体" w:eastAsia="仿宋_GB2312"/>
          <w:sz w:val="32"/>
          <w:szCs w:val="32"/>
          <w:lang w:val="zh-CN"/>
        </w:rPr>
        <w:t>通过财政大平台直接拨付到村（社区）。</w:t>
      </w:r>
      <w:r>
        <w:rPr>
          <w:rFonts w:hint="eastAsia" w:ascii="仿宋_GB2312" w:hAnsi="宋体" w:eastAsia="仿宋_GB2312" w:cs="宋体"/>
          <w:sz w:val="32"/>
          <w:szCs w:val="32"/>
          <w:lang w:val="zh-CN"/>
        </w:rPr>
        <w:t>项目资金开支范围严格按照各相关项目资金规定的范围开支，无截留、挤占、挪用等情况。</w:t>
      </w:r>
    </w:p>
    <w:p w14:paraId="3A1DF705">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4．项目资金分配原则</w:t>
      </w:r>
    </w:p>
    <w:p w14:paraId="2DFAE4F1">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分配主要考虑两方面原则：一是坚持“保重点，兼顾全面”的原则；二是坚持“注重绩效，突出民生效益”原则。该项目资金受益14个村1个社区，按照项目资金使用管理规定，每一个村平均分配资金5万元，剩余资金6.57万元分配给大成社区用于场镇保洁、垃圾清运和无害化处理开支。</w:t>
      </w:r>
    </w:p>
    <w:p w14:paraId="1AE78B7E">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2020年本项目资金分配情况如下表</w:t>
      </w:r>
    </w:p>
    <w:p w14:paraId="52F73F4B">
      <w:pPr>
        <w:adjustRightInd w:val="0"/>
        <w:snapToGrid w:val="0"/>
        <w:spacing w:line="560" w:lineRule="exact"/>
        <w:ind w:firstLine="643" w:firstLineChars="200"/>
        <w:rPr>
          <w:rFonts w:ascii="仿宋_GB2312" w:hAnsi="宋体" w:eastAsia="仿宋_GB2312" w:cs="宋体"/>
          <w:sz w:val="32"/>
          <w:szCs w:val="32"/>
          <w:lang w:val="zh-CN"/>
        </w:rPr>
      </w:pPr>
      <w:r>
        <w:rPr>
          <w:rFonts w:hint="eastAsia" w:ascii="仿宋_GB2312" w:hAnsi="宋体" w:eastAsia="仿宋_GB2312" w:cs="宋体"/>
          <w:b/>
          <w:sz w:val="32"/>
          <w:szCs w:val="32"/>
          <w:lang w:val="zh-CN"/>
        </w:rPr>
        <w:t xml:space="preserve">                                </w:t>
      </w:r>
      <w:r>
        <w:rPr>
          <w:rFonts w:hint="eastAsia" w:ascii="仿宋_GB2312" w:hAnsi="宋体" w:eastAsia="仿宋_GB2312" w:cs="宋体"/>
          <w:sz w:val="32"/>
          <w:szCs w:val="32"/>
          <w:lang w:val="zh-CN"/>
        </w:rPr>
        <w:t>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3905"/>
        <w:gridCol w:w="1239"/>
        <w:gridCol w:w="1239"/>
        <w:gridCol w:w="1601"/>
      </w:tblGrid>
      <w:tr w14:paraId="79B8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0" w:type="auto"/>
            <w:vAlign w:val="center"/>
          </w:tcPr>
          <w:p w14:paraId="1D9FEEB6">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序号</w:t>
            </w:r>
          </w:p>
        </w:tc>
        <w:tc>
          <w:tcPr>
            <w:tcW w:w="4418" w:type="dxa"/>
            <w:vAlign w:val="center"/>
          </w:tcPr>
          <w:p w14:paraId="274E9456">
            <w:pPr>
              <w:adjustRightInd w:val="0"/>
              <w:snapToGrid w:val="0"/>
              <w:spacing w:line="280" w:lineRule="exact"/>
              <w:jc w:val="center"/>
              <w:rPr>
                <w:rFonts w:ascii="仿宋_GB2312" w:hAnsi="宋体" w:eastAsia="仿宋_GB2312" w:cs="宋体"/>
                <w:b/>
                <w:sz w:val="32"/>
                <w:szCs w:val="32"/>
                <w:lang w:val="zh-CN"/>
              </w:rPr>
            </w:pPr>
          </w:p>
          <w:p w14:paraId="48198CC6">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单位名称</w:t>
            </w:r>
          </w:p>
          <w:p w14:paraId="7E3E8807">
            <w:pPr>
              <w:adjustRightInd w:val="0"/>
              <w:snapToGrid w:val="0"/>
              <w:spacing w:line="280" w:lineRule="exact"/>
              <w:jc w:val="center"/>
              <w:rPr>
                <w:rFonts w:ascii="仿宋_GB2312" w:hAnsi="宋体" w:eastAsia="仿宋_GB2312" w:cs="宋体"/>
                <w:b/>
                <w:sz w:val="32"/>
                <w:szCs w:val="32"/>
                <w:lang w:val="zh-CN"/>
              </w:rPr>
            </w:pPr>
          </w:p>
        </w:tc>
        <w:tc>
          <w:tcPr>
            <w:tcW w:w="1275" w:type="dxa"/>
            <w:vAlign w:val="center"/>
          </w:tcPr>
          <w:p w14:paraId="43F20AD5">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申报资</w:t>
            </w:r>
          </w:p>
          <w:p w14:paraId="1D5B4F39">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金规模</w:t>
            </w:r>
          </w:p>
        </w:tc>
        <w:tc>
          <w:tcPr>
            <w:tcW w:w="1276" w:type="dxa"/>
            <w:vAlign w:val="center"/>
          </w:tcPr>
          <w:p w14:paraId="70966198">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分配资</w:t>
            </w:r>
          </w:p>
          <w:p w14:paraId="1AA0D56D">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金额度</w:t>
            </w:r>
          </w:p>
        </w:tc>
        <w:tc>
          <w:tcPr>
            <w:tcW w:w="1779" w:type="dxa"/>
            <w:vAlign w:val="center"/>
          </w:tcPr>
          <w:p w14:paraId="75B40393">
            <w:pPr>
              <w:adjustRightInd w:val="0"/>
              <w:snapToGrid w:val="0"/>
              <w:spacing w:line="280" w:lineRule="exact"/>
              <w:jc w:val="center"/>
              <w:rPr>
                <w:rFonts w:ascii="仿宋_GB2312" w:hAnsi="宋体" w:eastAsia="仿宋_GB2312" w:cs="宋体"/>
                <w:b/>
                <w:sz w:val="32"/>
                <w:szCs w:val="32"/>
                <w:lang w:val="zh-CN"/>
              </w:rPr>
            </w:pPr>
          </w:p>
          <w:p w14:paraId="5D3C0B3C">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备注</w:t>
            </w:r>
          </w:p>
          <w:p w14:paraId="7B8288A1">
            <w:pPr>
              <w:adjustRightInd w:val="0"/>
              <w:snapToGrid w:val="0"/>
              <w:spacing w:line="280" w:lineRule="exact"/>
              <w:jc w:val="center"/>
              <w:rPr>
                <w:rFonts w:ascii="仿宋_GB2312" w:hAnsi="宋体" w:eastAsia="仿宋_GB2312" w:cs="宋体"/>
                <w:b/>
                <w:sz w:val="32"/>
                <w:szCs w:val="32"/>
                <w:lang w:val="zh-CN"/>
              </w:rPr>
            </w:pPr>
          </w:p>
        </w:tc>
      </w:tr>
      <w:tr w14:paraId="01D3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D988B99">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w:t>
            </w:r>
          </w:p>
        </w:tc>
        <w:tc>
          <w:tcPr>
            <w:tcW w:w="4418" w:type="dxa"/>
            <w:vAlign w:val="center"/>
          </w:tcPr>
          <w:p w14:paraId="0D735B05">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cs="宋体"/>
                <w:sz w:val="32"/>
                <w:szCs w:val="32"/>
                <w:lang w:val="zh-CN"/>
              </w:rPr>
              <w:t>各村级组织（14个村）</w:t>
            </w:r>
          </w:p>
        </w:tc>
        <w:tc>
          <w:tcPr>
            <w:tcW w:w="1275" w:type="dxa"/>
            <w:vAlign w:val="center"/>
          </w:tcPr>
          <w:p w14:paraId="37BE28E8">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70.00</w:t>
            </w:r>
          </w:p>
        </w:tc>
        <w:tc>
          <w:tcPr>
            <w:tcW w:w="1276" w:type="dxa"/>
            <w:vAlign w:val="center"/>
          </w:tcPr>
          <w:p w14:paraId="5EC166FA">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70.00</w:t>
            </w:r>
          </w:p>
        </w:tc>
        <w:tc>
          <w:tcPr>
            <w:tcW w:w="1779" w:type="dxa"/>
            <w:vAlign w:val="center"/>
          </w:tcPr>
          <w:p w14:paraId="293B3C22">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每村5万元</w:t>
            </w:r>
          </w:p>
        </w:tc>
      </w:tr>
      <w:tr w14:paraId="6715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E07EEE">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2</w:t>
            </w:r>
          </w:p>
        </w:tc>
        <w:tc>
          <w:tcPr>
            <w:tcW w:w="4418" w:type="dxa"/>
            <w:vAlign w:val="center"/>
          </w:tcPr>
          <w:p w14:paraId="30AF3B7D">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cs="宋体"/>
                <w:sz w:val="32"/>
                <w:szCs w:val="32"/>
                <w:lang w:val="zh-CN"/>
              </w:rPr>
              <w:t>大成社区 （1个）</w:t>
            </w:r>
          </w:p>
        </w:tc>
        <w:tc>
          <w:tcPr>
            <w:tcW w:w="1275" w:type="dxa"/>
            <w:vAlign w:val="center"/>
          </w:tcPr>
          <w:p w14:paraId="32BE570B">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6.57</w:t>
            </w:r>
          </w:p>
        </w:tc>
        <w:tc>
          <w:tcPr>
            <w:tcW w:w="1276" w:type="dxa"/>
            <w:vAlign w:val="center"/>
          </w:tcPr>
          <w:p w14:paraId="02F8FF4B">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6.57</w:t>
            </w:r>
          </w:p>
        </w:tc>
        <w:tc>
          <w:tcPr>
            <w:tcW w:w="1779" w:type="dxa"/>
            <w:vAlign w:val="center"/>
          </w:tcPr>
          <w:p w14:paraId="0E61E622">
            <w:pPr>
              <w:adjustRightInd w:val="0"/>
              <w:snapToGrid w:val="0"/>
              <w:spacing w:line="400" w:lineRule="exact"/>
              <w:jc w:val="center"/>
              <w:rPr>
                <w:rFonts w:ascii="仿宋_GB2312" w:hAnsi="宋体" w:eastAsia="仿宋_GB2312" w:cs="宋体"/>
                <w:sz w:val="32"/>
                <w:szCs w:val="32"/>
                <w:lang w:val="zh-CN"/>
              </w:rPr>
            </w:pPr>
          </w:p>
        </w:tc>
      </w:tr>
      <w:tr w14:paraId="645D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vAlign w:val="center"/>
          </w:tcPr>
          <w:p w14:paraId="3FDE5BA3">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合 计</w:t>
            </w:r>
          </w:p>
        </w:tc>
        <w:tc>
          <w:tcPr>
            <w:tcW w:w="1275" w:type="dxa"/>
            <w:vAlign w:val="center"/>
          </w:tcPr>
          <w:p w14:paraId="6B234FB3">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76.57</w:t>
            </w:r>
          </w:p>
        </w:tc>
        <w:tc>
          <w:tcPr>
            <w:tcW w:w="1276" w:type="dxa"/>
            <w:vAlign w:val="center"/>
          </w:tcPr>
          <w:p w14:paraId="68ACD9DA">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76.57</w:t>
            </w:r>
          </w:p>
        </w:tc>
        <w:tc>
          <w:tcPr>
            <w:tcW w:w="1779" w:type="dxa"/>
          </w:tcPr>
          <w:p w14:paraId="2AC497C4">
            <w:pPr>
              <w:adjustRightInd w:val="0"/>
              <w:snapToGrid w:val="0"/>
              <w:spacing w:line="400" w:lineRule="exact"/>
              <w:jc w:val="center"/>
              <w:rPr>
                <w:rFonts w:ascii="仿宋_GB2312" w:hAnsi="宋体" w:eastAsia="仿宋_GB2312" w:cs="宋体"/>
                <w:sz w:val="32"/>
                <w:szCs w:val="32"/>
                <w:lang w:val="zh-CN"/>
              </w:rPr>
            </w:pPr>
          </w:p>
        </w:tc>
      </w:tr>
    </w:tbl>
    <w:p w14:paraId="23C55668">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（二）项目绩效目标情况</w:t>
      </w:r>
    </w:p>
    <w:p w14:paraId="67B3B59C">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1．项目实施的主要内容及绩效目标设置情况</w:t>
      </w:r>
    </w:p>
    <w:p w14:paraId="0E1C1D2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各项目绩效目标按照“总体目标”和“绩效目标”编制。其中：“绩效目标”分别设置一级目标三项即：产出指标、效益指标和满意度指标；二级目标设置七项即：数量指标、质量指标、时效指标、成本指标、社会效益指标、可持续影响指标和服务对象满意度指标；三级指标共设七项，对应二级指标的具体数量、质量、完成时期、可持续发挥效益期限和群众满意度指标，以及项目指标值对应的项目实施的具体内容。</w:t>
      </w:r>
    </w:p>
    <w:p w14:paraId="1E9DEC3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b/>
          <w:sz w:val="32"/>
          <w:szCs w:val="32"/>
          <w:lang w:val="zh-CN"/>
        </w:rPr>
        <w:t>总体目标是：</w:t>
      </w:r>
      <w:r>
        <w:rPr>
          <w:rFonts w:hint="eastAsia" w:ascii="仿宋_GB2312" w:hAnsi="宋体" w:eastAsia="仿宋_GB2312"/>
          <w:sz w:val="32"/>
          <w:szCs w:val="32"/>
          <w:lang w:val="zh-CN"/>
        </w:rPr>
        <w:t>保持镇辖区内特别是主要道路两旁无白色垃圾、纸片，无生活垃圾、建筑垃圾倾倒现象，垃圾池内垃圾及时清运、无外溢现象，保持垃圾池外观整洁，无小广告污染。</w:t>
      </w:r>
    </w:p>
    <w:p w14:paraId="4EBA4085">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9229" w:type="dxa"/>
        <w:tblInd w:w="0" w:type="dxa"/>
        <w:tblLayout w:type="autofit"/>
        <w:tblCellMar>
          <w:top w:w="0" w:type="dxa"/>
          <w:left w:w="0" w:type="dxa"/>
          <w:bottom w:w="0" w:type="dxa"/>
          <w:right w:w="0" w:type="dxa"/>
        </w:tblCellMar>
      </w:tblPr>
      <w:tblGrid>
        <w:gridCol w:w="1630"/>
        <w:gridCol w:w="890"/>
        <w:gridCol w:w="3140"/>
        <w:gridCol w:w="3569"/>
      </w:tblGrid>
      <w:tr w14:paraId="3D0AE2AA">
        <w:tblPrEx>
          <w:tblCellMar>
            <w:top w:w="0" w:type="dxa"/>
            <w:left w:w="0" w:type="dxa"/>
            <w:bottom w:w="0" w:type="dxa"/>
            <w:right w:w="0" w:type="dxa"/>
          </w:tblCellMar>
        </w:tblPrEx>
        <w:trPr>
          <w:trHeight w:val="559" w:hRule="atLeast"/>
        </w:trPr>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8183AD">
            <w:pPr>
              <w:jc w:val="center"/>
              <w:rPr>
                <w:rFonts w:ascii="仿宋_GB2312" w:hAnsi="宋体" w:eastAsia="仿宋_GB2312" w:cs="宋体"/>
                <w:sz w:val="32"/>
                <w:szCs w:val="32"/>
              </w:rPr>
            </w:pPr>
            <w:r>
              <w:rPr>
                <w:rFonts w:hint="eastAsia" w:ascii="仿宋_GB2312" w:eastAsia="仿宋_GB2312"/>
                <w:sz w:val="32"/>
                <w:szCs w:val="32"/>
              </w:rPr>
              <w:t>一级指标</w:t>
            </w:r>
          </w:p>
        </w:tc>
        <w:tc>
          <w:tcPr>
            <w:tcW w:w="89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0E8E0F">
            <w:pPr>
              <w:jc w:val="center"/>
              <w:rPr>
                <w:rFonts w:ascii="仿宋_GB2312" w:hAnsi="宋体" w:eastAsia="仿宋_GB2312" w:cs="宋体"/>
                <w:sz w:val="32"/>
                <w:szCs w:val="32"/>
              </w:rPr>
            </w:pPr>
            <w:r>
              <w:rPr>
                <w:rFonts w:hint="eastAsia" w:ascii="仿宋_GB2312" w:eastAsia="仿宋_GB2312"/>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6742E">
            <w:pPr>
              <w:jc w:val="center"/>
              <w:rPr>
                <w:rFonts w:ascii="仿宋_GB2312" w:hAnsi="宋体" w:eastAsia="仿宋_GB2312" w:cs="宋体"/>
                <w:sz w:val="32"/>
                <w:szCs w:val="32"/>
              </w:rPr>
            </w:pPr>
            <w:r>
              <w:rPr>
                <w:rFonts w:hint="eastAsia" w:ascii="仿宋_GB2312" w:eastAsia="仿宋_GB2312"/>
                <w:sz w:val="32"/>
                <w:szCs w:val="32"/>
              </w:rPr>
              <w:t>三级指标</w:t>
            </w:r>
          </w:p>
        </w:tc>
        <w:tc>
          <w:tcPr>
            <w:tcW w:w="356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6F368">
            <w:pPr>
              <w:jc w:val="center"/>
              <w:rPr>
                <w:rFonts w:ascii="仿宋_GB2312" w:hAnsi="宋体" w:eastAsia="仿宋_GB2312" w:cs="宋体"/>
                <w:sz w:val="32"/>
                <w:szCs w:val="32"/>
              </w:rPr>
            </w:pPr>
            <w:r>
              <w:rPr>
                <w:rFonts w:hint="eastAsia" w:ascii="仿宋_GB2312" w:eastAsia="仿宋_GB2312"/>
                <w:sz w:val="32"/>
                <w:szCs w:val="32"/>
              </w:rPr>
              <w:t>指标值（包含数字及文字描述）</w:t>
            </w:r>
          </w:p>
        </w:tc>
      </w:tr>
      <w:tr w14:paraId="66994FCB">
        <w:tblPrEx>
          <w:tblCellMar>
            <w:top w:w="0" w:type="dxa"/>
            <w:left w:w="0" w:type="dxa"/>
            <w:bottom w:w="0" w:type="dxa"/>
            <w:right w:w="0" w:type="dxa"/>
          </w:tblCellMar>
        </w:tblPrEx>
        <w:trPr>
          <w:trHeight w:val="642"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31F4B3A6">
            <w:pPr>
              <w:jc w:val="center"/>
              <w:rPr>
                <w:rFonts w:ascii="仿宋_GB2312" w:hAnsi="宋体" w:eastAsia="仿宋_GB2312" w:cs="宋体"/>
                <w:sz w:val="32"/>
                <w:szCs w:val="32"/>
              </w:rPr>
            </w:pPr>
            <w:r>
              <w:rPr>
                <w:rFonts w:hint="eastAsia" w:ascii="仿宋_GB2312" w:eastAsia="仿宋_GB2312"/>
                <w:sz w:val="32"/>
                <w:szCs w:val="32"/>
              </w:rPr>
              <w:t>产出指标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2420D75B">
            <w:pPr>
              <w:jc w:val="center"/>
              <w:rPr>
                <w:rFonts w:ascii="仿宋_GB2312" w:hAnsi="宋体" w:eastAsia="仿宋_GB2312" w:cs="宋体"/>
                <w:sz w:val="32"/>
                <w:szCs w:val="32"/>
              </w:rPr>
            </w:pPr>
            <w:r>
              <w:rPr>
                <w:rFonts w:hint="eastAsia" w:ascii="仿宋_GB2312" w:eastAsia="仿宋_GB2312"/>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BA7577">
            <w:pPr>
              <w:rPr>
                <w:rFonts w:ascii="仿宋_GB2312" w:hAnsi="宋体" w:eastAsia="仿宋_GB2312" w:cs="宋体"/>
                <w:sz w:val="32"/>
                <w:szCs w:val="32"/>
              </w:rPr>
            </w:pPr>
            <w:r>
              <w:rPr>
                <w:rFonts w:hint="eastAsia" w:ascii="仿宋_GB2312" w:eastAsia="仿宋_GB2312"/>
                <w:sz w:val="32"/>
                <w:szCs w:val="32"/>
              </w:rPr>
              <w:t>每天定时清运垃圾池，保洁员每天8小时以上在岗时间，</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A6DA71">
            <w:pPr>
              <w:rPr>
                <w:rFonts w:ascii="仿宋_GB2312" w:hAnsi="宋体" w:eastAsia="仿宋_GB2312" w:cs="宋体"/>
                <w:sz w:val="32"/>
                <w:szCs w:val="32"/>
              </w:rPr>
            </w:pPr>
            <w:r>
              <w:rPr>
                <w:rFonts w:hint="eastAsia" w:ascii="仿宋_GB2312" w:eastAsia="仿宋_GB2312"/>
                <w:sz w:val="32"/>
                <w:szCs w:val="32"/>
              </w:rPr>
              <w:t>每天早晚各1次/天</w:t>
            </w:r>
          </w:p>
        </w:tc>
      </w:tr>
      <w:tr w14:paraId="17DCFDBE">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5AB91A0D">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B41F09">
            <w:pPr>
              <w:jc w:val="center"/>
              <w:rPr>
                <w:rFonts w:ascii="仿宋_GB2312" w:hAnsi="宋体" w:eastAsia="仿宋_GB2312" w:cs="宋体"/>
                <w:sz w:val="32"/>
                <w:szCs w:val="32"/>
              </w:rPr>
            </w:pPr>
            <w:r>
              <w:rPr>
                <w:rFonts w:hint="eastAsia" w:ascii="仿宋_GB2312" w:eastAsia="仿宋_GB2312"/>
                <w:sz w:val="32"/>
                <w:szCs w:val="32"/>
              </w:rPr>
              <w:t>质量指标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FF7A58">
            <w:pPr>
              <w:rPr>
                <w:rFonts w:ascii="仿宋_GB2312" w:hAnsi="宋体" w:eastAsia="仿宋_GB2312" w:cs="宋体"/>
                <w:sz w:val="32"/>
                <w:szCs w:val="32"/>
              </w:rPr>
            </w:pPr>
            <w:r>
              <w:rPr>
                <w:rFonts w:hint="eastAsia" w:ascii="仿宋_GB2312" w:eastAsia="仿宋_GB2312"/>
                <w:sz w:val="32"/>
                <w:szCs w:val="32"/>
              </w:rPr>
              <w:t>垃圾池无外溢，外观整洁，辖区内环境整洁</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FE6FB8B">
            <w:pPr>
              <w:rPr>
                <w:rFonts w:ascii="仿宋_GB2312" w:hAnsi="宋体" w:eastAsia="仿宋_GB2312" w:cs="宋体"/>
                <w:sz w:val="32"/>
                <w:szCs w:val="32"/>
              </w:rPr>
            </w:pPr>
            <w:r>
              <w:rPr>
                <w:rFonts w:hint="eastAsia" w:ascii="仿宋_GB2312" w:eastAsia="仿宋_GB2312"/>
                <w:sz w:val="32"/>
                <w:szCs w:val="32"/>
              </w:rPr>
              <w:t>1次/天</w:t>
            </w:r>
          </w:p>
        </w:tc>
      </w:tr>
      <w:tr w14:paraId="06D04A90">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12BBBF25">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D553F3">
            <w:pPr>
              <w:jc w:val="center"/>
              <w:rPr>
                <w:rFonts w:ascii="仿宋_GB2312" w:hAnsi="宋体" w:eastAsia="仿宋_GB2312" w:cs="宋体"/>
                <w:sz w:val="32"/>
                <w:szCs w:val="32"/>
              </w:rPr>
            </w:pPr>
            <w:r>
              <w:rPr>
                <w:rFonts w:hint="eastAsia" w:ascii="仿宋_GB2312" w:eastAsia="仿宋_GB2312"/>
                <w:sz w:val="32"/>
                <w:szCs w:val="32"/>
              </w:rPr>
              <w:t>时效指标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6E68B7">
            <w:pPr>
              <w:rPr>
                <w:rFonts w:ascii="仿宋_GB2312" w:hAnsi="宋体" w:eastAsia="仿宋_GB2312" w:cs="宋体"/>
                <w:sz w:val="32"/>
                <w:szCs w:val="32"/>
              </w:rPr>
            </w:pPr>
            <w:r>
              <w:rPr>
                <w:rFonts w:hint="eastAsia" w:ascii="仿宋_GB2312" w:eastAsia="仿宋_GB2312"/>
                <w:sz w:val="32"/>
                <w:szCs w:val="32"/>
              </w:rPr>
              <w:t>垃圾清运与辖区内环境保洁</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D88CBA">
            <w:pPr>
              <w:rPr>
                <w:rFonts w:ascii="仿宋_GB2312" w:hAnsi="宋体" w:eastAsia="仿宋_GB2312" w:cs="宋体"/>
                <w:sz w:val="32"/>
                <w:szCs w:val="32"/>
              </w:rPr>
            </w:pPr>
            <w:r>
              <w:rPr>
                <w:rFonts w:hint="eastAsia" w:ascii="仿宋_GB2312" w:eastAsia="仿宋_GB2312"/>
                <w:sz w:val="32"/>
                <w:szCs w:val="32"/>
              </w:rPr>
              <w:t>2020年全年</w:t>
            </w:r>
          </w:p>
        </w:tc>
      </w:tr>
      <w:tr w14:paraId="465C9040">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79367C21">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C83314">
            <w:pPr>
              <w:jc w:val="center"/>
              <w:rPr>
                <w:rFonts w:ascii="仿宋_GB2312" w:hAnsi="宋体" w:eastAsia="仿宋_GB2312" w:cs="宋体"/>
                <w:sz w:val="32"/>
                <w:szCs w:val="32"/>
              </w:rPr>
            </w:pPr>
            <w:r>
              <w:rPr>
                <w:rFonts w:hint="eastAsia" w:ascii="仿宋_GB2312" w:eastAsia="仿宋_GB2312"/>
                <w:sz w:val="32"/>
                <w:szCs w:val="32"/>
              </w:rPr>
              <w:t>成本指标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6D334E">
            <w:pPr>
              <w:rPr>
                <w:rFonts w:ascii="仿宋_GB2312" w:hAnsi="宋体" w:eastAsia="仿宋_GB2312" w:cs="宋体"/>
                <w:sz w:val="32"/>
                <w:szCs w:val="32"/>
              </w:rPr>
            </w:pPr>
            <w:r>
              <w:rPr>
                <w:rFonts w:hint="eastAsia" w:ascii="仿宋_GB2312" w:eastAsia="仿宋_GB2312"/>
                <w:sz w:val="32"/>
                <w:szCs w:val="32"/>
              </w:rPr>
              <w:t>垃圾清运和保洁员劳务费</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69AA1B">
            <w:pPr>
              <w:rPr>
                <w:rFonts w:ascii="仿宋_GB2312" w:hAnsi="宋体" w:eastAsia="仿宋_GB2312" w:cs="宋体"/>
                <w:sz w:val="32"/>
                <w:szCs w:val="32"/>
              </w:rPr>
            </w:pPr>
            <w:r>
              <w:rPr>
                <w:rFonts w:hint="eastAsia" w:ascii="仿宋_GB2312" w:eastAsia="仿宋_GB2312"/>
                <w:sz w:val="32"/>
                <w:szCs w:val="32"/>
              </w:rPr>
              <w:t>劳务费625元/人·月</w:t>
            </w:r>
          </w:p>
        </w:tc>
      </w:tr>
      <w:tr w14:paraId="79EF4384">
        <w:tblPrEx>
          <w:tblCellMar>
            <w:top w:w="0" w:type="dxa"/>
            <w:left w:w="0" w:type="dxa"/>
            <w:bottom w:w="0" w:type="dxa"/>
            <w:right w:w="0" w:type="dxa"/>
          </w:tblCellMar>
        </w:tblPrEx>
        <w:trPr>
          <w:trHeight w:val="720" w:hRule="atLeast"/>
        </w:trPr>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5FF415A9">
            <w:pPr>
              <w:jc w:val="center"/>
              <w:rPr>
                <w:rFonts w:ascii="仿宋_GB2312" w:hAnsi="宋体" w:eastAsia="仿宋_GB2312" w:cs="宋体"/>
                <w:sz w:val="32"/>
                <w:szCs w:val="32"/>
              </w:rPr>
            </w:pPr>
            <w:r>
              <w:rPr>
                <w:rFonts w:hint="eastAsia" w:ascii="仿宋_GB2312" w:eastAsia="仿宋_GB2312"/>
                <w:sz w:val="32"/>
                <w:szCs w:val="32"/>
              </w:rPr>
              <w:t>效益指标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39E63033">
            <w:pPr>
              <w:jc w:val="center"/>
              <w:rPr>
                <w:rFonts w:ascii="仿宋_GB2312" w:hAnsi="宋体" w:eastAsia="仿宋_GB2312" w:cs="宋体"/>
                <w:sz w:val="32"/>
                <w:szCs w:val="32"/>
              </w:rPr>
            </w:pPr>
            <w:r>
              <w:rPr>
                <w:rFonts w:hint="eastAsia" w:ascii="仿宋_GB2312" w:eastAsia="仿宋_GB2312"/>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4FC717">
            <w:pPr>
              <w:rPr>
                <w:rFonts w:ascii="仿宋_GB2312" w:hAnsi="宋体" w:eastAsia="仿宋_GB2312" w:cs="宋体"/>
                <w:sz w:val="32"/>
                <w:szCs w:val="32"/>
              </w:rPr>
            </w:pPr>
            <w:r>
              <w:rPr>
                <w:rFonts w:hint="eastAsia" w:ascii="仿宋_GB2312" w:eastAsia="仿宋_GB2312"/>
                <w:sz w:val="32"/>
                <w:szCs w:val="32"/>
              </w:rPr>
              <w:t>环境整洁率</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91C2894">
            <w:pPr>
              <w:rPr>
                <w:rFonts w:ascii="仿宋_GB2312" w:hAnsi="宋体" w:eastAsia="仿宋_GB2312" w:cs="宋体"/>
                <w:sz w:val="32"/>
                <w:szCs w:val="32"/>
              </w:rPr>
            </w:pPr>
            <w:r>
              <w:rPr>
                <w:rFonts w:hint="eastAsia" w:ascii="仿宋_GB2312" w:eastAsia="仿宋_GB2312"/>
                <w:sz w:val="32"/>
                <w:szCs w:val="32"/>
              </w:rPr>
              <w:t>环境整洁天数</w:t>
            </w:r>
            <w:r>
              <w:rPr>
                <w:rFonts w:hint="eastAsia" w:ascii="仿宋_GB2312" w:hAnsi="宋体" w:cs="宋体"/>
                <w:sz w:val="32"/>
                <w:szCs w:val="32"/>
              </w:rPr>
              <w:t>≧</w:t>
            </w:r>
            <w:r>
              <w:rPr>
                <w:rFonts w:hint="eastAsia" w:ascii="仿宋_GB2312" w:eastAsia="仿宋_GB2312"/>
                <w:sz w:val="32"/>
                <w:szCs w:val="32"/>
              </w:rPr>
              <w:t>360天</w:t>
            </w:r>
          </w:p>
        </w:tc>
      </w:tr>
      <w:tr w14:paraId="682E9055">
        <w:tblPrEx>
          <w:tblCellMar>
            <w:top w:w="0" w:type="dxa"/>
            <w:left w:w="0" w:type="dxa"/>
            <w:bottom w:w="0" w:type="dxa"/>
            <w:right w:w="0"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vAlign w:val="center"/>
          </w:tcPr>
          <w:p w14:paraId="330D0A55">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1795B8">
            <w:pPr>
              <w:jc w:val="center"/>
              <w:rPr>
                <w:rFonts w:ascii="仿宋_GB2312" w:hAnsi="宋体" w:eastAsia="仿宋_GB2312" w:cs="宋体"/>
                <w:sz w:val="32"/>
                <w:szCs w:val="32"/>
              </w:rPr>
            </w:pPr>
            <w:r>
              <w:rPr>
                <w:rFonts w:hint="eastAsia" w:ascii="仿宋_GB2312" w:eastAsia="仿宋_GB2312"/>
                <w:sz w:val="32"/>
                <w:szCs w:val="32"/>
              </w:rPr>
              <w:t>可持续影响指标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0947E71">
            <w:pPr>
              <w:rPr>
                <w:rFonts w:ascii="仿宋_GB2312" w:hAnsi="宋体" w:eastAsia="仿宋_GB2312" w:cs="宋体"/>
                <w:sz w:val="32"/>
                <w:szCs w:val="32"/>
              </w:rPr>
            </w:pPr>
            <w:r>
              <w:rPr>
                <w:rFonts w:hint="eastAsia" w:ascii="仿宋_GB2312" w:eastAsia="仿宋_GB2312"/>
                <w:sz w:val="32"/>
                <w:szCs w:val="32"/>
              </w:rPr>
              <w:t>项目可持续发挥作用期限</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8FA729">
            <w:pPr>
              <w:rPr>
                <w:rFonts w:ascii="仿宋_GB2312" w:hAnsi="宋体" w:eastAsia="仿宋_GB2312" w:cs="宋体"/>
                <w:sz w:val="32"/>
                <w:szCs w:val="32"/>
              </w:rPr>
            </w:pPr>
            <w:r>
              <w:rPr>
                <w:rFonts w:hint="eastAsia" w:ascii="仿宋_GB2312" w:eastAsia="仿宋_GB2312"/>
                <w:sz w:val="32"/>
                <w:szCs w:val="32"/>
              </w:rPr>
              <w:t>长期</w:t>
            </w:r>
          </w:p>
        </w:tc>
      </w:tr>
      <w:tr w14:paraId="0F255B8D">
        <w:tblPrEx>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B02F3A">
            <w:pPr>
              <w:jc w:val="center"/>
              <w:rPr>
                <w:rFonts w:ascii="仿宋_GB2312" w:hAnsi="宋体" w:eastAsia="仿宋_GB2312" w:cs="宋体"/>
                <w:sz w:val="32"/>
                <w:szCs w:val="32"/>
              </w:rPr>
            </w:pPr>
            <w:r>
              <w:rPr>
                <w:rFonts w:hint="eastAsia" w:ascii="仿宋_GB2312" w:eastAsia="仿宋_GB2312"/>
                <w:sz w:val="32"/>
                <w:szCs w:val="32"/>
              </w:rPr>
              <w:t>满意度指标</w:t>
            </w:r>
          </w:p>
        </w:tc>
        <w:tc>
          <w:tcPr>
            <w:tcW w:w="8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134ED08">
            <w:pPr>
              <w:jc w:val="center"/>
              <w:rPr>
                <w:rFonts w:ascii="仿宋_GB2312" w:hAnsi="宋体" w:eastAsia="仿宋_GB2312" w:cs="宋体"/>
                <w:sz w:val="32"/>
                <w:szCs w:val="32"/>
              </w:rPr>
            </w:pPr>
            <w:r>
              <w:rPr>
                <w:rFonts w:hint="eastAsia" w:ascii="仿宋_GB2312" w:eastAsia="仿宋_GB2312"/>
                <w:sz w:val="32"/>
                <w:szCs w:val="32"/>
              </w:rPr>
              <w:t>服务对象满意度指标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BAEEBF0">
            <w:pPr>
              <w:rPr>
                <w:rFonts w:ascii="仿宋_GB2312" w:hAnsi="宋体" w:eastAsia="仿宋_GB2312" w:cs="宋体"/>
                <w:sz w:val="32"/>
                <w:szCs w:val="32"/>
              </w:rPr>
            </w:pPr>
            <w:r>
              <w:rPr>
                <w:rFonts w:hint="eastAsia" w:ascii="仿宋_GB2312" w:eastAsia="仿宋_GB2312"/>
                <w:sz w:val="32"/>
                <w:szCs w:val="32"/>
              </w:rPr>
              <w:t>受益群众满意度</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A3D0094">
            <w:pPr>
              <w:rPr>
                <w:rFonts w:ascii="仿宋_GB2312" w:hAnsi="宋体" w:eastAsia="仿宋_GB2312" w:cs="宋体"/>
                <w:sz w:val="32"/>
                <w:szCs w:val="32"/>
              </w:rPr>
            </w:pPr>
            <w:r>
              <w:rPr>
                <w:rFonts w:hint="eastAsia" w:ascii="仿宋_GB2312" w:hAnsi="宋体" w:cs="宋体"/>
                <w:sz w:val="32"/>
                <w:szCs w:val="32"/>
              </w:rPr>
              <w:t>≧</w:t>
            </w:r>
            <w:r>
              <w:rPr>
                <w:rFonts w:hint="eastAsia" w:ascii="仿宋_GB2312" w:eastAsia="仿宋_GB2312"/>
                <w:sz w:val="32"/>
                <w:szCs w:val="32"/>
              </w:rPr>
              <w:t>95%</w:t>
            </w:r>
          </w:p>
        </w:tc>
      </w:tr>
    </w:tbl>
    <w:p w14:paraId="4687D594">
      <w:pPr>
        <w:adjustRightInd w:val="0"/>
        <w:snapToGrid w:val="0"/>
        <w:spacing w:line="560" w:lineRule="exact"/>
        <w:rPr>
          <w:rFonts w:ascii="仿宋_GB2312" w:hAnsi="宋体" w:eastAsia="仿宋_GB2312"/>
          <w:sz w:val="32"/>
          <w:szCs w:val="32"/>
          <w:lang w:val="zh-CN"/>
        </w:rPr>
      </w:pPr>
      <w:r>
        <w:rPr>
          <w:rFonts w:hint="eastAsia" w:ascii="仿宋_GB2312" w:hAnsi="宋体" w:eastAsia="仿宋_GB2312"/>
          <w:sz w:val="32"/>
          <w:szCs w:val="32"/>
          <w:lang w:val="zh-CN"/>
        </w:rPr>
        <w:t xml:space="preserve">     2．项目绩效目标实现情况</w:t>
      </w:r>
    </w:p>
    <w:p w14:paraId="43271F9C">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2020年，该项目绩效目标完成较好，由于该项目主要用于辖区内的环境综合治理和生活垃圾收集及无害化处理方面。通过项目实施，辖区内人居环境质量大幅度提升。同时，维修农业排灌沟渠33米，村组道路维修45米，“村村响”广播维护14个村。环境治理与保洁方面，每月由专人开展定期或不定期检查验收和考核；工程质量经组织相关人员验收均为合格，“村村响”广播正常使用为新冠肺炎疫情防控宣传工作发挥了重要作用。截止2020年底，项目绩效目标全面完成。</w:t>
      </w:r>
    </w:p>
    <w:p w14:paraId="41597B2B">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3．项目绩效目标编制质量评价</w:t>
      </w:r>
    </w:p>
    <w:p w14:paraId="02A6B2B9">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目标编制自下而上开展，首先由各项目实施单位提出具体实施的项目，依据各明细项目编制绩效目标，总体绩效编制较为规范，符合各项目资金规定的开支范围，绩效目标重点突出，目标效益明显。绩效目标申报与绩效目标实现情况基本相符，具备较好的可操作性。</w:t>
      </w:r>
    </w:p>
    <w:p w14:paraId="27170A13">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（三）项目绩效自评步骤及方法</w:t>
      </w:r>
    </w:p>
    <w:p w14:paraId="2D46CE08">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本项目绩效自评分三个阶段，即评价准备阶段、自评阶段和终评阶段。</w:t>
      </w:r>
    </w:p>
    <w:p w14:paraId="76525D98">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准备阶段</w:t>
      </w:r>
      <w:r>
        <w:rPr>
          <w:rFonts w:hint="eastAsia" w:ascii="仿宋_GB2312" w:hAnsi="宋体" w:eastAsia="仿宋_GB2312"/>
          <w:sz w:val="32"/>
          <w:szCs w:val="32"/>
        </w:rPr>
        <w:t xml:space="preserve">  由镇财政所提供项目财务会计资料，并组织相关职能部门收集项目绩效映衬资料，制定评价实施方案，确定评价指标细则等工作。</w:t>
      </w:r>
    </w:p>
    <w:p w14:paraId="3AC033C0">
      <w:pPr>
        <w:spacing w:line="560" w:lineRule="exact"/>
        <w:ind w:firstLine="640"/>
        <w:rPr>
          <w:rFonts w:ascii="仿宋_GB2312" w:hAnsi="宋体" w:eastAsia="仿宋_GB2312"/>
          <w:sz w:val="32"/>
          <w:szCs w:val="32"/>
        </w:rPr>
      </w:pPr>
      <w:r>
        <w:rPr>
          <w:rFonts w:hint="eastAsia" w:ascii="仿宋_GB2312" w:hAnsi="宋体" w:eastAsia="仿宋_GB2312"/>
          <w:b/>
          <w:sz w:val="32"/>
          <w:szCs w:val="32"/>
        </w:rPr>
        <w:t>自评阶段</w:t>
      </w:r>
      <w:r>
        <w:rPr>
          <w:rFonts w:hint="eastAsia" w:ascii="仿宋_GB2312" w:hAnsi="宋体" w:eastAsia="仿宋_GB2312"/>
          <w:sz w:val="32"/>
          <w:szCs w:val="32"/>
        </w:rPr>
        <w:t xml:space="preserve">  按照财政资金运用方向，确定归口使用管理部门开展自评，按照绩效目标申报情况，从绩效目标设置和合理性、科学性开展评价，分析绩效目标申报与实现情况差异原因，分析绩效目标效益发挥情况，评价项目绩效目标质量控制情况，并对项目资金分配与使用管理，支付程序与审核审批，结算审查等方面开展自评，各职能部门自评情况交由镇财政所汇总。</w:t>
      </w:r>
    </w:p>
    <w:p w14:paraId="26407C9A">
      <w:pPr>
        <w:adjustRightInd w:val="0"/>
        <w:snapToGrid w:val="0"/>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sz w:val="32"/>
          <w:szCs w:val="32"/>
        </w:rPr>
        <w:t>终评阶段</w:t>
      </w:r>
      <w:r>
        <w:rPr>
          <w:rFonts w:hint="eastAsia" w:ascii="仿宋_GB2312" w:hAnsi="宋体" w:eastAsia="仿宋_GB2312"/>
          <w:sz w:val="32"/>
          <w:szCs w:val="32"/>
        </w:rPr>
        <w:t xml:space="preserve">  首先，组织相关职能部门召开终评会议，讨论各职能部门初评自评情况；其次，通过核查相关项目文件资料，查阅会计档案、会计凭证和会计报表，对各职能部门自评结果进行定量定性分析；最后，经综合评议形成评价结论。并依据综合评价结论编制各项目绩效评价报告。</w:t>
      </w:r>
    </w:p>
    <w:p w14:paraId="624E11DC">
      <w:pPr>
        <w:adjustRightInd w:val="0"/>
        <w:snapToGrid w:val="0"/>
        <w:spacing w:line="560" w:lineRule="exact"/>
        <w:ind w:left="105" w:leftChars="50" w:firstLine="643" w:firstLineChars="200"/>
        <w:rPr>
          <w:rFonts w:ascii="仿宋_GB2312" w:hAnsi="宋体" w:eastAsia="仿宋_GB2312"/>
          <w:b/>
          <w:sz w:val="32"/>
          <w:szCs w:val="32"/>
        </w:rPr>
      </w:pPr>
      <w:r>
        <w:rPr>
          <w:rFonts w:hint="eastAsia" w:ascii="仿宋_GB2312" w:hAnsi="宋体" w:eastAsia="仿宋_GB2312"/>
          <w:b/>
          <w:sz w:val="32"/>
          <w:szCs w:val="32"/>
        </w:rPr>
        <w:t>二、项目资金申报及使用情况</w:t>
      </w:r>
    </w:p>
    <w:p w14:paraId="1285520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（一）项目资金申报及批复情况。</w:t>
      </w:r>
    </w:p>
    <w:p w14:paraId="7EF7859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2020年初，该项目财政预算安排资金14万元，本年度内追加财政预算项目支出62.57万元，实际申报项目资金76.57万元。</w:t>
      </w:r>
    </w:p>
    <w:p w14:paraId="28F0524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项目资金按资金来源划分如下：</w:t>
      </w:r>
    </w:p>
    <w:p w14:paraId="3C2FC087">
      <w:pPr>
        <w:adjustRightInd w:val="0"/>
        <w:snapToGrid w:val="0"/>
        <w:spacing w:line="560" w:lineRule="exact"/>
        <w:ind w:firstLine="643" w:firstLineChars="200"/>
        <w:rPr>
          <w:rFonts w:ascii="仿宋_GB2312" w:hAnsi="宋体" w:eastAsia="仿宋_GB2312" w:cs="宋体"/>
          <w:sz w:val="32"/>
          <w:szCs w:val="32"/>
          <w:lang w:val="zh-CN"/>
        </w:rPr>
      </w:pPr>
      <w:r>
        <w:rPr>
          <w:rFonts w:hint="eastAsia" w:ascii="仿宋_GB2312" w:hAnsi="宋体" w:eastAsia="仿宋_GB2312" w:cs="宋体"/>
          <w:b/>
          <w:sz w:val="32"/>
          <w:szCs w:val="32"/>
          <w:lang w:val="zh-CN"/>
        </w:rPr>
        <w:t xml:space="preserve">                                </w:t>
      </w:r>
      <w:r>
        <w:rPr>
          <w:rFonts w:hint="eastAsia" w:ascii="仿宋_GB2312" w:hAnsi="宋体" w:eastAsia="仿宋_GB2312" w:cs="宋体"/>
          <w:sz w:val="32"/>
          <w:szCs w:val="32"/>
          <w:lang w:val="zh-CN"/>
        </w:rPr>
        <w:t>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3891"/>
        <w:gridCol w:w="1241"/>
        <w:gridCol w:w="1242"/>
        <w:gridCol w:w="1610"/>
      </w:tblGrid>
      <w:tr w14:paraId="7D74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0" w:type="auto"/>
            <w:vAlign w:val="center"/>
          </w:tcPr>
          <w:p w14:paraId="3B7C0C96">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序号</w:t>
            </w:r>
          </w:p>
        </w:tc>
        <w:tc>
          <w:tcPr>
            <w:tcW w:w="4418" w:type="dxa"/>
            <w:vAlign w:val="center"/>
          </w:tcPr>
          <w:p w14:paraId="03DDF3FA">
            <w:pPr>
              <w:adjustRightInd w:val="0"/>
              <w:snapToGrid w:val="0"/>
              <w:spacing w:line="280" w:lineRule="exact"/>
              <w:jc w:val="center"/>
              <w:rPr>
                <w:rFonts w:ascii="仿宋_GB2312" w:hAnsi="宋体" w:eastAsia="仿宋_GB2312" w:cs="宋体"/>
                <w:b/>
                <w:sz w:val="32"/>
                <w:szCs w:val="32"/>
                <w:lang w:val="zh-CN"/>
              </w:rPr>
            </w:pPr>
          </w:p>
          <w:p w14:paraId="4CC72076">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项目名称</w:t>
            </w:r>
          </w:p>
          <w:p w14:paraId="3FD4D89D">
            <w:pPr>
              <w:adjustRightInd w:val="0"/>
              <w:snapToGrid w:val="0"/>
              <w:spacing w:line="280" w:lineRule="exact"/>
              <w:jc w:val="center"/>
              <w:rPr>
                <w:rFonts w:ascii="仿宋_GB2312" w:hAnsi="宋体" w:eastAsia="仿宋_GB2312" w:cs="宋体"/>
                <w:b/>
                <w:sz w:val="32"/>
                <w:szCs w:val="32"/>
                <w:lang w:val="zh-CN"/>
              </w:rPr>
            </w:pPr>
          </w:p>
        </w:tc>
        <w:tc>
          <w:tcPr>
            <w:tcW w:w="1275" w:type="dxa"/>
            <w:vAlign w:val="center"/>
          </w:tcPr>
          <w:p w14:paraId="7A723AE4">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年初</w:t>
            </w:r>
          </w:p>
          <w:p w14:paraId="365143B7">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预算</w:t>
            </w:r>
          </w:p>
          <w:p w14:paraId="52F0279D">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支出</w:t>
            </w:r>
          </w:p>
        </w:tc>
        <w:tc>
          <w:tcPr>
            <w:tcW w:w="1276" w:type="dxa"/>
            <w:vAlign w:val="center"/>
          </w:tcPr>
          <w:p w14:paraId="429D10B2">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本年批复预算支出</w:t>
            </w:r>
          </w:p>
        </w:tc>
        <w:tc>
          <w:tcPr>
            <w:tcW w:w="1779" w:type="dxa"/>
            <w:vAlign w:val="center"/>
          </w:tcPr>
          <w:p w14:paraId="387297B9">
            <w:pPr>
              <w:adjustRightInd w:val="0"/>
              <w:snapToGrid w:val="0"/>
              <w:spacing w:line="280" w:lineRule="exact"/>
              <w:jc w:val="center"/>
              <w:rPr>
                <w:rFonts w:ascii="仿宋_GB2312" w:hAnsi="宋体" w:eastAsia="仿宋_GB2312" w:cs="宋体"/>
                <w:b/>
                <w:sz w:val="32"/>
                <w:szCs w:val="32"/>
                <w:lang w:val="zh-CN"/>
              </w:rPr>
            </w:pPr>
          </w:p>
          <w:p w14:paraId="00EF7789">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备注</w:t>
            </w:r>
          </w:p>
          <w:p w14:paraId="50C04C3F">
            <w:pPr>
              <w:adjustRightInd w:val="0"/>
              <w:snapToGrid w:val="0"/>
              <w:spacing w:line="280" w:lineRule="exact"/>
              <w:jc w:val="center"/>
              <w:rPr>
                <w:rFonts w:ascii="仿宋_GB2312" w:hAnsi="宋体" w:eastAsia="仿宋_GB2312" w:cs="宋体"/>
                <w:b/>
                <w:sz w:val="32"/>
                <w:szCs w:val="32"/>
                <w:lang w:val="zh-CN"/>
              </w:rPr>
            </w:pPr>
          </w:p>
        </w:tc>
      </w:tr>
      <w:tr w14:paraId="1287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CC412C2">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w:t>
            </w:r>
          </w:p>
        </w:tc>
        <w:tc>
          <w:tcPr>
            <w:tcW w:w="4418" w:type="dxa"/>
            <w:vAlign w:val="center"/>
          </w:tcPr>
          <w:p w14:paraId="41EB064D">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cs="宋体"/>
                <w:sz w:val="32"/>
                <w:szCs w:val="32"/>
                <w:lang w:val="zh-CN"/>
              </w:rPr>
              <w:t>本级资金</w:t>
            </w:r>
          </w:p>
        </w:tc>
        <w:tc>
          <w:tcPr>
            <w:tcW w:w="1275" w:type="dxa"/>
            <w:vAlign w:val="center"/>
          </w:tcPr>
          <w:p w14:paraId="2431D7CE">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14.00</w:t>
            </w:r>
          </w:p>
        </w:tc>
        <w:tc>
          <w:tcPr>
            <w:tcW w:w="1276" w:type="dxa"/>
            <w:vAlign w:val="center"/>
          </w:tcPr>
          <w:p w14:paraId="10091860">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19.57</w:t>
            </w:r>
          </w:p>
        </w:tc>
        <w:tc>
          <w:tcPr>
            <w:tcW w:w="1779" w:type="dxa"/>
            <w:vAlign w:val="center"/>
          </w:tcPr>
          <w:p w14:paraId="0F736D11">
            <w:pPr>
              <w:adjustRightInd w:val="0"/>
              <w:snapToGrid w:val="0"/>
              <w:spacing w:line="400" w:lineRule="exact"/>
              <w:jc w:val="center"/>
              <w:rPr>
                <w:rFonts w:ascii="仿宋_GB2312" w:hAnsi="宋体" w:eastAsia="仿宋_GB2312" w:cs="宋体"/>
                <w:sz w:val="32"/>
                <w:szCs w:val="32"/>
                <w:lang w:val="zh-CN"/>
              </w:rPr>
            </w:pPr>
          </w:p>
        </w:tc>
      </w:tr>
      <w:tr w14:paraId="4B18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05174E">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2</w:t>
            </w:r>
          </w:p>
        </w:tc>
        <w:tc>
          <w:tcPr>
            <w:tcW w:w="4418" w:type="dxa"/>
            <w:vAlign w:val="center"/>
          </w:tcPr>
          <w:p w14:paraId="0EE1B38B">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cs="宋体"/>
                <w:sz w:val="32"/>
                <w:szCs w:val="32"/>
                <w:lang w:val="zh-CN"/>
              </w:rPr>
              <w:t>市级资金</w:t>
            </w:r>
          </w:p>
        </w:tc>
        <w:tc>
          <w:tcPr>
            <w:tcW w:w="1275" w:type="dxa"/>
            <w:vAlign w:val="center"/>
          </w:tcPr>
          <w:p w14:paraId="07970052">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1276" w:type="dxa"/>
            <w:vAlign w:val="center"/>
          </w:tcPr>
          <w:p w14:paraId="68438178">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1779" w:type="dxa"/>
            <w:vAlign w:val="center"/>
          </w:tcPr>
          <w:p w14:paraId="2AD6FC00">
            <w:pPr>
              <w:adjustRightInd w:val="0"/>
              <w:snapToGrid w:val="0"/>
              <w:spacing w:line="400" w:lineRule="exact"/>
              <w:jc w:val="center"/>
              <w:rPr>
                <w:rFonts w:ascii="仿宋_GB2312" w:hAnsi="宋体" w:eastAsia="仿宋_GB2312" w:cs="宋体"/>
                <w:sz w:val="32"/>
                <w:szCs w:val="32"/>
                <w:lang w:val="zh-CN"/>
              </w:rPr>
            </w:pPr>
          </w:p>
        </w:tc>
      </w:tr>
      <w:tr w14:paraId="0CA8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19ED998">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w:t>
            </w:r>
          </w:p>
        </w:tc>
        <w:tc>
          <w:tcPr>
            <w:tcW w:w="4418" w:type="dxa"/>
            <w:vAlign w:val="center"/>
          </w:tcPr>
          <w:p w14:paraId="31B1BF0E">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省级资金</w:t>
            </w:r>
          </w:p>
        </w:tc>
        <w:tc>
          <w:tcPr>
            <w:tcW w:w="1275" w:type="dxa"/>
            <w:vAlign w:val="center"/>
          </w:tcPr>
          <w:p w14:paraId="687103BB">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1276" w:type="dxa"/>
            <w:vAlign w:val="center"/>
          </w:tcPr>
          <w:p w14:paraId="3B8498D6">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57.00</w:t>
            </w:r>
          </w:p>
        </w:tc>
        <w:tc>
          <w:tcPr>
            <w:tcW w:w="1779" w:type="dxa"/>
            <w:vAlign w:val="center"/>
          </w:tcPr>
          <w:p w14:paraId="3EED8B4F">
            <w:pPr>
              <w:adjustRightInd w:val="0"/>
              <w:snapToGrid w:val="0"/>
              <w:spacing w:line="400" w:lineRule="exact"/>
              <w:jc w:val="center"/>
              <w:rPr>
                <w:rFonts w:ascii="仿宋_GB2312" w:hAnsi="宋体" w:eastAsia="仿宋_GB2312" w:cs="宋体"/>
                <w:sz w:val="32"/>
                <w:szCs w:val="32"/>
                <w:lang w:val="zh-CN"/>
              </w:rPr>
            </w:pPr>
          </w:p>
        </w:tc>
      </w:tr>
      <w:tr w14:paraId="2BDD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vAlign w:val="center"/>
          </w:tcPr>
          <w:p w14:paraId="11B03EA5">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合 计</w:t>
            </w:r>
          </w:p>
        </w:tc>
        <w:tc>
          <w:tcPr>
            <w:tcW w:w="1275" w:type="dxa"/>
            <w:vAlign w:val="center"/>
          </w:tcPr>
          <w:p w14:paraId="2F11C9C6">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14.00</w:t>
            </w:r>
          </w:p>
        </w:tc>
        <w:tc>
          <w:tcPr>
            <w:tcW w:w="1276" w:type="dxa"/>
            <w:vAlign w:val="center"/>
          </w:tcPr>
          <w:p w14:paraId="3C7AB087">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76.57</w:t>
            </w:r>
          </w:p>
        </w:tc>
        <w:tc>
          <w:tcPr>
            <w:tcW w:w="1779" w:type="dxa"/>
            <w:vAlign w:val="center"/>
          </w:tcPr>
          <w:p w14:paraId="314F2C75">
            <w:pPr>
              <w:adjustRightInd w:val="0"/>
              <w:snapToGrid w:val="0"/>
              <w:spacing w:line="560" w:lineRule="exact"/>
              <w:jc w:val="center"/>
              <w:rPr>
                <w:rFonts w:ascii="仿宋_GB2312" w:hAnsi="宋体" w:eastAsia="仿宋_GB2312" w:cs="宋体"/>
                <w:sz w:val="32"/>
                <w:szCs w:val="32"/>
                <w:lang w:val="zh-CN"/>
              </w:rPr>
            </w:pPr>
          </w:p>
        </w:tc>
      </w:tr>
    </w:tbl>
    <w:p w14:paraId="10EB5558">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2020年批复该项目支出76.57万元。预算调整及预算执行符合相关项目资金管理规定。</w:t>
      </w:r>
    </w:p>
    <w:p w14:paraId="2A219F19">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（二）项目资金计划、到位及使用情况   </w:t>
      </w:r>
    </w:p>
    <w:p w14:paraId="5B778578">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 1．项目资金计划情况</w:t>
      </w:r>
    </w:p>
    <w:p w14:paraId="7A948177">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该项目资金由区级资金和省级资金构成。</w:t>
      </w:r>
    </w:p>
    <w:p w14:paraId="1AFE4328">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项目资金计划情况按资金来源分类如下表：</w:t>
      </w:r>
    </w:p>
    <w:p w14:paraId="6E5363B0">
      <w:pPr>
        <w:adjustRightInd w:val="0"/>
        <w:snapToGrid w:val="0"/>
        <w:spacing w:line="560" w:lineRule="exact"/>
        <w:ind w:firstLine="5920" w:firstLineChars="1850"/>
        <w:rPr>
          <w:rFonts w:ascii="仿宋_GB2312" w:hAnsi="宋体" w:eastAsia="仿宋_GB2312"/>
          <w:sz w:val="32"/>
          <w:szCs w:val="32"/>
          <w:lang w:val="zh-CN"/>
        </w:rPr>
      </w:pPr>
      <w:r>
        <w:rPr>
          <w:rFonts w:hint="eastAsia" w:ascii="仿宋_GB2312" w:hAnsi="宋体" w:eastAsia="仿宋_GB2312"/>
          <w:sz w:val="32"/>
          <w:szCs w:val="32"/>
          <w:lang w:val="zh-CN"/>
        </w:rPr>
        <w:t>金额单位：万元</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3723"/>
        <w:gridCol w:w="992"/>
        <w:gridCol w:w="992"/>
        <w:gridCol w:w="993"/>
        <w:gridCol w:w="992"/>
        <w:gridCol w:w="1070"/>
      </w:tblGrid>
      <w:tr w14:paraId="0A943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vAlign w:val="center"/>
          </w:tcPr>
          <w:p w14:paraId="40905410">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序</w:t>
            </w:r>
          </w:p>
          <w:p w14:paraId="73A6EEDB">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号</w:t>
            </w:r>
          </w:p>
        </w:tc>
        <w:tc>
          <w:tcPr>
            <w:tcW w:w="3723" w:type="dxa"/>
            <w:vAlign w:val="center"/>
          </w:tcPr>
          <w:p w14:paraId="6BB030BB">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项目名称</w:t>
            </w:r>
          </w:p>
        </w:tc>
        <w:tc>
          <w:tcPr>
            <w:tcW w:w="992" w:type="dxa"/>
            <w:vAlign w:val="center"/>
          </w:tcPr>
          <w:p w14:paraId="23565C38">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中央</w:t>
            </w:r>
          </w:p>
          <w:p w14:paraId="2ADA9591">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资金</w:t>
            </w:r>
          </w:p>
        </w:tc>
        <w:tc>
          <w:tcPr>
            <w:tcW w:w="992" w:type="dxa"/>
            <w:vAlign w:val="center"/>
          </w:tcPr>
          <w:p w14:paraId="69B504A4">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省级资金</w:t>
            </w:r>
          </w:p>
        </w:tc>
        <w:tc>
          <w:tcPr>
            <w:tcW w:w="993" w:type="dxa"/>
            <w:vAlign w:val="center"/>
          </w:tcPr>
          <w:p w14:paraId="1B41BECA">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市级资金</w:t>
            </w:r>
          </w:p>
        </w:tc>
        <w:tc>
          <w:tcPr>
            <w:tcW w:w="992" w:type="dxa"/>
          </w:tcPr>
          <w:p w14:paraId="42058258">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区级资金</w:t>
            </w:r>
          </w:p>
        </w:tc>
        <w:tc>
          <w:tcPr>
            <w:tcW w:w="1070" w:type="dxa"/>
            <w:vAlign w:val="center"/>
          </w:tcPr>
          <w:p w14:paraId="77BBE7B8">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自筹资金</w:t>
            </w:r>
          </w:p>
        </w:tc>
      </w:tr>
      <w:tr w14:paraId="63B28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vAlign w:val="center"/>
          </w:tcPr>
          <w:p w14:paraId="072156F8">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1</w:t>
            </w:r>
          </w:p>
        </w:tc>
        <w:tc>
          <w:tcPr>
            <w:tcW w:w="3723" w:type="dxa"/>
            <w:vAlign w:val="center"/>
          </w:tcPr>
          <w:p w14:paraId="43E5E388">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cs="宋体"/>
                <w:sz w:val="32"/>
                <w:szCs w:val="32"/>
                <w:lang w:val="zh-CN"/>
              </w:rPr>
              <w:t>基层组织活动和公共服务运行经费</w:t>
            </w:r>
          </w:p>
        </w:tc>
        <w:tc>
          <w:tcPr>
            <w:tcW w:w="992" w:type="dxa"/>
            <w:vAlign w:val="center"/>
          </w:tcPr>
          <w:p w14:paraId="28B7DC01">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2B0B8944">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57.00</w:t>
            </w:r>
          </w:p>
        </w:tc>
        <w:tc>
          <w:tcPr>
            <w:tcW w:w="993" w:type="dxa"/>
            <w:vAlign w:val="center"/>
          </w:tcPr>
          <w:p w14:paraId="4BFC6A4E">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6547A18F">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19.57</w:t>
            </w:r>
          </w:p>
        </w:tc>
        <w:tc>
          <w:tcPr>
            <w:tcW w:w="1070" w:type="dxa"/>
            <w:vAlign w:val="center"/>
          </w:tcPr>
          <w:p w14:paraId="17FFC06F">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0.00</w:t>
            </w:r>
          </w:p>
        </w:tc>
      </w:tr>
      <w:tr w14:paraId="12664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2"/>
            <w:vAlign w:val="center"/>
          </w:tcPr>
          <w:p w14:paraId="7F22B912">
            <w:pPr>
              <w:adjustRightInd w:val="0"/>
              <w:snapToGrid w:val="0"/>
              <w:spacing w:line="560" w:lineRule="exact"/>
              <w:jc w:val="center"/>
              <w:rPr>
                <w:rFonts w:ascii="仿宋_GB2312" w:hAnsi="宋体" w:eastAsia="仿宋_GB2312"/>
                <w:b/>
                <w:sz w:val="32"/>
                <w:szCs w:val="32"/>
                <w:lang w:val="zh-CN"/>
              </w:rPr>
            </w:pPr>
            <w:r>
              <w:rPr>
                <w:rFonts w:hint="eastAsia" w:ascii="仿宋_GB2312" w:hAnsi="宋体" w:eastAsia="仿宋_GB2312"/>
                <w:b/>
                <w:sz w:val="32"/>
                <w:szCs w:val="32"/>
                <w:lang w:val="zh-CN"/>
              </w:rPr>
              <w:t>合 计</w:t>
            </w:r>
          </w:p>
        </w:tc>
        <w:tc>
          <w:tcPr>
            <w:tcW w:w="992" w:type="dxa"/>
            <w:vAlign w:val="center"/>
          </w:tcPr>
          <w:p w14:paraId="116B0C0F">
            <w:pPr>
              <w:adjustRightInd w:val="0"/>
              <w:snapToGrid w:val="0"/>
              <w:spacing w:line="560" w:lineRule="exact"/>
              <w:jc w:val="center"/>
              <w:rPr>
                <w:rFonts w:ascii="仿宋_GB2312" w:hAnsi="宋体" w:eastAsia="仿宋_GB2312"/>
                <w:b/>
                <w:sz w:val="32"/>
                <w:szCs w:val="32"/>
                <w:lang w:val="zh-CN"/>
              </w:rPr>
            </w:pPr>
            <w:r>
              <w:rPr>
                <w:rFonts w:hint="eastAsia" w:ascii="仿宋_GB2312" w:hAnsi="宋体" w:eastAsia="仿宋_GB2312"/>
                <w:b/>
                <w:sz w:val="32"/>
                <w:szCs w:val="32"/>
                <w:lang w:val="zh-CN"/>
              </w:rPr>
              <w:t>0.00</w:t>
            </w:r>
          </w:p>
        </w:tc>
        <w:tc>
          <w:tcPr>
            <w:tcW w:w="992" w:type="dxa"/>
            <w:vAlign w:val="center"/>
          </w:tcPr>
          <w:p w14:paraId="05A10DD6">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57.00</w:t>
            </w:r>
          </w:p>
        </w:tc>
        <w:tc>
          <w:tcPr>
            <w:tcW w:w="993" w:type="dxa"/>
            <w:vAlign w:val="center"/>
          </w:tcPr>
          <w:p w14:paraId="089A3E0A">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0.00</w:t>
            </w:r>
          </w:p>
        </w:tc>
        <w:tc>
          <w:tcPr>
            <w:tcW w:w="992" w:type="dxa"/>
            <w:vAlign w:val="center"/>
          </w:tcPr>
          <w:p w14:paraId="5C43C38A">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19.57</w:t>
            </w:r>
          </w:p>
        </w:tc>
        <w:tc>
          <w:tcPr>
            <w:tcW w:w="1070" w:type="dxa"/>
            <w:vAlign w:val="center"/>
          </w:tcPr>
          <w:p w14:paraId="3C184FAB">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0.00</w:t>
            </w:r>
          </w:p>
        </w:tc>
      </w:tr>
    </w:tbl>
    <w:p w14:paraId="635A8B5D">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sz w:val="32"/>
          <w:szCs w:val="32"/>
          <w:lang w:val="zh-CN"/>
        </w:rPr>
        <w:t>2．项目资金到位情况</w:t>
      </w:r>
    </w:p>
    <w:p w14:paraId="17C0D4A3">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sz w:val="32"/>
          <w:szCs w:val="32"/>
          <w:lang w:val="zh-CN"/>
        </w:rPr>
        <w:t>该项目计划资金于本年度全部到位，即到位资金76.57万元。</w:t>
      </w:r>
    </w:p>
    <w:p w14:paraId="0793BCB9">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sz w:val="32"/>
          <w:szCs w:val="32"/>
          <w:lang w:val="zh-CN"/>
        </w:rPr>
        <w:t>3．项目资金使用情况</w:t>
      </w:r>
    </w:p>
    <w:p w14:paraId="3ADE0B7C">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sz w:val="32"/>
          <w:szCs w:val="32"/>
          <w:lang w:val="zh-CN"/>
        </w:rPr>
        <w:t>本年度安排使用到位项目资金76.57万元。</w:t>
      </w:r>
    </w:p>
    <w:p w14:paraId="4F744D47">
      <w:pPr>
        <w:adjustRightInd w:val="0"/>
        <w:snapToGrid w:val="0"/>
        <w:spacing w:line="56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（三）项目财务管理情况。</w:t>
      </w:r>
    </w:p>
    <w:p w14:paraId="2CE4AE68">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该项目资金财务管理严格按照上级部门资金管理要求执行，同时，依据本部门财务管理制度和项目资金管理办法执行。严格项目资金申请程序和审批权限，严格执行国库集中支付。</w:t>
      </w:r>
    </w:p>
    <w:p w14:paraId="321C4B81">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“基层组织活动和公共服务运行经费”项目资金，除村级委托镇财政所直接支付给新里程环保公司用于垃圾清运和无害化处理费用外，其余</w:t>
      </w:r>
      <w:r>
        <w:rPr>
          <w:rFonts w:hint="eastAsia" w:ascii="仿宋_GB2312" w:hAnsi="宋体" w:eastAsia="仿宋_GB2312" w:cs="宋体"/>
          <w:sz w:val="32"/>
          <w:szCs w:val="32"/>
          <w:lang w:val="zh-CN"/>
        </w:rPr>
        <w:t>项目资金通过财政大平台拨付到村（社区）。</w:t>
      </w:r>
      <w:r>
        <w:rPr>
          <w:rFonts w:hint="eastAsia" w:ascii="仿宋_GB2312" w:hAnsi="宋体" w:eastAsia="仿宋_GB2312"/>
          <w:sz w:val="32"/>
          <w:szCs w:val="32"/>
          <w:lang w:val="zh-CN"/>
        </w:rPr>
        <w:t>村（社区）项目完成后，经镇村两级组织验收，并将项目实施、验收结算情况进行公示，公示无异议后，项目单位按所完成项目情况申请拨款。项目资金支付一律实行转账支付，项目资金会计核算由镇“三资”中心代理记账。凡属于工程项目方面的开支，必须开具完税发票，严禁白条支付项目款。所有收支票据，首先经村民理财小组进行审核，再由村（社区）报账员报送“三资”中心审核，审核符合要求的票据方可交镇“三资”中心会计记账。对不符合要求、不符合规定、不规范、超标超范围支出，一律不予记账或退回经办人要求其整改。</w:t>
      </w:r>
    </w:p>
    <w:p w14:paraId="4B59F2D0">
      <w:pPr>
        <w:adjustRightInd w:val="0"/>
        <w:snapToGrid w:val="0"/>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三、项目实施及管理情况</w:t>
      </w:r>
    </w:p>
    <w:p w14:paraId="77323CF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（一）项目组织架构及实施流程</w:t>
      </w:r>
    </w:p>
    <w:p w14:paraId="40D767A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由镇党委政府统筹管理，按照项目的实施内容具体由本单位下设各职能部门即乡村振兴办公室负责监督实施。针对各项目资金情况，由本单位职能部门即乡村振兴办公室制定实施方案或管理细则，对项目实行全程监督、指导，项目完工后组织相关人员进行验收。</w:t>
      </w:r>
    </w:p>
    <w:p w14:paraId="3AFA76B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（二）项目管理情况</w:t>
      </w:r>
    </w:p>
    <w:p w14:paraId="5BF6F95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管理由本单位职能部门即乡村振兴办公室具体负责。注重日常监督检查和重点抽查，加强项目实施过程中的技术指导。工程项目一律通过竞争性谈判确定，对项目全过程进行公示公开，接受群众监督；凡是涉及使用项目资金采购商品或服务的，符合集中采购的走政府集中采购程度，符合分散采购的通过询价走分散采购程序。</w:t>
      </w:r>
    </w:p>
    <w:p w14:paraId="5750130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（三）项目监管情况</w:t>
      </w:r>
    </w:p>
    <w:p w14:paraId="077B3F8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项目监管主要采取以下措施：</w:t>
      </w:r>
    </w:p>
    <w:p w14:paraId="00A74F3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一是对各项目事前安排、事中督察检和事后验收审查全过程监管。各环节坚持公示公开，接受群众监督。</w:t>
      </w:r>
    </w:p>
    <w:p w14:paraId="4A888A7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二是镇级职能部门即乡村振兴办公室开展项目技术指导，日常监督检查，发现问题及时整改。</w:t>
      </w:r>
    </w:p>
    <w:p w14:paraId="1BB3F6F2">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三是镇纪委监委开展定期或不定期督察检查，督促工程进度和质量，确保近期完工，确保资金高效使用。</w:t>
      </w:r>
    </w:p>
    <w:p w14:paraId="770AA60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通过采取上述监管措施，2020年该项目进展顺利，质量较好，群众满意度较高。</w:t>
      </w:r>
    </w:p>
    <w:p w14:paraId="5B1E8517">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四、绩效目标情况</w:t>
      </w:r>
    </w:p>
    <w:p w14:paraId="4F466601">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（一）项目完成情况</w:t>
      </w:r>
    </w:p>
    <w:p w14:paraId="4EB3765D">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该项目完成了全年辖区内日常保洁、生活垃圾收集及无害化处理，大幅度提升了人居环境质量；维修农业排灌沟渠33米，维修村组道路45米，“村村响”广播维护14个村。工程项目符合施工规范、质量优良；“村村响”广播全年无故障率达100%，为抗疫宣传发挥了重要作用。</w:t>
      </w:r>
    </w:p>
    <w:p w14:paraId="5E7162B1">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（二）项目效益情况</w:t>
      </w:r>
    </w:p>
    <w:p w14:paraId="7A0C3BB8">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通过该项目实施，一是有效缓解了过去农村公共服务设施“有钱建设，无钱维护”的局面，二是极大改善了农村环境脏乱差的局面，为生态环境建设、乡村振兴打下了基础。</w:t>
      </w:r>
    </w:p>
    <w:p w14:paraId="462EE869">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经济效益：</w:t>
      </w:r>
      <w:r>
        <w:rPr>
          <w:rFonts w:hint="eastAsia" w:ascii="仿宋_GB2312" w:hAnsi="宋体" w:eastAsia="仿宋_GB2312"/>
          <w:sz w:val="32"/>
          <w:szCs w:val="32"/>
          <w:lang w:val="zh-CN"/>
        </w:rPr>
        <w:t>通过及时实施农村道路，极大改善群众交通出行条件，方便农产品运输，提高了运输效率，减少了运输成本；通过维修农田排灌沟渠，能有效改良土壤，提高农产品产量，改善农产品品质，增加收入。通过加强农村环境综合治理，显著改善了环境面貌，减少了污染源，减少疾病传播途径，增强群众环保意识，提升城乡环境综合治理水平。</w:t>
      </w:r>
    </w:p>
    <w:p w14:paraId="6237B221">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社会效益：</w:t>
      </w:r>
      <w:r>
        <w:rPr>
          <w:rFonts w:hint="eastAsia" w:ascii="仿宋_GB2312" w:hAnsi="宋体" w:eastAsia="仿宋_GB2312"/>
          <w:sz w:val="32"/>
          <w:szCs w:val="32"/>
          <w:lang w:val="zh-CN"/>
        </w:rPr>
        <w:t>通过基础设施维修维护项目，能确保基础设施发挥最大效果，改善群众生产生活条件，增强群众满意度；通过公益服务类项目实施，能有效提升社会治理水平，改善人居环境条件，增强了人民群众的获得感和幸福感和安全感。</w:t>
      </w:r>
    </w:p>
    <w:p w14:paraId="58451A4D">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生态效益：</w:t>
      </w:r>
      <w:r>
        <w:rPr>
          <w:rFonts w:hint="eastAsia" w:ascii="仿宋_GB2312" w:hAnsi="宋体" w:eastAsia="仿宋_GB2312"/>
          <w:sz w:val="32"/>
          <w:szCs w:val="32"/>
          <w:lang w:val="zh-CN"/>
        </w:rPr>
        <w:t>保护耕地，减小水土流失，提高地力；减少环境污染，美化环境，提高了人居环境舒适感。</w:t>
      </w:r>
    </w:p>
    <w:p w14:paraId="05BFA094">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可持续效益：</w:t>
      </w:r>
      <w:r>
        <w:rPr>
          <w:rFonts w:hint="eastAsia" w:ascii="仿宋_GB2312" w:hAnsi="宋体" w:eastAsia="仿宋_GB2312"/>
          <w:sz w:val="32"/>
          <w:szCs w:val="32"/>
          <w:lang w:val="zh-CN"/>
        </w:rPr>
        <w:t>项目效益具有长期发挥效益作用。</w:t>
      </w:r>
    </w:p>
    <w:p w14:paraId="3FF8571A">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群众满意度：</w:t>
      </w:r>
      <w:r>
        <w:rPr>
          <w:rFonts w:hint="eastAsia" w:ascii="仿宋_GB2312" w:hAnsi="宋体" w:eastAsia="仿宋_GB2312"/>
          <w:sz w:val="32"/>
          <w:szCs w:val="32"/>
          <w:lang w:val="zh-CN"/>
        </w:rPr>
        <w:t>项目的群众满意度经综合评价可达95%以上。</w:t>
      </w:r>
    </w:p>
    <w:p w14:paraId="1CF6EF29">
      <w:pPr>
        <w:adjustRightInd w:val="0"/>
        <w:snapToGrid w:val="0"/>
        <w:spacing w:line="560" w:lineRule="exact"/>
        <w:ind w:firstLine="720"/>
        <w:rPr>
          <w:rFonts w:ascii="仿宋_GB2312" w:hAnsi="宋体" w:eastAsia="仿宋_GB2312"/>
          <w:b/>
          <w:sz w:val="32"/>
          <w:szCs w:val="32"/>
        </w:rPr>
      </w:pPr>
      <w:r>
        <w:rPr>
          <w:rFonts w:hint="eastAsia" w:ascii="仿宋_GB2312" w:hAnsi="宋体" w:eastAsia="仿宋_GB2312"/>
          <w:b/>
          <w:sz w:val="32"/>
          <w:szCs w:val="32"/>
        </w:rPr>
        <w:t>五、评价结论</w:t>
      </w:r>
    </w:p>
    <w:p w14:paraId="0731FD3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cs="宋体"/>
          <w:sz w:val="32"/>
          <w:szCs w:val="32"/>
          <w:lang w:val="zh-CN"/>
        </w:rPr>
        <w:t>突出了“保重点、保稳定、保民生”的特点，进一步优化了公共财政产覆盖范围。项目组织实施管理规范有序，流程清晰，可操作性强；绩效目标编制明确，重点突出。从项目申报、项目实施、项目完工验收和开展绩效评价，各部门密切配合，各司其职，各负其责。同时，镇纪委监委对各项目进行全程跟踪监督，发现问题及时要求整改，确保了项目高质量完成，从项目绩效目标完成情况来分析，基本符合预期目标。</w:t>
      </w:r>
    </w:p>
    <w:p w14:paraId="15F3B7E5">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sz w:val="32"/>
          <w:szCs w:val="32"/>
          <w:lang w:val="zh-CN"/>
        </w:rPr>
        <w:t>该项目总体评价结论是：项目申报重点明确，决策科学；项目管理规范，组织严密，流程清晰，监督有力；项目资金使用管理严格执行了相关财经法规、制度规定，符合本单位财务管理制度规定；绩效目标完成较好，达到预期效果。</w:t>
      </w:r>
    </w:p>
    <w:p w14:paraId="3CD6613A">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六、问题及建议</w:t>
      </w:r>
    </w:p>
    <w:p w14:paraId="05C706E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（一）存在的问题</w:t>
      </w:r>
    </w:p>
    <w:p w14:paraId="60BC639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1．加强项目筛选，提高项目实施精准度，提高资金使用效率。</w:t>
      </w:r>
    </w:p>
    <w:p w14:paraId="0F2E7FE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2．进一步加强项目全过程监督管理，特别是工程类项目全过程监督管理，提高项目质量；对服务类项目加强日常监督检查，完善考核制度，提高项目实施效果。</w:t>
      </w:r>
    </w:p>
    <w:p w14:paraId="0A27D38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3．全面加强项目资金会计核算，严格执行相关会计制度，正确运用会计科目，规范设置会计账簿，专项资金实行专账核算。</w:t>
      </w:r>
    </w:p>
    <w:p w14:paraId="161C1F3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4．进一步加强拨付到村级的项目资金支付流程管理，规范支付方式，减少现金支付。加强支付凭证审查审核，防止不规范原始凭证和白条记账。</w:t>
      </w:r>
    </w:p>
    <w:p w14:paraId="6CB461C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（二）相关建议</w:t>
      </w:r>
    </w:p>
    <w:p w14:paraId="63CE5C9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1．加强村（社区）会计培训。一是强化财经法规、规章制度培训；二是业务技能和操作实务培训。明确由财政部门负责村（社区）会计管理和业务培训工作。</w:t>
      </w:r>
    </w:p>
    <w:p w14:paraId="2520C13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在财力允许的前提下，适当增加村（社区）公共财力投入。随着社会经济发展，村（社区）职能由抓生产向抓发展和服务转变，涉及到村（社区）管理事务的支出越来越大，现有财政补助经费已远远不能保障村（社区）公共服务需要。</w:t>
      </w:r>
    </w:p>
    <w:p w14:paraId="0DF24D2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保持村（社区）财务人员相对稳定。按照现行的《村民委员会组织法》等相关法律规定，村（社区）领导班子三年一届，由于换届等原因，村（社区）财务人员频繁变动，往往随着村两委变动而村会计人员跟随更换。由此造成村（社区）财务管理的种种弊端。同时，也一定程度影响到村（社区）财务人员的工作责任心和积极性发挥。</w:t>
      </w:r>
    </w:p>
    <w:p w14:paraId="64C7B23A">
      <w:pPr>
        <w:spacing w:line="600" w:lineRule="exact"/>
        <w:jc w:val="center"/>
        <w:outlineLvl w:val="0"/>
        <w:rPr>
          <w:rFonts w:ascii="仿宋_GB2312" w:hAnsi="黑体" w:eastAsia="仿宋_GB2312" w:cs="黑体"/>
          <w:sz w:val="32"/>
          <w:szCs w:val="32"/>
        </w:rPr>
      </w:pPr>
    </w:p>
    <w:p w14:paraId="52E8C3FE">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-2</w:t>
      </w:r>
    </w:p>
    <w:p w14:paraId="32982542">
      <w:pPr>
        <w:spacing w:line="580" w:lineRule="exact"/>
        <w:ind w:firstLine="640" w:firstLineChars="200"/>
        <w:rPr>
          <w:rFonts w:ascii="仿宋_GB2312" w:hAnsi="仿宋_GB2312" w:eastAsia="仿宋_GB2312" w:cs="仿宋_GB2312"/>
          <w:sz w:val="32"/>
          <w:szCs w:val="32"/>
        </w:rPr>
      </w:pPr>
    </w:p>
    <w:p w14:paraId="63C16432">
      <w:pPr>
        <w:spacing w:line="640" w:lineRule="exact"/>
        <w:jc w:val="center"/>
        <w:rPr>
          <w:rFonts w:ascii="仿宋_GB2312" w:hAnsi="宋体"/>
          <w:b/>
          <w:sz w:val="44"/>
          <w:szCs w:val="44"/>
        </w:rPr>
      </w:pPr>
      <w:r>
        <w:rPr>
          <w:rFonts w:hint="eastAsia" w:ascii="仿宋_GB2312" w:hAnsi="宋体"/>
          <w:b/>
          <w:sz w:val="44"/>
          <w:szCs w:val="44"/>
        </w:rPr>
        <w:t>德阳市罗江区略坪镇人民政府</w:t>
      </w:r>
    </w:p>
    <w:p w14:paraId="30A0B2D9">
      <w:pPr>
        <w:spacing w:line="640" w:lineRule="exact"/>
        <w:jc w:val="center"/>
        <w:rPr>
          <w:rFonts w:ascii="仿宋_GB2312" w:hAnsi="宋体"/>
          <w:b/>
          <w:sz w:val="44"/>
          <w:szCs w:val="44"/>
        </w:rPr>
      </w:pPr>
      <w:r>
        <w:rPr>
          <w:rFonts w:hint="eastAsia" w:ascii="仿宋_GB2312" w:hAnsi="宋体"/>
          <w:b/>
          <w:sz w:val="44"/>
          <w:szCs w:val="44"/>
        </w:rPr>
        <w:t>2020年</w:t>
      </w:r>
      <w:r>
        <w:rPr>
          <w:rFonts w:hint="eastAsia" w:ascii="仿宋_GB2312" w:hAnsi="宋体"/>
          <w:b/>
          <w:sz w:val="44"/>
          <w:szCs w:val="44"/>
          <w:lang w:val="zh-CN"/>
        </w:rPr>
        <w:t>“抗疫特别国债支出（防疫一线人员工作补助）和疫情防控工作经费”</w:t>
      </w:r>
      <w:r>
        <w:rPr>
          <w:rFonts w:hint="eastAsia" w:ascii="仿宋_GB2312" w:hAnsi="宋体"/>
          <w:b/>
          <w:sz w:val="44"/>
          <w:szCs w:val="44"/>
        </w:rPr>
        <w:t>预算项目支出绩效自评报告</w:t>
      </w:r>
    </w:p>
    <w:p w14:paraId="303B5CD4">
      <w:pPr>
        <w:pStyle w:val="30"/>
        <w:spacing w:line="240" w:lineRule="auto"/>
        <w:jc w:val="center"/>
        <w:rPr>
          <w:rFonts w:ascii="宋体" w:hAnsi="宋体" w:cs="Times New Roman"/>
          <w:color w:val="auto"/>
          <w:kern w:val="2"/>
          <w:sz w:val="32"/>
          <w:szCs w:val="32"/>
        </w:rPr>
      </w:pPr>
    </w:p>
    <w:p w14:paraId="02DC73B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项目概况</w:t>
      </w:r>
    </w:p>
    <w:p w14:paraId="4B35F25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（一）项目基本情况</w:t>
      </w:r>
    </w:p>
    <w:p w14:paraId="1E09C54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初，面对突如其来的新冠肺炎疫情，为打赢疫情防控阻击战，本部门申报了“抗疫特别国债支出（防疫一线人员工作补助）和疫情防控工作经费”项目，该项目主要用于村（社区）防疫一线人员的工作补助，疫情防控工作经费主要用于镇村两级采购疫情防控物质和必要的办公用品等方面支出。</w:t>
      </w:r>
    </w:p>
    <w:p w14:paraId="04CAB4EB">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1．项目主管部门及其职能</w:t>
      </w:r>
    </w:p>
    <w:p w14:paraId="15F0FB7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的主管部门为德阳市罗江区略坪镇人民政府。主要职能是：统筹协调辖区内的疫情防控工作，负责项目资金的申请、分配、使用和监督管理；编制项目绩效目标，负责项目绩效运行监控；督察、检查和考评项目绩效目标完成情况，编制项目支出绩效评价报告。</w:t>
      </w:r>
    </w:p>
    <w:p w14:paraId="61312E3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14:paraId="7D9A613B">
      <w:pPr>
        <w:adjustRightInd w:val="0"/>
        <w:snapToGrid w:val="0"/>
        <w:spacing w:line="56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“抗疫特别国债支出（防疫一线人员工作补助）和疫情防控工作经费”项目  该项目立项申报原因是2020年初突发新冠肺炎疫情以来，解决我镇村（社区）防疫一线人员工作补助和疫情防控工作经费。本项目依据川财债[2020]43号-1-006和罗财预C054-009资金管理文件申请项目资金。</w:t>
      </w:r>
    </w:p>
    <w:p w14:paraId="4463B90E">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3．项目资金管理使用情况</w:t>
      </w:r>
    </w:p>
    <w:p w14:paraId="61C864E2">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使用管理严格按照上级相关要求和规定，同时严格执行《略坪镇人民政府财政专项资金管理办法》的规定。财政直达资金通过财政大平台直达项目实施方；项目资金开支范围严格按照项目资金规定的范围开支，无截留、挤占、挪用等情况。</w:t>
      </w:r>
    </w:p>
    <w:p w14:paraId="61538D10">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4．项目资金分配原则</w:t>
      </w:r>
    </w:p>
    <w:p w14:paraId="131E8C36">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该项目资金分配按照各村（社区）组织的防疫队伍人员规模，防控卡点设置等情况，据实分配项目资金。</w:t>
      </w:r>
    </w:p>
    <w:p w14:paraId="71F3438F">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（二）项目绩效目标情况</w:t>
      </w:r>
    </w:p>
    <w:p w14:paraId="43B9A2E8">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1．项目实施的主要内容及绩效目标设置情况</w:t>
      </w:r>
    </w:p>
    <w:p w14:paraId="1E297A9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绩效目标按照“总体目标”和“绩效目标”编制。其中：“绩效目标”分别设置一级目标三项即：产出指标、效益指标和满意度指标；二级目标设置七项即：数量指标、质量指标、时效指标、成本指标、社会效益指标、可持续影响指标和服务对象满意度指标；三级指标共设七项，对应二级指标的具体数量、质量、完成时期、可持续发挥效益期限和群众满意度指标，以及项目指标值对应的项目实施的具体内容。</w:t>
      </w:r>
    </w:p>
    <w:p w14:paraId="242F38B4">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b/>
          <w:sz w:val="32"/>
          <w:szCs w:val="32"/>
          <w:lang w:val="zh-CN"/>
        </w:rPr>
        <w:t>总体目标是：</w:t>
      </w:r>
      <w:r>
        <w:rPr>
          <w:rFonts w:hint="eastAsia" w:ascii="仿宋_GB2312" w:hAnsi="宋体" w:eastAsia="仿宋_GB2312"/>
          <w:sz w:val="32"/>
          <w:szCs w:val="32"/>
          <w:lang w:val="zh-CN"/>
        </w:rPr>
        <w:t>用于全镇15个村（社区）开展新冠肺炎疫情防控工作，包括卡点设置，采购防控物资（消毒液，口罩）以及组建疫情防控队伍劳务费支出等，确保辖区内不发生新冠肺炎疫情呈暴发流行，对疑似病例或感染者进行有效隔离，做好医学观察登记等。</w:t>
      </w:r>
    </w:p>
    <w:p w14:paraId="54B5D6E5">
      <w:pPr>
        <w:adjustRightInd w:val="0"/>
        <w:snapToGrid w:val="0"/>
        <w:spacing w:line="560" w:lineRule="exact"/>
        <w:ind w:firstLine="645"/>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9229" w:type="dxa"/>
        <w:tblInd w:w="0" w:type="dxa"/>
        <w:tblLayout w:type="autofit"/>
        <w:tblCellMar>
          <w:top w:w="0" w:type="dxa"/>
          <w:left w:w="0" w:type="dxa"/>
          <w:bottom w:w="0" w:type="dxa"/>
          <w:right w:w="0" w:type="dxa"/>
        </w:tblCellMar>
      </w:tblPr>
      <w:tblGrid>
        <w:gridCol w:w="1630"/>
        <w:gridCol w:w="890"/>
        <w:gridCol w:w="3140"/>
        <w:gridCol w:w="3569"/>
      </w:tblGrid>
      <w:tr w14:paraId="02401928">
        <w:tblPrEx>
          <w:tblCellMar>
            <w:top w:w="0" w:type="dxa"/>
            <w:left w:w="0" w:type="dxa"/>
            <w:bottom w:w="0" w:type="dxa"/>
            <w:right w:w="0" w:type="dxa"/>
          </w:tblCellMar>
        </w:tblPrEx>
        <w:trPr>
          <w:trHeight w:val="559" w:hRule="atLeast"/>
        </w:trPr>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DF90DA">
            <w:pPr>
              <w:jc w:val="center"/>
              <w:rPr>
                <w:rFonts w:ascii="仿宋_GB2312" w:hAnsi="宋体" w:eastAsia="仿宋_GB2312" w:cs="宋体"/>
                <w:sz w:val="32"/>
                <w:szCs w:val="32"/>
              </w:rPr>
            </w:pPr>
            <w:r>
              <w:rPr>
                <w:rFonts w:hint="eastAsia" w:ascii="仿宋_GB2312" w:eastAsia="仿宋_GB2312"/>
                <w:sz w:val="32"/>
                <w:szCs w:val="32"/>
              </w:rPr>
              <w:t>一级指标</w:t>
            </w:r>
          </w:p>
        </w:tc>
        <w:tc>
          <w:tcPr>
            <w:tcW w:w="89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AAB2D3B">
            <w:pPr>
              <w:jc w:val="center"/>
              <w:rPr>
                <w:rFonts w:ascii="仿宋_GB2312" w:hAnsi="宋体" w:eastAsia="仿宋_GB2312" w:cs="宋体"/>
                <w:sz w:val="32"/>
                <w:szCs w:val="32"/>
              </w:rPr>
            </w:pPr>
            <w:r>
              <w:rPr>
                <w:rFonts w:hint="eastAsia" w:ascii="仿宋_GB2312" w:eastAsia="仿宋_GB2312"/>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ECBA3">
            <w:pPr>
              <w:jc w:val="center"/>
              <w:rPr>
                <w:rFonts w:ascii="仿宋_GB2312" w:hAnsi="宋体" w:eastAsia="仿宋_GB2312" w:cs="宋体"/>
                <w:sz w:val="32"/>
                <w:szCs w:val="32"/>
              </w:rPr>
            </w:pPr>
            <w:r>
              <w:rPr>
                <w:rFonts w:hint="eastAsia" w:ascii="仿宋_GB2312" w:eastAsia="仿宋_GB2312"/>
                <w:sz w:val="32"/>
                <w:szCs w:val="32"/>
              </w:rPr>
              <w:t>三级指标</w:t>
            </w:r>
          </w:p>
        </w:tc>
        <w:tc>
          <w:tcPr>
            <w:tcW w:w="356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17C0C">
            <w:pPr>
              <w:jc w:val="center"/>
              <w:rPr>
                <w:rFonts w:ascii="仿宋_GB2312" w:hAnsi="宋体" w:eastAsia="仿宋_GB2312" w:cs="宋体"/>
                <w:sz w:val="32"/>
                <w:szCs w:val="32"/>
              </w:rPr>
            </w:pPr>
            <w:r>
              <w:rPr>
                <w:rFonts w:hint="eastAsia" w:ascii="仿宋_GB2312" w:eastAsia="仿宋_GB2312"/>
                <w:sz w:val="32"/>
                <w:szCs w:val="32"/>
              </w:rPr>
              <w:t>指标值（包含数字及文字描述）</w:t>
            </w:r>
          </w:p>
        </w:tc>
      </w:tr>
      <w:tr w14:paraId="3AA50093">
        <w:tblPrEx>
          <w:tblCellMar>
            <w:top w:w="0" w:type="dxa"/>
            <w:left w:w="0" w:type="dxa"/>
            <w:bottom w:w="0" w:type="dxa"/>
            <w:right w:w="0" w:type="dxa"/>
          </w:tblCellMar>
        </w:tblPrEx>
        <w:trPr>
          <w:trHeight w:val="642"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2FA2F74D">
            <w:pPr>
              <w:jc w:val="center"/>
              <w:rPr>
                <w:rFonts w:ascii="仿宋_GB2312" w:hAnsi="宋体" w:eastAsia="仿宋_GB2312" w:cs="宋体"/>
                <w:sz w:val="32"/>
                <w:szCs w:val="32"/>
              </w:rPr>
            </w:pPr>
            <w:r>
              <w:rPr>
                <w:rFonts w:hint="eastAsia" w:ascii="仿宋_GB2312" w:eastAsia="仿宋_GB2312"/>
                <w:sz w:val="32"/>
                <w:szCs w:val="32"/>
              </w:rPr>
              <w:t>产出指标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1ED55E09">
            <w:pPr>
              <w:jc w:val="center"/>
              <w:rPr>
                <w:rFonts w:ascii="仿宋_GB2312" w:hAnsi="宋体" w:eastAsia="仿宋_GB2312" w:cs="宋体"/>
                <w:sz w:val="32"/>
                <w:szCs w:val="32"/>
              </w:rPr>
            </w:pPr>
            <w:r>
              <w:rPr>
                <w:rFonts w:hint="eastAsia" w:ascii="仿宋_GB2312" w:eastAsia="仿宋_GB2312"/>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0BFA8A">
            <w:pPr>
              <w:rPr>
                <w:rFonts w:ascii="仿宋_GB2312" w:hAnsi="宋体" w:eastAsia="仿宋_GB2312" w:cs="宋体"/>
                <w:sz w:val="32"/>
                <w:szCs w:val="32"/>
              </w:rPr>
            </w:pPr>
            <w:r>
              <w:rPr>
                <w:rFonts w:hint="eastAsia" w:ascii="仿宋_GB2312" w:eastAsia="仿宋_GB2312"/>
                <w:sz w:val="32"/>
                <w:szCs w:val="32"/>
              </w:rPr>
              <w:t>卡点设置，组建防控队伍</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78BF731">
            <w:pPr>
              <w:rPr>
                <w:rFonts w:ascii="仿宋_GB2312" w:hAnsi="宋体" w:eastAsia="仿宋_GB2312" w:cs="宋体"/>
                <w:sz w:val="32"/>
                <w:szCs w:val="32"/>
              </w:rPr>
            </w:pPr>
            <w:r>
              <w:rPr>
                <w:rFonts w:hint="eastAsia" w:ascii="仿宋_GB2312" w:eastAsia="仿宋_GB2312"/>
                <w:sz w:val="32"/>
                <w:szCs w:val="32"/>
              </w:rPr>
              <w:t>组织防疫队伍16个，设置卡点59处</w:t>
            </w:r>
          </w:p>
        </w:tc>
      </w:tr>
      <w:tr w14:paraId="314AEAE0">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6646977E">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D3B12F">
            <w:pPr>
              <w:jc w:val="center"/>
              <w:rPr>
                <w:rFonts w:ascii="仿宋_GB2312" w:hAnsi="宋体" w:eastAsia="仿宋_GB2312" w:cs="宋体"/>
                <w:sz w:val="32"/>
                <w:szCs w:val="32"/>
              </w:rPr>
            </w:pPr>
            <w:r>
              <w:rPr>
                <w:rFonts w:hint="eastAsia" w:ascii="仿宋_GB2312" w:eastAsia="仿宋_GB2312"/>
                <w:sz w:val="32"/>
                <w:szCs w:val="32"/>
              </w:rPr>
              <w:t>质量指标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B233920">
            <w:pPr>
              <w:rPr>
                <w:rFonts w:ascii="仿宋_GB2312" w:hAnsi="宋体" w:eastAsia="仿宋_GB2312" w:cs="宋体"/>
                <w:sz w:val="32"/>
                <w:szCs w:val="32"/>
              </w:rPr>
            </w:pPr>
            <w:r>
              <w:rPr>
                <w:rFonts w:hint="eastAsia" w:ascii="仿宋_GB2312" w:eastAsia="仿宋_GB2312"/>
                <w:sz w:val="32"/>
                <w:szCs w:val="32"/>
              </w:rPr>
              <w:t>减少人员流动</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B26079E">
            <w:pPr>
              <w:rPr>
                <w:rFonts w:ascii="仿宋_GB2312" w:hAnsi="宋体" w:eastAsia="仿宋_GB2312" w:cs="宋体"/>
                <w:sz w:val="32"/>
                <w:szCs w:val="32"/>
              </w:rPr>
            </w:pPr>
            <w:r>
              <w:rPr>
                <w:rFonts w:hint="eastAsia" w:ascii="仿宋_GB2312" w:eastAsia="仿宋_GB2312"/>
                <w:sz w:val="32"/>
                <w:szCs w:val="32"/>
              </w:rPr>
              <w:t>各村（社区）人员保持不流动，无聚集现象</w:t>
            </w:r>
          </w:p>
        </w:tc>
      </w:tr>
      <w:tr w14:paraId="51A65065">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5CCA26E3">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88AF0A">
            <w:pPr>
              <w:jc w:val="center"/>
              <w:rPr>
                <w:rFonts w:ascii="仿宋_GB2312" w:hAnsi="宋体" w:eastAsia="仿宋_GB2312" w:cs="宋体"/>
                <w:sz w:val="32"/>
                <w:szCs w:val="32"/>
              </w:rPr>
            </w:pPr>
            <w:r>
              <w:rPr>
                <w:rFonts w:hint="eastAsia" w:ascii="仿宋_GB2312" w:eastAsia="仿宋_GB2312"/>
                <w:sz w:val="32"/>
                <w:szCs w:val="32"/>
              </w:rPr>
              <w:t>时效指标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928529">
            <w:pPr>
              <w:rPr>
                <w:rFonts w:ascii="仿宋_GB2312" w:hAnsi="宋体" w:eastAsia="仿宋_GB2312" w:cs="宋体"/>
                <w:sz w:val="32"/>
                <w:szCs w:val="32"/>
              </w:rPr>
            </w:pPr>
            <w:r>
              <w:rPr>
                <w:rFonts w:hint="eastAsia" w:ascii="仿宋_GB2312" w:eastAsia="仿宋_GB2312"/>
                <w:sz w:val="32"/>
                <w:szCs w:val="32"/>
              </w:rPr>
              <w:t>完成时间</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1CFAA32">
            <w:pPr>
              <w:rPr>
                <w:rFonts w:ascii="仿宋_GB2312" w:hAnsi="宋体" w:eastAsia="仿宋_GB2312" w:cs="宋体"/>
                <w:sz w:val="32"/>
                <w:szCs w:val="32"/>
              </w:rPr>
            </w:pPr>
            <w:r>
              <w:rPr>
                <w:rFonts w:hint="eastAsia" w:ascii="仿宋_GB2312" w:eastAsia="仿宋_GB2312"/>
                <w:sz w:val="32"/>
                <w:szCs w:val="32"/>
              </w:rPr>
              <w:t>疫情防控期间</w:t>
            </w:r>
          </w:p>
        </w:tc>
      </w:tr>
      <w:tr w14:paraId="55FF29D3">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3D2CC39A">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8CC682">
            <w:pPr>
              <w:jc w:val="center"/>
              <w:rPr>
                <w:rFonts w:ascii="仿宋_GB2312" w:hAnsi="宋体" w:eastAsia="仿宋_GB2312" w:cs="宋体"/>
                <w:sz w:val="32"/>
                <w:szCs w:val="32"/>
              </w:rPr>
            </w:pPr>
            <w:r>
              <w:rPr>
                <w:rFonts w:hint="eastAsia" w:ascii="仿宋_GB2312" w:eastAsia="仿宋_GB2312"/>
                <w:sz w:val="32"/>
                <w:szCs w:val="32"/>
              </w:rPr>
              <w:t>成本指标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21F1962">
            <w:pPr>
              <w:rPr>
                <w:rFonts w:ascii="仿宋_GB2312" w:hAnsi="宋体" w:eastAsia="仿宋_GB2312" w:cs="宋体"/>
                <w:sz w:val="32"/>
                <w:szCs w:val="32"/>
              </w:rPr>
            </w:pPr>
            <w:r>
              <w:rPr>
                <w:rFonts w:hint="eastAsia" w:ascii="仿宋_GB2312" w:eastAsia="仿宋_GB2312"/>
                <w:sz w:val="32"/>
                <w:szCs w:val="32"/>
              </w:rPr>
              <w:t>工作人员补助</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5BA295">
            <w:pPr>
              <w:rPr>
                <w:rFonts w:ascii="仿宋_GB2312" w:hAnsi="宋体" w:eastAsia="仿宋_GB2312" w:cs="宋体"/>
                <w:sz w:val="32"/>
                <w:szCs w:val="32"/>
              </w:rPr>
            </w:pPr>
            <w:r>
              <w:rPr>
                <w:rFonts w:hint="eastAsia" w:ascii="仿宋_GB2312" w:eastAsia="仿宋_GB2312"/>
                <w:sz w:val="32"/>
                <w:szCs w:val="32"/>
              </w:rPr>
              <w:t>村级防疫人员工作补助</w:t>
            </w:r>
          </w:p>
        </w:tc>
      </w:tr>
      <w:tr w14:paraId="00F5DCE1">
        <w:tblPrEx>
          <w:tblCellMar>
            <w:top w:w="0" w:type="dxa"/>
            <w:left w:w="0" w:type="dxa"/>
            <w:bottom w:w="0" w:type="dxa"/>
            <w:right w:w="0" w:type="dxa"/>
          </w:tblCellMar>
        </w:tblPrEx>
        <w:trPr>
          <w:trHeight w:val="720" w:hRule="atLeast"/>
        </w:trPr>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1BB170ED">
            <w:pPr>
              <w:jc w:val="center"/>
              <w:rPr>
                <w:rFonts w:ascii="仿宋_GB2312" w:hAnsi="宋体" w:eastAsia="仿宋_GB2312" w:cs="宋体"/>
                <w:sz w:val="32"/>
                <w:szCs w:val="32"/>
              </w:rPr>
            </w:pPr>
            <w:r>
              <w:rPr>
                <w:rFonts w:hint="eastAsia" w:ascii="仿宋_GB2312" w:eastAsia="仿宋_GB2312"/>
                <w:sz w:val="32"/>
                <w:szCs w:val="32"/>
              </w:rPr>
              <w:t>效益指标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1EB11A99">
            <w:pPr>
              <w:jc w:val="center"/>
              <w:rPr>
                <w:rFonts w:ascii="仿宋_GB2312" w:hAnsi="宋体" w:eastAsia="仿宋_GB2312" w:cs="宋体"/>
                <w:sz w:val="32"/>
                <w:szCs w:val="32"/>
              </w:rPr>
            </w:pPr>
            <w:r>
              <w:rPr>
                <w:rFonts w:hint="eastAsia" w:ascii="仿宋_GB2312" w:eastAsia="仿宋_GB2312"/>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A2B022">
            <w:pPr>
              <w:rPr>
                <w:rFonts w:ascii="仿宋_GB2312" w:hAnsi="宋体" w:eastAsia="仿宋_GB2312" w:cs="宋体"/>
                <w:sz w:val="32"/>
                <w:szCs w:val="32"/>
              </w:rPr>
            </w:pPr>
            <w:r>
              <w:rPr>
                <w:rFonts w:hint="eastAsia" w:ascii="仿宋_GB2312" w:eastAsia="仿宋_GB2312"/>
                <w:sz w:val="32"/>
                <w:szCs w:val="32"/>
              </w:rPr>
              <w:t>疫情防控</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A0F1226">
            <w:pPr>
              <w:rPr>
                <w:rFonts w:ascii="仿宋_GB2312" w:hAnsi="宋体" w:eastAsia="仿宋_GB2312" w:cs="宋体"/>
                <w:sz w:val="32"/>
                <w:szCs w:val="32"/>
              </w:rPr>
            </w:pPr>
            <w:r>
              <w:rPr>
                <w:rFonts w:hint="eastAsia" w:ascii="仿宋_GB2312" w:eastAsia="仿宋_GB2312"/>
                <w:sz w:val="32"/>
                <w:szCs w:val="32"/>
              </w:rPr>
              <w:t>减少人员流动，确保防控措施落实，保障群众健康</w:t>
            </w:r>
          </w:p>
        </w:tc>
      </w:tr>
      <w:tr w14:paraId="2EF2522A">
        <w:tblPrEx>
          <w:tblCellMar>
            <w:top w:w="0" w:type="dxa"/>
            <w:left w:w="0" w:type="dxa"/>
            <w:bottom w:w="0" w:type="dxa"/>
            <w:right w:w="0"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vAlign w:val="center"/>
          </w:tcPr>
          <w:p w14:paraId="3F70B5DE">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1C42074">
            <w:pPr>
              <w:jc w:val="center"/>
              <w:rPr>
                <w:rFonts w:ascii="仿宋_GB2312" w:hAnsi="宋体" w:eastAsia="仿宋_GB2312" w:cs="宋体"/>
                <w:sz w:val="32"/>
                <w:szCs w:val="32"/>
              </w:rPr>
            </w:pPr>
            <w:r>
              <w:rPr>
                <w:rFonts w:hint="eastAsia" w:ascii="仿宋_GB2312" w:eastAsia="仿宋_GB2312"/>
                <w:sz w:val="32"/>
                <w:szCs w:val="32"/>
              </w:rPr>
              <w:t>可持续影响指标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1BD8361">
            <w:pPr>
              <w:rPr>
                <w:rFonts w:ascii="仿宋_GB2312" w:hAnsi="宋体" w:eastAsia="仿宋_GB2312" w:cs="宋体"/>
                <w:sz w:val="32"/>
                <w:szCs w:val="32"/>
              </w:rPr>
            </w:pPr>
            <w:r>
              <w:rPr>
                <w:rFonts w:hint="eastAsia" w:ascii="仿宋_GB2312" w:eastAsia="仿宋_GB2312"/>
                <w:sz w:val="32"/>
                <w:szCs w:val="32"/>
              </w:rPr>
              <w:t>项目可持续发挥作用期限</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4289EE">
            <w:pPr>
              <w:rPr>
                <w:rFonts w:ascii="仿宋_GB2312" w:hAnsi="宋体" w:eastAsia="仿宋_GB2312" w:cs="宋体"/>
                <w:sz w:val="32"/>
                <w:szCs w:val="32"/>
              </w:rPr>
            </w:pPr>
            <w:r>
              <w:rPr>
                <w:rFonts w:hint="eastAsia" w:ascii="仿宋_GB2312" w:eastAsia="仿宋_GB2312"/>
                <w:sz w:val="32"/>
                <w:szCs w:val="32"/>
              </w:rPr>
              <w:t>在规定时限内发挥作用</w:t>
            </w:r>
          </w:p>
        </w:tc>
      </w:tr>
      <w:tr w14:paraId="74B2823C">
        <w:tblPrEx>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7B68D8">
            <w:pPr>
              <w:jc w:val="center"/>
              <w:rPr>
                <w:rFonts w:ascii="仿宋_GB2312" w:hAnsi="宋体" w:eastAsia="仿宋_GB2312" w:cs="宋体"/>
                <w:sz w:val="32"/>
                <w:szCs w:val="32"/>
              </w:rPr>
            </w:pPr>
            <w:r>
              <w:rPr>
                <w:rFonts w:hint="eastAsia" w:ascii="仿宋_GB2312" w:eastAsia="仿宋_GB2312"/>
                <w:sz w:val="32"/>
                <w:szCs w:val="32"/>
              </w:rPr>
              <w:t>满意度指标</w:t>
            </w:r>
          </w:p>
        </w:tc>
        <w:tc>
          <w:tcPr>
            <w:tcW w:w="8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4715D6">
            <w:pPr>
              <w:jc w:val="center"/>
              <w:rPr>
                <w:rFonts w:ascii="仿宋_GB2312" w:hAnsi="宋体" w:eastAsia="仿宋_GB2312" w:cs="宋体"/>
                <w:sz w:val="32"/>
                <w:szCs w:val="32"/>
              </w:rPr>
            </w:pPr>
            <w:r>
              <w:rPr>
                <w:rFonts w:hint="eastAsia" w:ascii="仿宋_GB2312" w:eastAsia="仿宋_GB2312"/>
                <w:sz w:val="32"/>
                <w:szCs w:val="32"/>
              </w:rPr>
              <w:t>服务对象满意度指标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F540DA">
            <w:pPr>
              <w:rPr>
                <w:rFonts w:ascii="仿宋_GB2312" w:hAnsi="宋体" w:eastAsia="仿宋_GB2312" w:cs="宋体"/>
                <w:sz w:val="32"/>
                <w:szCs w:val="32"/>
              </w:rPr>
            </w:pPr>
            <w:r>
              <w:rPr>
                <w:rFonts w:hint="eastAsia" w:ascii="仿宋_GB2312" w:eastAsia="仿宋_GB2312"/>
                <w:sz w:val="32"/>
                <w:szCs w:val="32"/>
              </w:rPr>
              <w:t>受益群众满意度</w:t>
            </w:r>
          </w:p>
        </w:tc>
        <w:tc>
          <w:tcPr>
            <w:tcW w:w="356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22CC31">
            <w:pPr>
              <w:rPr>
                <w:rFonts w:ascii="仿宋_GB2312" w:hAnsi="宋体" w:eastAsia="仿宋_GB2312" w:cs="宋体"/>
                <w:sz w:val="32"/>
                <w:szCs w:val="32"/>
              </w:rPr>
            </w:pPr>
            <w:r>
              <w:rPr>
                <w:rFonts w:hint="eastAsia" w:ascii="仿宋_GB2312" w:hAnsi="宋体" w:cs="宋体"/>
                <w:sz w:val="32"/>
                <w:szCs w:val="32"/>
              </w:rPr>
              <w:t>≧</w:t>
            </w:r>
            <w:r>
              <w:rPr>
                <w:rFonts w:hint="eastAsia" w:ascii="仿宋_GB2312" w:eastAsia="仿宋_GB2312"/>
                <w:sz w:val="32"/>
                <w:szCs w:val="32"/>
              </w:rPr>
              <w:t>98%</w:t>
            </w:r>
          </w:p>
        </w:tc>
      </w:tr>
    </w:tbl>
    <w:p w14:paraId="2834E28E">
      <w:pPr>
        <w:adjustRightInd w:val="0"/>
        <w:snapToGrid w:val="0"/>
        <w:spacing w:line="560" w:lineRule="exact"/>
        <w:rPr>
          <w:rFonts w:ascii="仿宋_GB2312" w:hAnsi="宋体" w:eastAsia="仿宋_GB2312"/>
          <w:sz w:val="32"/>
          <w:szCs w:val="32"/>
          <w:lang w:val="zh-CN"/>
        </w:rPr>
      </w:pPr>
      <w:r>
        <w:rPr>
          <w:rFonts w:hint="eastAsia" w:ascii="仿宋_GB2312" w:hAnsi="宋体" w:eastAsia="仿宋_GB2312"/>
          <w:sz w:val="32"/>
          <w:szCs w:val="32"/>
          <w:lang w:val="zh-CN"/>
        </w:rPr>
        <w:t xml:space="preserve">      2．项目绩效目标实现情况</w:t>
      </w:r>
    </w:p>
    <w:p w14:paraId="5F33E632">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2020年初，突发的新冠肺炎疫情，严重威胁到广大人民群众的身体健康，全镇各级干部、广大群众团结一心奋力抗疫，共组织防疫队伍16只，参与抗疫人员550余人；设置卡点59处，昼夜值守；采购各类防疫物资5批次3500余件，彻底打赢了我镇新冠肺炎疫情防控阻击战，为经济社会发展、生产生活正常恢复赢得了时间。</w:t>
      </w:r>
    </w:p>
    <w:p w14:paraId="0657279D">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3．项目绩效目标编制质量评价</w:t>
      </w:r>
    </w:p>
    <w:p w14:paraId="703EEBAA">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该项目绩效目标编制较为规范，符合各项目资金规定的开支范围，绩效目标重点突出，效益明显。绩效目标申报与绩效目标实现情况相符，具备较好的可操作性实现条件。</w:t>
      </w:r>
    </w:p>
    <w:p w14:paraId="0B4DAFE6">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（三）项目绩效自评步骤及方法</w:t>
      </w:r>
    </w:p>
    <w:p w14:paraId="7BB230D9">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本项目绩效自评分三个阶段，即评价准备阶段、自评阶段和终评阶段。</w:t>
      </w:r>
    </w:p>
    <w:p w14:paraId="2A67A588">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准备阶段</w:t>
      </w:r>
      <w:r>
        <w:rPr>
          <w:rFonts w:hint="eastAsia" w:ascii="仿宋_GB2312" w:hAnsi="宋体" w:eastAsia="仿宋_GB2312"/>
          <w:sz w:val="32"/>
          <w:szCs w:val="32"/>
        </w:rPr>
        <w:t xml:space="preserve">  由镇财政所提供项目财务会计资料，并组织相关职能部门收集项目绩效映衬资料，制定评价实施方案，确定评价指标细则等工作。</w:t>
      </w:r>
    </w:p>
    <w:p w14:paraId="2536954C">
      <w:pPr>
        <w:spacing w:line="560" w:lineRule="exact"/>
        <w:ind w:firstLine="640"/>
        <w:rPr>
          <w:rFonts w:ascii="仿宋_GB2312" w:hAnsi="宋体" w:eastAsia="仿宋_GB2312"/>
          <w:sz w:val="32"/>
          <w:szCs w:val="32"/>
        </w:rPr>
      </w:pPr>
      <w:r>
        <w:rPr>
          <w:rFonts w:hint="eastAsia" w:ascii="仿宋_GB2312" w:hAnsi="宋体" w:eastAsia="仿宋_GB2312"/>
          <w:b/>
          <w:sz w:val="32"/>
          <w:szCs w:val="32"/>
        </w:rPr>
        <w:t>自评阶段</w:t>
      </w:r>
      <w:r>
        <w:rPr>
          <w:rFonts w:hint="eastAsia" w:ascii="仿宋_GB2312" w:hAnsi="宋体" w:eastAsia="仿宋_GB2312"/>
          <w:sz w:val="32"/>
          <w:szCs w:val="32"/>
        </w:rPr>
        <w:t xml:space="preserve">  按照财政资金运用方向，确定归口使用管理部门开展自评，按照绩效目标申报情况，从绩效目标设置和合理性、科学性开展评价，分析绩效目标申报与实现情况差异原因，分析绩效目标效益发挥情况，评价项目绩效目标质量控制情况，并对项目资金分配与使用管理，支付程序与审核审批，结算审查等方面开展自评，各职能部门自评情况交由镇财政所汇总。</w:t>
      </w:r>
    </w:p>
    <w:p w14:paraId="73E00CAD">
      <w:pPr>
        <w:adjustRightInd w:val="0"/>
        <w:snapToGrid w:val="0"/>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sz w:val="32"/>
          <w:szCs w:val="32"/>
        </w:rPr>
        <w:t>终评阶段</w:t>
      </w:r>
      <w:r>
        <w:rPr>
          <w:rFonts w:hint="eastAsia" w:ascii="仿宋_GB2312" w:hAnsi="宋体" w:eastAsia="仿宋_GB2312"/>
          <w:sz w:val="32"/>
          <w:szCs w:val="32"/>
        </w:rPr>
        <w:t xml:space="preserve">  首先，组织相关职能部门召开终评会议，讨论各职能部门初评自评情况；其次，通过核查相关项目文件资料，查阅会计档案、会计凭证和会计报表，对各职能部门自评结果进行定量定性分析；最后，经综合评议形成评价结论。并依据综合评价结论编制各项目绩效评价报告。</w:t>
      </w:r>
    </w:p>
    <w:p w14:paraId="6EBA7E72">
      <w:pPr>
        <w:adjustRightInd w:val="0"/>
        <w:snapToGrid w:val="0"/>
        <w:spacing w:line="560" w:lineRule="exact"/>
        <w:ind w:left="105" w:leftChars="50" w:firstLine="643" w:firstLineChars="200"/>
        <w:rPr>
          <w:rFonts w:ascii="仿宋_GB2312" w:hAnsi="宋体" w:eastAsia="仿宋_GB2312"/>
          <w:b/>
          <w:sz w:val="32"/>
          <w:szCs w:val="32"/>
        </w:rPr>
      </w:pPr>
      <w:r>
        <w:rPr>
          <w:rFonts w:hint="eastAsia" w:ascii="仿宋_GB2312" w:hAnsi="宋体" w:eastAsia="仿宋_GB2312"/>
          <w:b/>
          <w:sz w:val="32"/>
          <w:szCs w:val="32"/>
        </w:rPr>
        <w:t>二、项目资金申报及使用情况</w:t>
      </w:r>
    </w:p>
    <w:p w14:paraId="5CDB632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（一）项目资金申报及批复情况。</w:t>
      </w:r>
    </w:p>
    <w:p w14:paraId="7533BB81">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本项目年初没有财政预算安排行支出。疫情暴发后，部门申报财政预算（含调整预算，）项目支出42.98万元。其中：防疫一线人员工作补助经费33.75万元，疫情防控工作经费9.23万元。</w:t>
      </w:r>
    </w:p>
    <w:p w14:paraId="1C3CC8A5">
      <w:pPr>
        <w:adjustRightInd w:val="0"/>
        <w:snapToGrid w:val="0"/>
        <w:spacing w:line="560" w:lineRule="exact"/>
        <w:ind w:firstLine="640" w:firstLineChars="200"/>
        <w:rPr>
          <w:rFonts w:ascii="仿宋_GB2312" w:hAnsi="宋体" w:eastAsia="仿宋_GB2312" w:cs="宋体"/>
          <w:b/>
          <w:sz w:val="32"/>
          <w:szCs w:val="32"/>
          <w:lang w:val="zh-CN"/>
        </w:rPr>
      </w:pPr>
      <w:r>
        <w:rPr>
          <w:rFonts w:hint="eastAsia" w:ascii="仿宋_GB2312" w:hAnsi="宋体" w:eastAsia="仿宋_GB2312"/>
          <w:sz w:val="32"/>
          <w:szCs w:val="32"/>
          <w:lang w:val="zh-CN"/>
        </w:rPr>
        <w:t>该项目批复预算支出42.98万元。预算调整及预算执行符合相关项目资金管理规定。</w:t>
      </w:r>
    </w:p>
    <w:p w14:paraId="3A3E61DB">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（二）项目资金计划、到位及使用情况   </w:t>
      </w:r>
    </w:p>
    <w:p w14:paraId="1CCF13A3">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 1．项目资金计划情况</w:t>
      </w:r>
    </w:p>
    <w:p w14:paraId="3A62DD30">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该项目资金计划情况按资金来源分类如下表</w:t>
      </w:r>
    </w:p>
    <w:p w14:paraId="3E3B9AF9">
      <w:pPr>
        <w:adjustRightInd w:val="0"/>
        <w:snapToGrid w:val="0"/>
        <w:spacing w:line="560" w:lineRule="exact"/>
        <w:ind w:firstLine="6400" w:firstLineChars="2000"/>
        <w:rPr>
          <w:rFonts w:ascii="仿宋_GB2312" w:hAnsi="宋体" w:eastAsia="仿宋_GB2312"/>
          <w:sz w:val="32"/>
          <w:szCs w:val="32"/>
          <w:lang w:val="zh-CN"/>
        </w:rPr>
      </w:pPr>
      <w:r>
        <w:rPr>
          <w:rFonts w:hint="eastAsia" w:ascii="仿宋_GB2312" w:hAnsi="宋体" w:eastAsia="仿宋_GB2312"/>
          <w:sz w:val="32"/>
          <w:szCs w:val="32"/>
          <w:lang w:val="zh-CN"/>
        </w:rPr>
        <w:t>金额单位：万元</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3723"/>
        <w:gridCol w:w="992"/>
        <w:gridCol w:w="992"/>
        <w:gridCol w:w="993"/>
        <w:gridCol w:w="992"/>
        <w:gridCol w:w="1070"/>
      </w:tblGrid>
      <w:tr w14:paraId="58701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vAlign w:val="center"/>
          </w:tcPr>
          <w:p w14:paraId="401B570A">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序</w:t>
            </w:r>
          </w:p>
          <w:p w14:paraId="171BB8D0">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号</w:t>
            </w:r>
          </w:p>
        </w:tc>
        <w:tc>
          <w:tcPr>
            <w:tcW w:w="3723" w:type="dxa"/>
            <w:vAlign w:val="center"/>
          </w:tcPr>
          <w:p w14:paraId="6AE8C217">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项目名称</w:t>
            </w:r>
          </w:p>
        </w:tc>
        <w:tc>
          <w:tcPr>
            <w:tcW w:w="992" w:type="dxa"/>
            <w:vAlign w:val="center"/>
          </w:tcPr>
          <w:p w14:paraId="46C901D0">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中央</w:t>
            </w:r>
          </w:p>
          <w:p w14:paraId="5E0C0DDA">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资金</w:t>
            </w:r>
          </w:p>
        </w:tc>
        <w:tc>
          <w:tcPr>
            <w:tcW w:w="992" w:type="dxa"/>
            <w:vAlign w:val="center"/>
          </w:tcPr>
          <w:p w14:paraId="54B34478">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省级资金</w:t>
            </w:r>
          </w:p>
        </w:tc>
        <w:tc>
          <w:tcPr>
            <w:tcW w:w="993" w:type="dxa"/>
            <w:vAlign w:val="center"/>
          </w:tcPr>
          <w:p w14:paraId="22E61E47">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市级资金</w:t>
            </w:r>
          </w:p>
        </w:tc>
        <w:tc>
          <w:tcPr>
            <w:tcW w:w="992" w:type="dxa"/>
          </w:tcPr>
          <w:p w14:paraId="582C00F7">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区级资金</w:t>
            </w:r>
          </w:p>
        </w:tc>
        <w:tc>
          <w:tcPr>
            <w:tcW w:w="1070" w:type="dxa"/>
            <w:vAlign w:val="center"/>
          </w:tcPr>
          <w:p w14:paraId="264288A8">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自筹资金</w:t>
            </w:r>
          </w:p>
        </w:tc>
      </w:tr>
      <w:tr w14:paraId="61BA2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vAlign w:val="center"/>
          </w:tcPr>
          <w:p w14:paraId="367572AB">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5</w:t>
            </w:r>
          </w:p>
        </w:tc>
        <w:tc>
          <w:tcPr>
            <w:tcW w:w="3723" w:type="dxa"/>
            <w:vAlign w:val="center"/>
          </w:tcPr>
          <w:p w14:paraId="25E84E00">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抗疫特别国债支出（防疫一线人员工作补助）和疫情防控工作经费</w:t>
            </w:r>
          </w:p>
        </w:tc>
        <w:tc>
          <w:tcPr>
            <w:tcW w:w="992" w:type="dxa"/>
            <w:vAlign w:val="center"/>
          </w:tcPr>
          <w:p w14:paraId="23F72863">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53C6EE82">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33.75</w:t>
            </w:r>
          </w:p>
        </w:tc>
        <w:tc>
          <w:tcPr>
            <w:tcW w:w="993" w:type="dxa"/>
            <w:vAlign w:val="center"/>
          </w:tcPr>
          <w:p w14:paraId="58547A64">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062AC872">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9.23</w:t>
            </w:r>
          </w:p>
        </w:tc>
        <w:tc>
          <w:tcPr>
            <w:tcW w:w="1070" w:type="dxa"/>
            <w:vAlign w:val="center"/>
          </w:tcPr>
          <w:p w14:paraId="01B407DB">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0.00</w:t>
            </w:r>
          </w:p>
        </w:tc>
      </w:tr>
      <w:tr w14:paraId="4AC4D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2"/>
            <w:vAlign w:val="center"/>
          </w:tcPr>
          <w:p w14:paraId="7D73D6D2">
            <w:pPr>
              <w:adjustRightInd w:val="0"/>
              <w:snapToGrid w:val="0"/>
              <w:spacing w:line="560" w:lineRule="exact"/>
              <w:jc w:val="center"/>
              <w:rPr>
                <w:rFonts w:ascii="仿宋_GB2312" w:hAnsi="宋体" w:eastAsia="仿宋_GB2312"/>
                <w:b/>
                <w:sz w:val="32"/>
                <w:szCs w:val="32"/>
                <w:lang w:val="zh-CN"/>
              </w:rPr>
            </w:pPr>
            <w:r>
              <w:rPr>
                <w:rFonts w:hint="eastAsia" w:ascii="仿宋_GB2312" w:hAnsi="宋体" w:eastAsia="仿宋_GB2312"/>
                <w:b/>
                <w:sz w:val="32"/>
                <w:szCs w:val="32"/>
                <w:lang w:val="zh-CN"/>
              </w:rPr>
              <w:t>合 计</w:t>
            </w:r>
          </w:p>
        </w:tc>
        <w:tc>
          <w:tcPr>
            <w:tcW w:w="992" w:type="dxa"/>
            <w:vAlign w:val="center"/>
          </w:tcPr>
          <w:p w14:paraId="646157A9">
            <w:pPr>
              <w:adjustRightInd w:val="0"/>
              <w:snapToGrid w:val="0"/>
              <w:spacing w:line="560" w:lineRule="exact"/>
              <w:jc w:val="center"/>
              <w:rPr>
                <w:rFonts w:ascii="仿宋_GB2312" w:hAnsi="宋体" w:eastAsia="仿宋_GB2312"/>
                <w:b/>
                <w:sz w:val="32"/>
                <w:szCs w:val="32"/>
                <w:lang w:val="zh-CN"/>
              </w:rPr>
            </w:pPr>
            <w:r>
              <w:rPr>
                <w:rFonts w:hint="eastAsia" w:ascii="仿宋_GB2312" w:hAnsi="宋体" w:eastAsia="仿宋_GB2312"/>
                <w:b/>
                <w:sz w:val="32"/>
                <w:szCs w:val="32"/>
                <w:lang w:val="zh-CN"/>
              </w:rPr>
              <w:t>0.00</w:t>
            </w:r>
          </w:p>
        </w:tc>
        <w:tc>
          <w:tcPr>
            <w:tcW w:w="992" w:type="dxa"/>
            <w:vAlign w:val="center"/>
          </w:tcPr>
          <w:p w14:paraId="705FAFB8">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33.75</w:t>
            </w:r>
          </w:p>
        </w:tc>
        <w:tc>
          <w:tcPr>
            <w:tcW w:w="993" w:type="dxa"/>
            <w:vAlign w:val="center"/>
          </w:tcPr>
          <w:p w14:paraId="239B4A3A">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0.00</w:t>
            </w:r>
          </w:p>
        </w:tc>
        <w:tc>
          <w:tcPr>
            <w:tcW w:w="992" w:type="dxa"/>
            <w:vAlign w:val="center"/>
          </w:tcPr>
          <w:p w14:paraId="59320F96">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9.23</w:t>
            </w:r>
          </w:p>
        </w:tc>
        <w:tc>
          <w:tcPr>
            <w:tcW w:w="1070" w:type="dxa"/>
            <w:vAlign w:val="center"/>
          </w:tcPr>
          <w:p w14:paraId="1877890C">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0.00</w:t>
            </w:r>
          </w:p>
        </w:tc>
      </w:tr>
    </w:tbl>
    <w:p w14:paraId="4B14BF47">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sz w:val="32"/>
          <w:szCs w:val="32"/>
          <w:lang w:val="zh-CN"/>
        </w:rPr>
        <w:t>2．项目资金到位情况</w:t>
      </w:r>
    </w:p>
    <w:p w14:paraId="797D07E1">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sz w:val="32"/>
          <w:szCs w:val="32"/>
          <w:lang w:val="zh-CN"/>
        </w:rPr>
        <w:t>该项目计划资金于年度内全部到位，即到位资金42.98万元。</w:t>
      </w:r>
    </w:p>
    <w:p w14:paraId="78A32821">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sz w:val="32"/>
          <w:szCs w:val="32"/>
          <w:lang w:val="zh-CN"/>
        </w:rPr>
        <w:t>3．项目资金使用情况</w:t>
      </w:r>
    </w:p>
    <w:p w14:paraId="75327A5D">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sz w:val="32"/>
          <w:szCs w:val="32"/>
          <w:lang w:val="zh-CN"/>
        </w:rPr>
        <w:t>本年度内全部安排使用项目资金42.98万元，其中，发放防疫一线人员工作补助33.75万元，采购防疫物资和办公用品9.23万元。</w:t>
      </w:r>
    </w:p>
    <w:p w14:paraId="42E1B82C">
      <w:pPr>
        <w:adjustRightInd w:val="0"/>
        <w:snapToGrid w:val="0"/>
        <w:spacing w:line="56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（三）项目财务管理情况。</w:t>
      </w:r>
    </w:p>
    <w:p w14:paraId="51CB79AA">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财务管理严格按照上级部门资金管理要求执行，同时，依据本部门财务管理制度和项目资金管理办法执行。严格项目资金申请程序和审批权限，严格政府采购管理，严格执行国库集中支付。该项目资金收支情况接受了上级相关部门的检查审计。</w:t>
      </w:r>
    </w:p>
    <w:p w14:paraId="271ACCCB">
      <w:pPr>
        <w:adjustRightInd w:val="0"/>
        <w:snapToGrid w:val="0"/>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三、项目实施及管理情况</w:t>
      </w:r>
    </w:p>
    <w:p w14:paraId="68F79C2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（一）项目组织架构及实施流程</w:t>
      </w:r>
    </w:p>
    <w:p w14:paraId="5038689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该项目由镇党委政府统筹管理，并成立了新冠肺炎疫情防控指挥部，由镇党政主要领导亲自挂帅，落实专班组织实施、监督检查全镇的抗疫工作。</w:t>
      </w:r>
    </w:p>
    <w:p w14:paraId="1B0CA64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（二）项目管理情况</w:t>
      </w:r>
    </w:p>
    <w:p w14:paraId="3629BE8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该项目注重日常监督检查和重点抽查，针对项目各关键环节进行督察、指导。如卡点值守情况，留观人员管控情况等。</w:t>
      </w:r>
    </w:p>
    <w:p w14:paraId="27D1FAF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（三）项目监管情况</w:t>
      </w:r>
    </w:p>
    <w:p w14:paraId="1924CB1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项目监管主要采取以下措施：</w:t>
      </w:r>
    </w:p>
    <w:p w14:paraId="26B0DF4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一是对项目事前安排、事中督察检查全过程监管，对防疫人员、卡点值守到位情况严格打表考勤。</w:t>
      </w:r>
    </w:p>
    <w:p w14:paraId="490A7B0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二是对防疫设施设置、防控措施实施情况开展监督检查，发现问题及时整改。</w:t>
      </w:r>
    </w:p>
    <w:p w14:paraId="2B3EFD7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三是对项目资金使用管理进行监督检查。</w:t>
      </w:r>
    </w:p>
    <w:p w14:paraId="062C04CD">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四、绩效目标情况</w:t>
      </w:r>
    </w:p>
    <w:p w14:paraId="500B809B">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（一）项目完成情况</w:t>
      </w:r>
    </w:p>
    <w:p w14:paraId="5E1AD86A">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抗疫特别国债支出（防疫一线人员工作补助）和疫情防控工作经费”项目，为我镇打赢疫情防控阻击战发挥了重要作用。疫情防控期间，全镇组织防疫队伍16只，参与抗疫人员550余人；设置卡点59处，昼夜值守；采购各类防疫物资5批次3500余件，有力有效地保护了广大群众生命和健康，为经济社会发展、生产生活恢复正常秩序打下了坚实基础。</w:t>
      </w:r>
    </w:p>
    <w:p w14:paraId="1DFE0076">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（二）项目效益情况</w:t>
      </w:r>
    </w:p>
    <w:p w14:paraId="14C2B1C2">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通过该项目实施，充分调动了广大群众防疫积极性，打赢了疫情防控歼灭战，守护了群众健康，快速恢复了生产、生活秩序，保障了经济社会发展。</w:t>
      </w:r>
    </w:p>
    <w:p w14:paraId="423AF771">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经济效益：</w:t>
      </w:r>
      <w:r>
        <w:rPr>
          <w:rFonts w:hint="eastAsia" w:ascii="仿宋_GB2312" w:hAnsi="宋体" w:eastAsia="仿宋_GB2312"/>
          <w:sz w:val="32"/>
          <w:szCs w:val="32"/>
          <w:lang w:val="zh-CN"/>
        </w:rPr>
        <w:t>通过项目实施，有效阻断了疫情传播链，有效防止了病毒交叉感染，减轻了医疗费用。</w:t>
      </w:r>
    </w:p>
    <w:p w14:paraId="29F5B322">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社会效益：</w:t>
      </w:r>
      <w:r>
        <w:rPr>
          <w:rFonts w:hint="eastAsia" w:ascii="仿宋_GB2312" w:hAnsi="宋体" w:eastAsia="仿宋_GB2312"/>
          <w:sz w:val="32"/>
          <w:szCs w:val="32"/>
          <w:lang w:val="zh-CN"/>
        </w:rPr>
        <w:t>有效减少了人员流动，保障了各项防控措施实施，为全面打赢疫情阻击战发挥了重要作用，保障人民健康。</w:t>
      </w:r>
    </w:p>
    <w:p w14:paraId="75925207">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可持续效益：</w:t>
      </w:r>
      <w:r>
        <w:rPr>
          <w:rFonts w:hint="eastAsia" w:ascii="仿宋_GB2312" w:hAnsi="宋体" w:eastAsia="仿宋_GB2312"/>
          <w:sz w:val="32"/>
          <w:szCs w:val="32"/>
          <w:lang w:val="zh-CN"/>
        </w:rPr>
        <w:t>项目效益具有长期发挥效益作用。</w:t>
      </w:r>
    </w:p>
    <w:p w14:paraId="236DE270">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群众满意度：</w:t>
      </w:r>
      <w:r>
        <w:rPr>
          <w:rFonts w:hint="eastAsia" w:ascii="仿宋_GB2312" w:hAnsi="宋体" w:eastAsia="仿宋_GB2312"/>
          <w:sz w:val="32"/>
          <w:szCs w:val="32"/>
          <w:lang w:val="zh-CN"/>
        </w:rPr>
        <w:t>群众满意度经综合评价可达98%以上。</w:t>
      </w:r>
    </w:p>
    <w:p w14:paraId="3EDACF24">
      <w:pPr>
        <w:adjustRightInd w:val="0"/>
        <w:snapToGrid w:val="0"/>
        <w:spacing w:line="560" w:lineRule="exact"/>
        <w:ind w:firstLine="720"/>
        <w:rPr>
          <w:rFonts w:ascii="仿宋_GB2312" w:hAnsi="宋体" w:eastAsia="仿宋_GB2312"/>
          <w:b/>
          <w:sz w:val="32"/>
          <w:szCs w:val="32"/>
        </w:rPr>
      </w:pPr>
      <w:r>
        <w:rPr>
          <w:rFonts w:hint="eastAsia" w:ascii="仿宋_GB2312" w:hAnsi="宋体" w:eastAsia="仿宋_GB2312"/>
          <w:b/>
          <w:sz w:val="32"/>
          <w:szCs w:val="32"/>
        </w:rPr>
        <w:t>五、评价结论</w:t>
      </w:r>
    </w:p>
    <w:p w14:paraId="7242C7E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该</w:t>
      </w:r>
      <w:r>
        <w:rPr>
          <w:rFonts w:hint="eastAsia" w:ascii="仿宋_GB2312" w:hAnsi="宋体" w:eastAsia="仿宋_GB2312"/>
          <w:sz w:val="32"/>
          <w:szCs w:val="32"/>
          <w:lang w:val="zh-CN"/>
        </w:rPr>
        <w:t>项目</w:t>
      </w:r>
      <w:r>
        <w:rPr>
          <w:rFonts w:hint="eastAsia" w:ascii="仿宋_GB2312" w:hAnsi="宋体" w:eastAsia="仿宋_GB2312" w:cs="宋体"/>
          <w:sz w:val="32"/>
          <w:szCs w:val="32"/>
          <w:lang w:val="zh-CN"/>
        </w:rPr>
        <w:t>突出了“保重点、保稳定、保民生”的特点，强化了公共财政产品的为民情怀。</w:t>
      </w:r>
    </w:p>
    <w:p w14:paraId="1198EA89">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sz w:val="32"/>
          <w:szCs w:val="32"/>
          <w:lang w:val="zh-CN"/>
        </w:rPr>
        <w:t>该项目总体评价结论是：该项目申报及时，重点明确；项目管理规范，组织严密，流程清晰，监督有力；项目资金使用管理严格执行了相关财经法规、制度规定，符合本单位财务管理制度规定；绩效目标完成好，达到预期效果。</w:t>
      </w:r>
    </w:p>
    <w:p w14:paraId="1A9C8B70">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六、问题及建议</w:t>
      </w:r>
    </w:p>
    <w:p w14:paraId="6DE11A6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（一）存在的问题</w:t>
      </w:r>
    </w:p>
    <w:p w14:paraId="5CD42B92">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14:paraId="4287646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（二）相关建议</w:t>
      </w:r>
    </w:p>
    <w:p w14:paraId="4B212A4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14:paraId="4DEC7C73">
      <w:pPr>
        <w:spacing w:line="600" w:lineRule="exact"/>
        <w:jc w:val="center"/>
        <w:outlineLvl w:val="0"/>
        <w:rPr>
          <w:rFonts w:ascii="黑体" w:hAnsi="黑体" w:eastAsia="黑体" w:cs="黑体"/>
          <w:sz w:val="44"/>
          <w:szCs w:val="44"/>
        </w:rPr>
      </w:pPr>
    </w:p>
    <w:p w14:paraId="4DAB2626">
      <w:pPr>
        <w:spacing w:line="600" w:lineRule="exact"/>
        <w:jc w:val="center"/>
        <w:outlineLvl w:val="0"/>
        <w:rPr>
          <w:rFonts w:ascii="黑体" w:hAnsi="黑体" w:eastAsia="黑体" w:cs="黑体"/>
          <w:sz w:val="44"/>
          <w:szCs w:val="44"/>
        </w:rPr>
      </w:pPr>
    </w:p>
    <w:p w14:paraId="78A4A82D">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-3</w:t>
      </w:r>
    </w:p>
    <w:p w14:paraId="519CFC7E">
      <w:pPr>
        <w:spacing w:line="580" w:lineRule="exact"/>
        <w:ind w:firstLine="640" w:firstLineChars="200"/>
        <w:rPr>
          <w:rFonts w:ascii="仿宋_GB2312" w:hAnsi="仿宋_GB2312" w:eastAsia="仿宋_GB2312" w:cs="仿宋_GB2312"/>
          <w:sz w:val="32"/>
          <w:szCs w:val="32"/>
        </w:rPr>
      </w:pPr>
    </w:p>
    <w:p w14:paraId="0EDF195E">
      <w:pPr>
        <w:spacing w:line="640" w:lineRule="exact"/>
        <w:jc w:val="center"/>
        <w:rPr>
          <w:rFonts w:ascii="仿宋_GB2312" w:hAnsi="宋体"/>
          <w:b/>
          <w:sz w:val="44"/>
          <w:szCs w:val="44"/>
        </w:rPr>
      </w:pPr>
      <w:r>
        <w:rPr>
          <w:rFonts w:hint="eastAsia" w:ascii="仿宋_GB2312" w:hAnsi="宋体"/>
          <w:b/>
          <w:sz w:val="44"/>
          <w:szCs w:val="44"/>
        </w:rPr>
        <w:t>德阳市罗江区略坪镇人民政府</w:t>
      </w:r>
    </w:p>
    <w:p w14:paraId="0A150BEE">
      <w:pPr>
        <w:spacing w:line="640" w:lineRule="exact"/>
        <w:jc w:val="center"/>
        <w:rPr>
          <w:rFonts w:ascii="仿宋_GB2312" w:hAnsi="宋体"/>
          <w:b/>
          <w:sz w:val="44"/>
          <w:szCs w:val="44"/>
        </w:rPr>
      </w:pPr>
      <w:r>
        <w:rPr>
          <w:rFonts w:hint="eastAsia" w:ascii="仿宋_GB2312" w:hAnsi="宋体"/>
          <w:b/>
          <w:sz w:val="44"/>
          <w:szCs w:val="44"/>
        </w:rPr>
        <w:t>2020年</w:t>
      </w:r>
      <w:r>
        <w:rPr>
          <w:rFonts w:hint="eastAsia" w:ascii="仿宋_GB2312" w:hAnsi="宋体"/>
          <w:b/>
          <w:sz w:val="44"/>
          <w:szCs w:val="44"/>
          <w:lang w:val="zh-CN"/>
        </w:rPr>
        <w:t>“范玉明维稳专项工作经费”</w:t>
      </w:r>
      <w:r>
        <w:rPr>
          <w:rFonts w:hint="eastAsia" w:ascii="仿宋_GB2312" w:hAnsi="宋体"/>
          <w:b/>
          <w:sz w:val="44"/>
          <w:szCs w:val="44"/>
        </w:rPr>
        <w:t>预算项目支出绩效自评报告</w:t>
      </w:r>
    </w:p>
    <w:p w14:paraId="6DD258FF">
      <w:pPr>
        <w:pStyle w:val="30"/>
        <w:spacing w:line="240" w:lineRule="auto"/>
        <w:jc w:val="center"/>
        <w:rPr>
          <w:rFonts w:ascii="宋体" w:hAnsi="宋体" w:cs="Times New Roman"/>
          <w:color w:val="auto"/>
          <w:kern w:val="2"/>
          <w:sz w:val="32"/>
          <w:szCs w:val="32"/>
        </w:rPr>
      </w:pPr>
    </w:p>
    <w:p w14:paraId="16E9D72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项目概况</w:t>
      </w:r>
    </w:p>
    <w:p w14:paraId="6A9FCF5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（一）项目基本情况</w:t>
      </w:r>
    </w:p>
    <w:p w14:paraId="61350A7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主要是解决我镇建国村疑难上访人员范玉明，在2019年全国两会和建国70周年庆典期间，先后多次进京上访，区、镇两级组织人员进行劝返所发生的交通、住宿等差旅用费支出，以及对其进行精神病鉴定和落实专人监控发生的各项费用。</w:t>
      </w:r>
    </w:p>
    <w:p w14:paraId="7B52B03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1．项目主管部门及其职能</w:t>
      </w:r>
    </w:p>
    <w:p w14:paraId="689E577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的主管部门为德阳市罗江区略坪镇人民政府。主要职能是：维护社会稳定。评价项目实施的必要性和有效性，负责项目资金的申请和使用管理；编制项目绩效目标和对项目绩效运行监控；编制项目支出绩效评价报告。</w:t>
      </w:r>
      <w:bookmarkStart w:id="75" w:name="_GoBack"/>
      <w:bookmarkEnd w:id="75"/>
    </w:p>
    <w:p w14:paraId="2A5F2A2B">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14:paraId="58DF9CAB">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cs="宋体"/>
          <w:sz w:val="32"/>
          <w:szCs w:val="32"/>
          <w:lang w:val="zh-CN"/>
        </w:rPr>
        <w:t>为切实维护社会稳定，确保在国家重大节日、庆典期间营造良好的社会安全、稳定局面，</w:t>
      </w:r>
      <w:r>
        <w:rPr>
          <w:rFonts w:hint="eastAsia" w:ascii="仿宋_GB2312" w:hAnsi="宋体" w:eastAsia="仿宋_GB2312"/>
          <w:sz w:val="32"/>
          <w:szCs w:val="32"/>
          <w:lang w:val="zh-CN"/>
        </w:rPr>
        <w:t>我镇建国村疑难上访人员范玉明，在2019年全国两会和新中国成立70周年庆典期间，先后多次进京上访，区、镇两级组织专门人员对其进行劝返，开支交通、食宿等差旅费数额较大，劝返回来后，对其进行精神病鉴定和落实专人监控发生的各项费用较大，为切实缓解本部门资金压力，因此，立项申报该项目资金。本项目经区政府一届53次常务会议通过，依据罗财预C170资金管理文件申请项目资金。</w:t>
      </w:r>
    </w:p>
    <w:p w14:paraId="42B1FAAA">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3．项目资金管理使用情况</w:t>
      </w:r>
    </w:p>
    <w:p w14:paraId="2C067D12">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开支绝大部分发生于2018年11月至2019年9月期间，由本单位先期垫付开支。因此，本项目资金立项批复后，主要作归垫资金处理。项目资金使用管理符合上级相关要求和规定，同时，严格按照《略坪镇人民政府财政专项资金管理办法》的规定执行，无截留、挤占、挪用等情况。</w:t>
      </w:r>
    </w:p>
    <w:p w14:paraId="198E7F16">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4．项目资金分配原则</w:t>
      </w:r>
    </w:p>
    <w:p w14:paraId="29C6B1E1">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该项目资金无需分配，由本部门据实安排使用。</w:t>
      </w:r>
    </w:p>
    <w:p w14:paraId="3AC60F93">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（二）项目绩效目标情况</w:t>
      </w:r>
    </w:p>
    <w:p w14:paraId="411886EC">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1．项目实施的主要内容及绩效目标设置情况</w:t>
      </w:r>
    </w:p>
    <w:p w14:paraId="2FBB94D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绩效目标按照“总体目标”和“绩效目标”编制。其中：“绩效目标”分别设置一级目标三项即：产出指标、效益指标和满意度指标；二级目标设置七项即：数量指标、质量指标、时效指标、成本指标、社会效益指标、可持续影响指标和服务对象满意度指标；三级指标共设七项，对应二级指标的具体数量、质量、完成时期、可持续发挥效益期限和群众满意度指标，以及项目指标值对应的项目实施的具体内容。</w:t>
      </w:r>
    </w:p>
    <w:p w14:paraId="1EB49A92">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总体目标是：</w:t>
      </w:r>
      <w:r>
        <w:rPr>
          <w:rFonts w:hint="eastAsia" w:ascii="仿宋_GB2312" w:hAnsi="宋体" w:eastAsia="仿宋_GB2312"/>
          <w:sz w:val="32"/>
          <w:szCs w:val="32"/>
          <w:lang w:val="zh-CN"/>
        </w:rPr>
        <w:t>2018年11月至2019年9月，特别是在2019年全国两会和建国70周庆典年期间，疑难上访人员范玉明多次进京上访，我镇会同区政法委、区公安局、区信访局等部门相关人员一道，对重点上访人员范玉明进行多次劝返。第三次劝返后，对其进行了医学鉴定，经鉴定，该上访人员患有精神疾病，因此，期间落实了专人（本人亲属）对其监控，于2020年1月病亡。</w:t>
      </w:r>
    </w:p>
    <w:p w14:paraId="18CC473B">
      <w:pPr>
        <w:adjustRightInd w:val="0"/>
        <w:snapToGrid w:val="0"/>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8946" w:type="dxa"/>
        <w:tblInd w:w="0" w:type="dxa"/>
        <w:tblLayout w:type="autofit"/>
        <w:tblCellMar>
          <w:top w:w="0" w:type="dxa"/>
          <w:left w:w="0" w:type="dxa"/>
          <w:bottom w:w="0" w:type="dxa"/>
          <w:right w:w="0" w:type="dxa"/>
        </w:tblCellMar>
      </w:tblPr>
      <w:tblGrid>
        <w:gridCol w:w="1630"/>
        <w:gridCol w:w="890"/>
        <w:gridCol w:w="3140"/>
        <w:gridCol w:w="3286"/>
      </w:tblGrid>
      <w:tr w14:paraId="2331502D">
        <w:tblPrEx>
          <w:tblCellMar>
            <w:top w:w="0" w:type="dxa"/>
            <w:left w:w="0" w:type="dxa"/>
            <w:bottom w:w="0" w:type="dxa"/>
            <w:right w:w="0" w:type="dxa"/>
          </w:tblCellMar>
        </w:tblPrEx>
        <w:trPr>
          <w:trHeight w:val="559" w:hRule="atLeast"/>
        </w:trPr>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C4F573">
            <w:pPr>
              <w:jc w:val="center"/>
              <w:rPr>
                <w:rFonts w:ascii="仿宋_GB2312" w:hAnsi="宋体" w:eastAsia="仿宋_GB2312" w:cs="宋体"/>
                <w:sz w:val="32"/>
                <w:szCs w:val="32"/>
              </w:rPr>
            </w:pPr>
            <w:r>
              <w:rPr>
                <w:rFonts w:hint="eastAsia" w:ascii="仿宋_GB2312" w:eastAsia="仿宋_GB2312"/>
                <w:sz w:val="32"/>
                <w:szCs w:val="32"/>
              </w:rPr>
              <w:t>一级指标</w:t>
            </w:r>
          </w:p>
        </w:tc>
        <w:tc>
          <w:tcPr>
            <w:tcW w:w="89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7263A3B">
            <w:pPr>
              <w:jc w:val="center"/>
              <w:rPr>
                <w:rFonts w:ascii="仿宋_GB2312" w:hAnsi="宋体" w:eastAsia="仿宋_GB2312" w:cs="宋体"/>
                <w:sz w:val="32"/>
                <w:szCs w:val="32"/>
              </w:rPr>
            </w:pPr>
            <w:r>
              <w:rPr>
                <w:rFonts w:hint="eastAsia" w:ascii="仿宋_GB2312" w:eastAsia="仿宋_GB2312"/>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9D1F5">
            <w:pPr>
              <w:jc w:val="center"/>
              <w:rPr>
                <w:rFonts w:ascii="仿宋_GB2312" w:hAnsi="宋体" w:eastAsia="仿宋_GB2312" w:cs="宋体"/>
                <w:sz w:val="32"/>
                <w:szCs w:val="32"/>
              </w:rPr>
            </w:pPr>
            <w:r>
              <w:rPr>
                <w:rFonts w:hint="eastAsia" w:ascii="仿宋_GB2312" w:eastAsia="仿宋_GB2312"/>
                <w:sz w:val="32"/>
                <w:szCs w:val="32"/>
              </w:rPr>
              <w:t>三级指标</w:t>
            </w:r>
          </w:p>
        </w:tc>
        <w:tc>
          <w:tcPr>
            <w:tcW w:w="328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D21C8">
            <w:pPr>
              <w:jc w:val="center"/>
              <w:rPr>
                <w:rFonts w:ascii="仿宋_GB2312" w:hAnsi="宋体" w:eastAsia="仿宋_GB2312" w:cs="宋体"/>
                <w:sz w:val="32"/>
                <w:szCs w:val="32"/>
              </w:rPr>
            </w:pPr>
            <w:r>
              <w:rPr>
                <w:rFonts w:hint="eastAsia" w:ascii="仿宋_GB2312" w:eastAsia="仿宋_GB2312"/>
                <w:sz w:val="32"/>
                <w:szCs w:val="32"/>
              </w:rPr>
              <w:t>指标值（包含数字及文字描述）</w:t>
            </w:r>
          </w:p>
        </w:tc>
      </w:tr>
      <w:tr w14:paraId="16C69F7F">
        <w:tblPrEx>
          <w:tblCellMar>
            <w:top w:w="0" w:type="dxa"/>
            <w:left w:w="0" w:type="dxa"/>
            <w:bottom w:w="0" w:type="dxa"/>
            <w:right w:w="0" w:type="dxa"/>
          </w:tblCellMar>
        </w:tblPrEx>
        <w:trPr>
          <w:trHeight w:val="642"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31008C23">
            <w:pPr>
              <w:jc w:val="center"/>
              <w:rPr>
                <w:rFonts w:ascii="仿宋_GB2312" w:hAnsi="宋体" w:eastAsia="仿宋_GB2312" w:cs="宋体"/>
                <w:sz w:val="32"/>
                <w:szCs w:val="32"/>
              </w:rPr>
            </w:pPr>
            <w:r>
              <w:rPr>
                <w:rFonts w:hint="eastAsia" w:ascii="仿宋_GB2312" w:eastAsia="仿宋_GB2312"/>
                <w:sz w:val="32"/>
                <w:szCs w:val="32"/>
              </w:rPr>
              <w:t>产出指标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794D2E3F">
            <w:pPr>
              <w:jc w:val="center"/>
              <w:rPr>
                <w:rFonts w:ascii="仿宋_GB2312" w:hAnsi="宋体" w:eastAsia="仿宋_GB2312" w:cs="宋体"/>
                <w:sz w:val="32"/>
                <w:szCs w:val="32"/>
              </w:rPr>
            </w:pPr>
            <w:r>
              <w:rPr>
                <w:rFonts w:hint="eastAsia" w:ascii="仿宋_GB2312" w:eastAsia="仿宋_GB2312"/>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1DADEC">
            <w:pPr>
              <w:rPr>
                <w:rFonts w:ascii="仿宋_GB2312" w:hAnsi="宋体" w:eastAsia="仿宋_GB2312" w:cs="宋体"/>
                <w:sz w:val="32"/>
                <w:szCs w:val="32"/>
              </w:rPr>
            </w:pPr>
            <w:r>
              <w:rPr>
                <w:rFonts w:hint="eastAsia" w:ascii="仿宋_GB2312" w:eastAsia="仿宋_GB2312"/>
                <w:sz w:val="32"/>
                <w:szCs w:val="32"/>
              </w:rPr>
              <w:t>劝返次数，监控月数</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E9685B">
            <w:pPr>
              <w:rPr>
                <w:rFonts w:ascii="仿宋_GB2312" w:hAnsi="宋体" w:eastAsia="仿宋_GB2312" w:cs="宋体"/>
                <w:sz w:val="32"/>
                <w:szCs w:val="32"/>
              </w:rPr>
            </w:pPr>
            <w:r>
              <w:rPr>
                <w:rFonts w:hint="eastAsia" w:ascii="仿宋_GB2312" w:eastAsia="仿宋_GB2312"/>
                <w:sz w:val="32"/>
                <w:szCs w:val="32"/>
              </w:rPr>
              <w:t>3次进京劝返，专人监控3个月</w:t>
            </w:r>
          </w:p>
        </w:tc>
      </w:tr>
      <w:tr w14:paraId="75082A94">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6325F779">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2D7DDD">
            <w:pPr>
              <w:jc w:val="center"/>
              <w:rPr>
                <w:rFonts w:ascii="仿宋_GB2312" w:hAnsi="宋体" w:eastAsia="仿宋_GB2312" w:cs="宋体"/>
                <w:sz w:val="32"/>
                <w:szCs w:val="32"/>
              </w:rPr>
            </w:pPr>
            <w:r>
              <w:rPr>
                <w:rFonts w:hint="eastAsia" w:ascii="仿宋_GB2312" w:eastAsia="仿宋_GB2312"/>
                <w:sz w:val="32"/>
                <w:szCs w:val="32"/>
              </w:rPr>
              <w:t>质量指标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CCF7EFD">
            <w:pPr>
              <w:rPr>
                <w:rFonts w:ascii="仿宋_GB2312" w:hAnsi="宋体" w:eastAsia="仿宋_GB2312" w:cs="宋体"/>
                <w:sz w:val="32"/>
                <w:szCs w:val="32"/>
              </w:rPr>
            </w:pPr>
            <w:r>
              <w:rPr>
                <w:rFonts w:hint="eastAsia" w:ascii="仿宋_GB2312" w:eastAsia="仿宋_GB2312"/>
                <w:sz w:val="32"/>
                <w:szCs w:val="32"/>
              </w:rPr>
              <w:t>是否劝返</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26F8770">
            <w:pPr>
              <w:rPr>
                <w:rFonts w:ascii="仿宋_GB2312" w:hAnsi="宋体" w:eastAsia="仿宋_GB2312" w:cs="宋体"/>
                <w:sz w:val="32"/>
                <w:szCs w:val="32"/>
              </w:rPr>
            </w:pPr>
            <w:r>
              <w:rPr>
                <w:rFonts w:hint="eastAsia" w:ascii="仿宋_GB2312" w:eastAsia="仿宋_GB2312"/>
                <w:sz w:val="32"/>
                <w:szCs w:val="32"/>
              </w:rPr>
              <w:t>顺利劝返回住地</w:t>
            </w:r>
          </w:p>
        </w:tc>
      </w:tr>
      <w:tr w14:paraId="6B8D15F0">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490AE7A2">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FEF1F0">
            <w:pPr>
              <w:jc w:val="center"/>
              <w:rPr>
                <w:rFonts w:ascii="仿宋_GB2312" w:hAnsi="宋体" w:eastAsia="仿宋_GB2312" w:cs="宋体"/>
                <w:sz w:val="32"/>
                <w:szCs w:val="32"/>
              </w:rPr>
            </w:pPr>
            <w:r>
              <w:rPr>
                <w:rFonts w:hint="eastAsia" w:ascii="仿宋_GB2312" w:eastAsia="仿宋_GB2312"/>
                <w:sz w:val="32"/>
                <w:szCs w:val="32"/>
              </w:rPr>
              <w:t>时效指标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3493BF">
            <w:pPr>
              <w:rPr>
                <w:rFonts w:ascii="仿宋_GB2312" w:hAnsi="宋体" w:eastAsia="仿宋_GB2312" w:cs="宋体"/>
                <w:sz w:val="32"/>
                <w:szCs w:val="32"/>
              </w:rPr>
            </w:pPr>
            <w:r>
              <w:rPr>
                <w:rFonts w:hint="eastAsia" w:ascii="仿宋_GB2312" w:eastAsia="仿宋_GB2312"/>
                <w:sz w:val="32"/>
                <w:szCs w:val="32"/>
              </w:rPr>
              <w:t>完成时间</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6F2C0DF">
            <w:pPr>
              <w:rPr>
                <w:rFonts w:ascii="仿宋_GB2312" w:hAnsi="宋体" w:eastAsia="仿宋_GB2312" w:cs="宋体"/>
                <w:sz w:val="32"/>
                <w:szCs w:val="32"/>
              </w:rPr>
            </w:pPr>
            <w:r>
              <w:rPr>
                <w:rFonts w:hint="eastAsia" w:ascii="仿宋_GB2312" w:eastAsia="仿宋_GB2312"/>
                <w:sz w:val="32"/>
                <w:szCs w:val="32"/>
              </w:rPr>
              <w:t>符合预定时间</w:t>
            </w:r>
          </w:p>
        </w:tc>
      </w:tr>
      <w:tr w14:paraId="12E6BB2D">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1BC576E0">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6FBD656">
            <w:pPr>
              <w:jc w:val="center"/>
              <w:rPr>
                <w:rFonts w:ascii="仿宋_GB2312" w:hAnsi="宋体" w:eastAsia="仿宋_GB2312" w:cs="宋体"/>
                <w:sz w:val="32"/>
                <w:szCs w:val="32"/>
              </w:rPr>
            </w:pPr>
            <w:r>
              <w:rPr>
                <w:rFonts w:hint="eastAsia" w:ascii="仿宋_GB2312" w:eastAsia="仿宋_GB2312"/>
                <w:sz w:val="32"/>
                <w:szCs w:val="32"/>
              </w:rPr>
              <w:t>成本指标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BDB55E6">
            <w:pPr>
              <w:rPr>
                <w:rFonts w:ascii="仿宋_GB2312" w:hAnsi="宋体" w:eastAsia="仿宋_GB2312" w:cs="宋体"/>
                <w:sz w:val="32"/>
                <w:szCs w:val="32"/>
              </w:rPr>
            </w:pPr>
            <w:r>
              <w:rPr>
                <w:rFonts w:hint="eastAsia" w:ascii="仿宋_GB2312" w:eastAsia="仿宋_GB2312"/>
                <w:sz w:val="32"/>
                <w:szCs w:val="32"/>
              </w:rPr>
              <w:t>开支经费</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2669A1">
            <w:pPr>
              <w:rPr>
                <w:rFonts w:ascii="仿宋_GB2312" w:hAnsi="宋体" w:eastAsia="仿宋_GB2312" w:cs="宋体"/>
                <w:sz w:val="32"/>
                <w:szCs w:val="32"/>
              </w:rPr>
            </w:pPr>
            <w:r>
              <w:rPr>
                <w:rFonts w:hint="eastAsia" w:ascii="仿宋_GB2312" w:eastAsia="仿宋_GB2312"/>
                <w:sz w:val="32"/>
                <w:szCs w:val="32"/>
              </w:rPr>
              <w:t>劝返费用16万元，监控费5.3万元</w:t>
            </w:r>
          </w:p>
        </w:tc>
      </w:tr>
      <w:tr w14:paraId="086BD892">
        <w:tblPrEx>
          <w:tblCellMar>
            <w:top w:w="0" w:type="dxa"/>
            <w:left w:w="0" w:type="dxa"/>
            <w:bottom w:w="0" w:type="dxa"/>
            <w:right w:w="0" w:type="dxa"/>
          </w:tblCellMar>
        </w:tblPrEx>
        <w:trPr>
          <w:trHeight w:val="720" w:hRule="atLeast"/>
        </w:trPr>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35A22D53">
            <w:pPr>
              <w:jc w:val="center"/>
              <w:rPr>
                <w:rFonts w:ascii="仿宋_GB2312" w:hAnsi="宋体" w:eastAsia="仿宋_GB2312" w:cs="宋体"/>
                <w:sz w:val="32"/>
                <w:szCs w:val="32"/>
              </w:rPr>
            </w:pPr>
            <w:r>
              <w:rPr>
                <w:rFonts w:hint="eastAsia" w:ascii="仿宋_GB2312" w:eastAsia="仿宋_GB2312"/>
                <w:sz w:val="32"/>
                <w:szCs w:val="32"/>
              </w:rPr>
              <w:t>效益指标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79BE4725">
            <w:pPr>
              <w:jc w:val="center"/>
              <w:rPr>
                <w:rFonts w:ascii="仿宋_GB2312" w:hAnsi="宋体" w:eastAsia="仿宋_GB2312" w:cs="宋体"/>
                <w:sz w:val="32"/>
                <w:szCs w:val="32"/>
              </w:rPr>
            </w:pPr>
            <w:r>
              <w:rPr>
                <w:rFonts w:hint="eastAsia" w:ascii="仿宋_GB2312" w:eastAsia="仿宋_GB2312"/>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7A39362">
            <w:pPr>
              <w:rPr>
                <w:rFonts w:ascii="仿宋_GB2312" w:hAnsi="宋体" w:eastAsia="仿宋_GB2312" w:cs="宋体"/>
                <w:sz w:val="32"/>
                <w:szCs w:val="32"/>
              </w:rPr>
            </w:pPr>
            <w:r>
              <w:rPr>
                <w:rFonts w:hint="eastAsia" w:ascii="仿宋_GB2312" w:eastAsia="仿宋_GB2312"/>
                <w:sz w:val="32"/>
                <w:szCs w:val="32"/>
              </w:rPr>
              <w:t>维护社会稳定</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67DA00A">
            <w:pPr>
              <w:rPr>
                <w:rFonts w:ascii="仿宋_GB2312" w:hAnsi="宋体" w:eastAsia="仿宋_GB2312" w:cs="宋体"/>
                <w:sz w:val="32"/>
                <w:szCs w:val="32"/>
              </w:rPr>
            </w:pPr>
            <w:r>
              <w:rPr>
                <w:rFonts w:hint="eastAsia" w:ascii="仿宋_GB2312" w:eastAsia="仿宋_GB2312"/>
                <w:sz w:val="32"/>
                <w:szCs w:val="32"/>
              </w:rPr>
              <w:t>未对社会造成重大影响，维护了社会稳定。</w:t>
            </w:r>
          </w:p>
        </w:tc>
      </w:tr>
      <w:tr w14:paraId="79D76EEA">
        <w:tblPrEx>
          <w:tblCellMar>
            <w:top w:w="0" w:type="dxa"/>
            <w:left w:w="0" w:type="dxa"/>
            <w:bottom w:w="0" w:type="dxa"/>
            <w:right w:w="0"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vAlign w:val="center"/>
          </w:tcPr>
          <w:p w14:paraId="21A5DC18">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FC67C9">
            <w:pPr>
              <w:jc w:val="center"/>
              <w:rPr>
                <w:rFonts w:ascii="仿宋_GB2312" w:hAnsi="宋体" w:eastAsia="仿宋_GB2312" w:cs="宋体"/>
                <w:sz w:val="32"/>
                <w:szCs w:val="32"/>
              </w:rPr>
            </w:pPr>
            <w:r>
              <w:rPr>
                <w:rFonts w:hint="eastAsia" w:ascii="仿宋_GB2312" w:eastAsia="仿宋_GB2312"/>
                <w:sz w:val="32"/>
                <w:szCs w:val="32"/>
              </w:rPr>
              <w:t>可持续影响指标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4ED17B">
            <w:pPr>
              <w:rPr>
                <w:rFonts w:ascii="仿宋_GB2312" w:hAnsi="宋体" w:eastAsia="仿宋_GB2312" w:cs="宋体"/>
                <w:sz w:val="32"/>
                <w:szCs w:val="32"/>
              </w:rPr>
            </w:pPr>
            <w:r>
              <w:rPr>
                <w:rFonts w:hint="eastAsia" w:ascii="仿宋_GB2312" w:eastAsia="仿宋_GB2312"/>
                <w:sz w:val="32"/>
                <w:szCs w:val="32"/>
              </w:rPr>
              <w:t>项目可持续发挥作用期限</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8FFE440">
            <w:pPr>
              <w:rPr>
                <w:rFonts w:ascii="仿宋_GB2312" w:hAnsi="宋体" w:eastAsia="仿宋_GB2312" w:cs="宋体"/>
                <w:sz w:val="32"/>
                <w:szCs w:val="32"/>
              </w:rPr>
            </w:pPr>
            <w:r>
              <w:rPr>
                <w:rFonts w:hint="eastAsia" w:ascii="仿宋_GB2312" w:eastAsia="仿宋_GB2312"/>
                <w:sz w:val="32"/>
                <w:szCs w:val="32"/>
              </w:rPr>
              <w:t>长期</w:t>
            </w:r>
          </w:p>
        </w:tc>
      </w:tr>
      <w:tr w14:paraId="192DCC59">
        <w:tblPrEx>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F16590">
            <w:pPr>
              <w:jc w:val="center"/>
              <w:rPr>
                <w:rFonts w:ascii="仿宋_GB2312" w:hAnsi="宋体" w:eastAsia="仿宋_GB2312" w:cs="宋体"/>
                <w:sz w:val="32"/>
                <w:szCs w:val="32"/>
              </w:rPr>
            </w:pPr>
            <w:r>
              <w:rPr>
                <w:rFonts w:hint="eastAsia" w:ascii="仿宋_GB2312" w:eastAsia="仿宋_GB2312"/>
                <w:sz w:val="32"/>
                <w:szCs w:val="32"/>
              </w:rPr>
              <w:t>满意度指标</w:t>
            </w:r>
          </w:p>
        </w:tc>
        <w:tc>
          <w:tcPr>
            <w:tcW w:w="8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BBF30BE">
            <w:pPr>
              <w:jc w:val="center"/>
              <w:rPr>
                <w:rFonts w:ascii="仿宋_GB2312" w:hAnsi="宋体" w:eastAsia="仿宋_GB2312" w:cs="宋体"/>
                <w:sz w:val="32"/>
                <w:szCs w:val="32"/>
              </w:rPr>
            </w:pPr>
            <w:r>
              <w:rPr>
                <w:rFonts w:hint="eastAsia" w:ascii="仿宋_GB2312" w:eastAsia="仿宋_GB2312"/>
                <w:sz w:val="32"/>
                <w:szCs w:val="32"/>
              </w:rPr>
              <w:t>服务对象满意度指标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49329C0">
            <w:pPr>
              <w:rPr>
                <w:rFonts w:ascii="仿宋_GB2312" w:hAnsi="宋体" w:eastAsia="仿宋_GB2312" w:cs="宋体"/>
                <w:sz w:val="32"/>
                <w:szCs w:val="32"/>
              </w:rPr>
            </w:pPr>
            <w:r>
              <w:rPr>
                <w:rFonts w:hint="eastAsia" w:ascii="仿宋_GB2312" w:eastAsia="仿宋_GB2312"/>
                <w:sz w:val="32"/>
                <w:szCs w:val="32"/>
              </w:rPr>
              <w:t>受益群众满意度</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89A63B5">
            <w:pPr>
              <w:rPr>
                <w:rFonts w:ascii="仿宋_GB2312" w:hAnsi="宋体" w:eastAsia="仿宋_GB2312" w:cs="宋体"/>
                <w:sz w:val="32"/>
                <w:szCs w:val="32"/>
              </w:rPr>
            </w:pPr>
            <w:r>
              <w:rPr>
                <w:rFonts w:hint="eastAsia" w:ascii="仿宋_GB2312" w:hAnsi="宋体" w:cs="宋体"/>
                <w:sz w:val="32"/>
                <w:szCs w:val="32"/>
              </w:rPr>
              <w:t>≧</w:t>
            </w:r>
            <w:r>
              <w:rPr>
                <w:rFonts w:hint="eastAsia" w:ascii="仿宋_GB2312" w:eastAsia="仿宋_GB2312"/>
                <w:sz w:val="32"/>
                <w:szCs w:val="32"/>
              </w:rPr>
              <w:t>100%</w:t>
            </w:r>
          </w:p>
        </w:tc>
      </w:tr>
    </w:tbl>
    <w:p w14:paraId="3D29DE1C">
      <w:pPr>
        <w:adjustRightInd w:val="0"/>
        <w:snapToGrid w:val="0"/>
        <w:spacing w:line="560" w:lineRule="exact"/>
        <w:ind w:left="105" w:leftChars="50"/>
        <w:rPr>
          <w:rFonts w:ascii="仿宋_GB2312" w:hAnsi="宋体" w:eastAsia="仿宋_GB2312"/>
          <w:sz w:val="32"/>
          <w:szCs w:val="32"/>
          <w:lang w:val="zh-CN"/>
        </w:rPr>
      </w:pPr>
      <w:r>
        <w:rPr>
          <w:rFonts w:hint="eastAsia" w:ascii="仿宋_GB2312" w:hAnsi="宋体" w:eastAsia="仿宋_GB2312"/>
          <w:sz w:val="32"/>
          <w:szCs w:val="32"/>
          <w:lang w:val="zh-CN"/>
        </w:rPr>
        <w:t xml:space="preserve">     2．项目绩效目标实现情况</w:t>
      </w:r>
    </w:p>
    <w:p w14:paraId="46B70B39">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该项目实施内容主要发生于2018年11月至2019年9月期间，到2020年初已全面完成，符合预期绩效目标。</w:t>
      </w:r>
    </w:p>
    <w:p w14:paraId="0EE9EA5F">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3．项目绩效目标编制质量评价</w:t>
      </w:r>
    </w:p>
    <w:p w14:paraId="326A1B00">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该项目绩效目标编制较为规范，符合项目资金规定的开支范围，绩效目标重点突出，效益明显。绩效目标申报与绩效目标实现情况相符。</w:t>
      </w:r>
    </w:p>
    <w:p w14:paraId="17D7F4D4">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（三）项目绩效自评步骤及方法</w:t>
      </w:r>
    </w:p>
    <w:p w14:paraId="638E8858">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本项目绩效自评分三个阶段，即评价准备阶段、自评阶段和终评阶段。</w:t>
      </w:r>
    </w:p>
    <w:p w14:paraId="17FDEF17">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准备阶段</w:t>
      </w:r>
      <w:r>
        <w:rPr>
          <w:rFonts w:hint="eastAsia" w:ascii="仿宋_GB2312" w:hAnsi="宋体" w:eastAsia="仿宋_GB2312"/>
          <w:sz w:val="32"/>
          <w:szCs w:val="32"/>
        </w:rPr>
        <w:t xml:space="preserve">  由镇财政所提供项目财务会计资料，并组织相关职能部门收集项目绩效映衬资料，制定评价实施方案，确定评价指标细则等工作。</w:t>
      </w:r>
    </w:p>
    <w:p w14:paraId="0DA5B7DF">
      <w:pPr>
        <w:spacing w:line="560" w:lineRule="exact"/>
        <w:ind w:firstLine="640"/>
        <w:rPr>
          <w:rFonts w:ascii="仿宋_GB2312" w:hAnsi="宋体" w:eastAsia="仿宋_GB2312"/>
          <w:sz w:val="32"/>
          <w:szCs w:val="32"/>
        </w:rPr>
      </w:pPr>
      <w:r>
        <w:rPr>
          <w:rFonts w:hint="eastAsia" w:ascii="仿宋_GB2312" w:hAnsi="宋体" w:eastAsia="仿宋_GB2312"/>
          <w:b/>
          <w:sz w:val="32"/>
          <w:szCs w:val="32"/>
        </w:rPr>
        <w:t>自评阶段</w:t>
      </w:r>
      <w:r>
        <w:rPr>
          <w:rFonts w:hint="eastAsia" w:ascii="仿宋_GB2312" w:hAnsi="宋体" w:eastAsia="仿宋_GB2312"/>
          <w:sz w:val="32"/>
          <w:szCs w:val="32"/>
        </w:rPr>
        <w:t xml:space="preserve">  按照财政资金运用方向，确定归口使用管理部门开展自评，按照绩效目标申报情况，从绩效目标设置和合理性、科学性开展评价，分析绩效目标申报与实现情况差异原因，分析绩效目标效益发挥情况，评价项目绩效目标质量控制情况，并对项目资金分配与使用管理，支付程序与审核审批，结算审查等方面开展自评，各职能部门自评情况交由镇财政所汇总。</w:t>
      </w:r>
    </w:p>
    <w:p w14:paraId="50F32D20">
      <w:pPr>
        <w:adjustRightInd w:val="0"/>
        <w:snapToGrid w:val="0"/>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sz w:val="32"/>
          <w:szCs w:val="32"/>
        </w:rPr>
        <w:t>终评阶段</w:t>
      </w:r>
      <w:r>
        <w:rPr>
          <w:rFonts w:hint="eastAsia" w:ascii="仿宋_GB2312" w:hAnsi="宋体" w:eastAsia="仿宋_GB2312"/>
          <w:sz w:val="32"/>
          <w:szCs w:val="32"/>
        </w:rPr>
        <w:t xml:space="preserve">  首先，组织相关职能部门召开终评会议，讨论各职能部门初评自评情况；其次，通过核查相关项目文件资料，查阅会计档案、会计凭证和会计报表，对各职能部门自评结果进行定量定性分析；最后，经综合评议形成评价结论。并依据综合评价结论编制各项目绩效评价报告。</w:t>
      </w:r>
    </w:p>
    <w:p w14:paraId="7900B2E8">
      <w:pPr>
        <w:adjustRightInd w:val="0"/>
        <w:snapToGrid w:val="0"/>
        <w:spacing w:line="560" w:lineRule="exact"/>
        <w:ind w:left="105" w:leftChars="50" w:firstLine="643" w:firstLineChars="200"/>
        <w:rPr>
          <w:rFonts w:ascii="仿宋_GB2312" w:hAnsi="宋体" w:eastAsia="仿宋_GB2312"/>
          <w:b/>
          <w:sz w:val="32"/>
          <w:szCs w:val="32"/>
        </w:rPr>
      </w:pPr>
      <w:r>
        <w:rPr>
          <w:rFonts w:hint="eastAsia" w:ascii="仿宋_GB2312" w:hAnsi="宋体" w:eastAsia="仿宋_GB2312"/>
          <w:b/>
          <w:sz w:val="32"/>
          <w:szCs w:val="32"/>
        </w:rPr>
        <w:t>二、项目资金申报及使用情况</w:t>
      </w:r>
    </w:p>
    <w:p w14:paraId="7B2173A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（一）项目资金申报及批复情况。</w:t>
      </w:r>
    </w:p>
    <w:p w14:paraId="3D8E2B84">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本项目无年初预算项目支出安排。项目立项批复后，追加预算项目资金21.30万元，预算调整及预算执行符合相关项目资金管理规定。</w:t>
      </w:r>
    </w:p>
    <w:p w14:paraId="46FCC327">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（二）项目资金计划、到位及使用情况</w:t>
      </w:r>
    </w:p>
    <w:p w14:paraId="3D5359D0">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 1．项目资金计划情况</w:t>
      </w:r>
    </w:p>
    <w:p w14:paraId="2CDF67EE">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 该项目资金因先期由本部门垫付，资金计划申报根据本部门已实际发生的开支金额进行申报，申报计划资金21.30万元。</w:t>
      </w:r>
    </w:p>
    <w:p w14:paraId="6322ED85">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2．项目资金到位情况</w:t>
      </w:r>
    </w:p>
    <w:p w14:paraId="41B07311">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该项目本年度内实际到位资金21.30万元。</w:t>
      </w:r>
    </w:p>
    <w:p w14:paraId="65866998">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3．项目资金使用情况</w:t>
      </w:r>
    </w:p>
    <w:p w14:paraId="7882EB0F">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本年度使用到位项目资金21.30万元。</w:t>
      </w:r>
    </w:p>
    <w:p w14:paraId="50FDAC04">
      <w:pPr>
        <w:adjustRightInd w:val="0"/>
        <w:snapToGrid w:val="0"/>
        <w:spacing w:line="56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（三）项目财务管理情况。</w:t>
      </w:r>
    </w:p>
    <w:p w14:paraId="116ADE03">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该项目资金严格执行上级部门项目资金管理规定，同时，依据本部门财务管理制度和项目资金管理办法执行。严格项目资金申请程序和审批权限，严格执行国库集中支付。</w:t>
      </w:r>
    </w:p>
    <w:p w14:paraId="38D7A975">
      <w:pPr>
        <w:adjustRightInd w:val="0"/>
        <w:snapToGrid w:val="0"/>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三、项目实施及管理情况</w:t>
      </w:r>
    </w:p>
    <w:p w14:paraId="657D577F">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（一）项目组织架构及实施流程</w:t>
      </w:r>
    </w:p>
    <w:p w14:paraId="2059950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该项目由镇党委政府统筹管理，由本单位下设职能部门即社会治理和应急管理办公室负责实施。</w:t>
      </w:r>
    </w:p>
    <w:p w14:paraId="7E6092B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（二）项目管理情况</w:t>
      </w:r>
    </w:p>
    <w:p w14:paraId="15B75B1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该项目由社会治理和应急管理办公室负责管理。负责制定项目实施方案、具体措施、应急处置等。</w:t>
      </w:r>
    </w:p>
    <w:p w14:paraId="0CC045DC">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（三）项目监管情况</w:t>
      </w:r>
    </w:p>
    <w:p w14:paraId="21C6C921">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该项目监管重点主要是项目资金开支的规范性和绩效目标实现情况。</w:t>
      </w:r>
    </w:p>
    <w:p w14:paraId="0BE8B969">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四、绩效目标情况</w:t>
      </w:r>
    </w:p>
    <w:p w14:paraId="315F601F">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（一）项目完成情况</w:t>
      </w:r>
    </w:p>
    <w:p w14:paraId="29305187">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项目实施的内容主要发生于2018年11月至2019年9月期间，完成了三次进京上访的疑难上访人员范玉明进行劝返工作，第三次劝返后进行了医学鉴定，落实了专人管控措施，到2020年初已全面完成，符合预期绩效目标。</w:t>
      </w:r>
    </w:p>
    <w:p w14:paraId="0394ABB2">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（二）项目效益情况</w:t>
      </w:r>
    </w:p>
    <w:p w14:paraId="153C26C9">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 xml:space="preserve">该项目效益主要体现在切实维护了社会稳定，有效化解了社会矛盾和纠纷，营造出良好的经济社会发展环境。 </w:t>
      </w:r>
    </w:p>
    <w:p w14:paraId="53F28E29">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经济效益：</w:t>
      </w:r>
      <w:r>
        <w:rPr>
          <w:rFonts w:hint="eastAsia" w:ascii="仿宋_GB2312" w:hAnsi="宋体" w:eastAsia="仿宋_GB2312"/>
          <w:sz w:val="32"/>
          <w:szCs w:val="32"/>
          <w:lang w:val="zh-CN"/>
        </w:rPr>
        <w:t>该项目无直接经费效益产生。</w:t>
      </w:r>
    </w:p>
    <w:p w14:paraId="76257F00">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社会效益：</w:t>
      </w:r>
      <w:r>
        <w:rPr>
          <w:rFonts w:hint="eastAsia" w:ascii="仿宋_GB2312" w:hAnsi="宋体" w:eastAsia="仿宋_GB2312"/>
          <w:sz w:val="32"/>
          <w:szCs w:val="32"/>
          <w:lang w:val="zh-CN"/>
        </w:rPr>
        <w:t xml:space="preserve"> 切实维护了社会稳定，有效化解了矛盾纠纷，保持了社会安定、祥和的局面。</w:t>
      </w:r>
    </w:p>
    <w:p w14:paraId="520584DB">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可持续效益：</w:t>
      </w:r>
      <w:r>
        <w:rPr>
          <w:rFonts w:hint="eastAsia" w:ascii="仿宋_GB2312" w:hAnsi="宋体" w:eastAsia="仿宋_GB2312"/>
          <w:sz w:val="32"/>
          <w:szCs w:val="32"/>
          <w:lang w:val="zh-CN"/>
        </w:rPr>
        <w:t>具有长期发挥效益的作用。</w:t>
      </w:r>
    </w:p>
    <w:p w14:paraId="4412681C">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群众满意度：</w:t>
      </w:r>
      <w:r>
        <w:rPr>
          <w:rFonts w:hint="eastAsia" w:ascii="仿宋_GB2312" w:hAnsi="宋体" w:eastAsia="仿宋_GB2312"/>
          <w:sz w:val="32"/>
          <w:szCs w:val="32"/>
          <w:lang w:val="zh-CN"/>
        </w:rPr>
        <w:t>群众满意度经综合评价可达95%以上。</w:t>
      </w:r>
    </w:p>
    <w:p w14:paraId="3DA3B310">
      <w:pPr>
        <w:adjustRightInd w:val="0"/>
        <w:snapToGrid w:val="0"/>
        <w:spacing w:line="560" w:lineRule="exact"/>
        <w:ind w:firstLine="720"/>
        <w:rPr>
          <w:rFonts w:ascii="仿宋_GB2312" w:hAnsi="宋体" w:eastAsia="仿宋_GB2312"/>
          <w:b/>
          <w:sz w:val="32"/>
          <w:szCs w:val="32"/>
        </w:rPr>
      </w:pPr>
      <w:r>
        <w:rPr>
          <w:rFonts w:hint="eastAsia" w:ascii="仿宋_GB2312" w:hAnsi="宋体" w:eastAsia="仿宋_GB2312"/>
          <w:b/>
          <w:sz w:val="32"/>
          <w:szCs w:val="32"/>
        </w:rPr>
        <w:t>五、评价结论</w:t>
      </w:r>
    </w:p>
    <w:p w14:paraId="39A725F0">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sz w:val="32"/>
          <w:szCs w:val="32"/>
        </w:rPr>
        <w:t>该</w:t>
      </w:r>
      <w:r>
        <w:rPr>
          <w:rFonts w:hint="eastAsia" w:ascii="仿宋_GB2312" w:hAnsi="宋体" w:eastAsia="仿宋_GB2312"/>
          <w:sz w:val="32"/>
          <w:szCs w:val="32"/>
          <w:lang w:val="zh-CN"/>
        </w:rPr>
        <w:t>项目总体评价结论是：项目申报重点明确，绩效目标编制科学；项目管理规范，组织严密，流程清晰，监督有力；项目资金使用管理符合相关财经法规、制度规定，符合本单位财务管理制度规定；绩效目标完成较好，达到预期效果。</w:t>
      </w:r>
    </w:p>
    <w:p w14:paraId="399D83E0">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六、问题及建议</w:t>
      </w:r>
    </w:p>
    <w:p w14:paraId="2425E3C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（一）存在的问题</w:t>
      </w:r>
    </w:p>
    <w:p w14:paraId="32FD418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14:paraId="3CB2093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（二）相关建议</w:t>
      </w:r>
    </w:p>
    <w:p w14:paraId="4C14DA7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14:paraId="3FBA3F7A">
      <w:pPr>
        <w:adjustRightInd w:val="0"/>
        <w:snapToGrid w:val="0"/>
        <w:spacing w:line="600" w:lineRule="exact"/>
        <w:ind w:firstLine="5120" w:firstLineChars="1600"/>
        <w:rPr>
          <w:rFonts w:ascii="仿宋_GB2312" w:hAnsi="宋体" w:eastAsia="仿宋_GB2312"/>
          <w:sz w:val="32"/>
          <w:szCs w:val="32"/>
          <w:lang w:val="zh-CN"/>
        </w:rPr>
      </w:pPr>
    </w:p>
    <w:p w14:paraId="773E4D0D">
      <w:pPr>
        <w:adjustRightInd w:val="0"/>
        <w:snapToGrid w:val="0"/>
        <w:spacing w:line="600" w:lineRule="exact"/>
        <w:ind w:firstLine="5120" w:firstLineChars="1600"/>
        <w:rPr>
          <w:rFonts w:ascii="仿宋_GB2312" w:hAnsi="宋体" w:eastAsia="仿宋_GB2312"/>
          <w:sz w:val="32"/>
          <w:szCs w:val="32"/>
          <w:lang w:val="zh-CN"/>
        </w:rPr>
      </w:pPr>
    </w:p>
    <w:p w14:paraId="1A95A942">
      <w:pPr>
        <w:adjustRightInd w:val="0"/>
        <w:snapToGrid w:val="0"/>
        <w:spacing w:line="600" w:lineRule="exact"/>
        <w:ind w:firstLine="5120" w:firstLineChars="1600"/>
        <w:rPr>
          <w:rFonts w:ascii="仿宋_GB2312" w:hAnsi="宋体" w:eastAsia="仿宋_GB2312"/>
          <w:sz w:val="32"/>
          <w:szCs w:val="32"/>
          <w:lang w:val="zh-CN"/>
        </w:rPr>
      </w:pPr>
    </w:p>
    <w:p w14:paraId="2C594222">
      <w:pPr>
        <w:adjustRightInd w:val="0"/>
        <w:snapToGrid w:val="0"/>
        <w:spacing w:line="600" w:lineRule="exact"/>
        <w:ind w:firstLine="5120" w:firstLineChars="1600"/>
        <w:rPr>
          <w:rFonts w:ascii="仿宋_GB2312" w:hAnsi="宋体" w:eastAsia="仿宋_GB2312"/>
          <w:sz w:val="32"/>
          <w:szCs w:val="32"/>
          <w:lang w:val="zh-CN"/>
        </w:rPr>
      </w:pPr>
    </w:p>
    <w:p w14:paraId="01C7E04D">
      <w:pPr>
        <w:adjustRightInd w:val="0"/>
        <w:snapToGrid w:val="0"/>
        <w:spacing w:line="600" w:lineRule="exact"/>
        <w:ind w:firstLine="5120" w:firstLineChars="1600"/>
        <w:rPr>
          <w:rFonts w:ascii="仿宋_GB2312" w:hAnsi="宋体" w:eastAsia="仿宋_GB2312"/>
          <w:sz w:val="32"/>
          <w:szCs w:val="32"/>
          <w:lang w:val="zh-CN"/>
        </w:rPr>
      </w:pPr>
    </w:p>
    <w:p w14:paraId="071EB0CE">
      <w:pPr>
        <w:adjustRightInd w:val="0"/>
        <w:snapToGrid w:val="0"/>
        <w:spacing w:line="600" w:lineRule="exact"/>
        <w:ind w:firstLine="5120" w:firstLineChars="1600"/>
        <w:rPr>
          <w:rFonts w:ascii="仿宋_GB2312" w:hAnsi="宋体" w:eastAsia="仿宋_GB2312"/>
          <w:sz w:val="32"/>
          <w:szCs w:val="32"/>
          <w:lang w:val="zh-CN"/>
        </w:rPr>
      </w:pPr>
    </w:p>
    <w:p w14:paraId="5C7051A4">
      <w:pPr>
        <w:adjustRightInd w:val="0"/>
        <w:snapToGrid w:val="0"/>
        <w:spacing w:line="600" w:lineRule="exact"/>
        <w:ind w:firstLine="5120" w:firstLineChars="1600"/>
        <w:rPr>
          <w:rFonts w:ascii="仿宋_GB2312" w:hAnsi="宋体" w:eastAsia="仿宋_GB2312"/>
          <w:sz w:val="32"/>
          <w:szCs w:val="32"/>
          <w:lang w:val="zh-CN"/>
        </w:rPr>
      </w:pPr>
    </w:p>
    <w:p w14:paraId="02810CCF">
      <w:pPr>
        <w:adjustRightInd w:val="0"/>
        <w:snapToGrid w:val="0"/>
        <w:spacing w:line="600" w:lineRule="exact"/>
        <w:ind w:firstLine="5120" w:firstLineChars="1600"/>
        <w:rPr>
          <w:rFonts w:ascii="仿宋_GB2312" w:hAnsi="宋体" w:eastAsia="仿宋_GB2312"/>
          <w:sz w:val="32"/>
          <w:szCs w:val="32"/>
          <w:lang w:val="zh-CN"/>
        </w:rPr>
      </w:pPr>
    </w:p>
    <w:p w14:paraId="7823FA22">
      <w:pPr>
        <w:adjustRightInd w:val="0"/>
        <w:snapToGrid w:val="0"/>
        <w:spacing w:line="600" w:lineRule="exact"/>
        <w:ind w:firstLine="5120" w:firstLineChars="1600"/>
        <w:rPr>
          <w:rFonts w:ascii="仿宋_GB2312" w:hAnsi="宋体" w:eastAsia="仿宋_GB2312"/>
          <w:sz w:val="32"/>
          <w:szCs w:val="32"/>
          <w:lang w:val="zh-CN"/>
        </w:rPr>
      </w:pPr>
    </w:p>
    <w:p w14:paraId="3A641A02">
      <w:pPr>
        <w:adjustRightInd w:val="0"/>
        <w:snapToGrid w:val="0"/>
        <w:spacing w:line="600" w:lineRule="exact"/>
        <w:ind w:firstLine="5120" w:firstLineChars="1600"/>
        <w:rPr>
          <w:rFonts w:ascii="仿宋_GB2312" w:hAnsi="宋体" w:eastAsia="仿宋_GB2312"/>
          <w:sz w:val="32"/>
          <w:szCs w:val="32"/>
          <w:lang w:val="zh-CN"/>
        </w:rPr>
      </w:pPr>
    </w:p>
    <w:p w14:paraId="3ED0A977">
      <w:pPr>
        <w:adjustRightInd w:val="0"/>
        <w:snapToGrid w:val="0"/>
        <w:spacing w:line="600" w:lineRule="exact"/>
        <w:ind w:firstLine="5120" w:firstLineChars="1600"/>
        <w:rPr>
          <w:rFonts w:ascii="仿宋_GB2312" w:hAnsi="宋体" w:eastAsia="仿宋_GB2312"/>
          <w:sz w:val="32"/>
          <w:szCs w:val="32"/>
          <w:lang w:val="zh-CN"/>
        </w:rPr>
      </w:pPr>
    </w:p>
    <w:p w14:paraId="39453B9A">
      <w:pPr>
        <w:adjustRightInd w:val="0"/>
        <w:snapToGrid w:val="0"/>
        <w:spacing w:line="600" w:lineRule="exact"/>
        <w:ind w:firstLine="5120" w:firstLineChars="1600"/>
        <w:rPr>
          <w:rFonts w:ascii="仿宋_GB2312" w:hAnsi="宋体" w:eastAsia="仿宋_GB2312"/>
          <w:sz w:val="32"/>
          <w:szCs w:val="32"/>
          <w:lang w:val="zh-CN"/>
        </w:rPr>
      </w:pPr>
    </w:p>
    <w:p w14:paraId="08F9560D">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-4</w:t>
      </w:r>
    </w:p>
    <w:p w14:paraId="7700045F">
      <w:pPr>
        <w:spacing w:line="580" w:lineRule="exact"/>
        <w:ind w:firstLine="640" w:firstLineChars="200"/>
        <w:rPr>
          <w:rFonts w:ascii="仿宋_GB2312" w:hAnsi="仿宋_GB2312" w:eastAsia="仿宋_GB2312" w:cs="仿宋_GB2312"/>
          <w:sz w:val="32"/>
          <w:szCs w:val="32"/>
        </w:rPr>
      </w:pPr>
    </w:p>
    <w:p w14:paraId="0E77FAA3">
      <w:pPr>
        <w:spacing w:line="640" w:lineRule="exact"/>
        <w:jc w:val="center"/>
        <w:rPr>
          <w:rFonts w:ascii="仿宋_GB2312" w:hAnsi="宋体"/>
          <w:b/>
          <w:sz w:val="44"/>
          <w:szCs w:val="44"/>
        </w:rPr>
      </w:pPr>
      <w:r>
        <w:rPr>
          <w:rFonts w:hint="eastAsia" w:ascii="仿宋_GB2312" w:hAnsi="宋体"/>
          <w:b/>
          <w:sz w:val="44"/>
          <w:szCs w:val="44"/>
        </w:rPr>
        <w:t>德阳市罗江区略坪镇人民政府</w:t>
      </w:r>
    </w:p>
    <w:p w14:paraId="24080187">
      <w:pPr>
        <w:spacing w:line="640" w:lineRule="exact"/>
        <w:jc w:val="center"/>
        <w:rPr>
          <w:rFonts w:ascii="仿宋_GB2312" w:hAnsi="宋体"/>
          <w:b/>
          <w:sz w:val="44"/>
          <w:szCs w:val="44"/>
        </w:rPr>
      </w:pPr>
      <w:r>
        <w:rPr>
          <w:rFonts w:hint="eastAsia" w:ascii="仿宋_GB2312" w:hAnsi="宋体"/>
          <w:b/>
          <w:sz w:val="44"/>
          <w:szCs w:val="44"/>
        </w:rPr>
        <w:t>2020年</w:t>
      </w:r>
      <w:r>
        <w:rPr>
          <w:rFonts w:hint="eastAsia" w:ascii="仿宋_GB2312" w:hAnsi="宋体"/>
          <w:b/>
          <w:sz w:val="44"/>
          <w:szCs w:val="44"/>
          <w:lang w:val="zh-CN"/>
        </w:rPr>
        <w:t>“创建乡村振兴先进县（区）工作经费”</w:t>
      </w:r>
      <w:r>
        <w:rPr>
          <w:rFonts w:hint="eastAsia" w:ascii="仿宋_GB2312" w:hAnsi="宋体"/>
          <w:b/>
          <w:sz w:val="44"/>
          <w:szCs w:val="44"/>
        </w:rPr>
        <w:t>预算项目支出绩效自评报告</w:t>
      </w:r>
    </w:p>
    <w:p w14:paraId="5D445EBB">
      <w:pPr>
        <w:pStyle w:val="30"/>
        <w:spacing w:line="240" w:lineRule="auto"/>
        <w:jc w:val="center"/>
        <w:rPr>
          <w:rFonts w:ascii="宋体" w:hAnsi="宋体" w:cs="Times New Roman"/>
          <w:color w:val="auto"/>
          <w:kern w:val="2"/>
          <w:sz w:val="32"/>
          <w:szCs w:val="32"/>
        </w:rPr>
      </w:pPr>
    </w:p>
    <w:p w14:paraId="2F3A81F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项目概况</w:t>
      </w:r>
    </w:p>
    <w:p w14:paraId="68098A9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（一）项目基本情况</w:t>
      </w:r>
    </w:p>
    <w:p w14:paraId="7EDB31C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乡村振兴，是继脱贫攻坚任务圆满完成后，全面实施乡村振兴战略任务。创建乡村振兴先进县（区）工作经费，是弥补深入开展该项工作中，项目设施建设经费、乡村环境综合治理提档升级经费开支不足等问题。</w:t>
      </w:r>
    </w:p>
    <w:p w14:paraId="53D9ED9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1．项目主管部门及其职能</w:t>
      </w:r>
    </w:p>
    <w:p w14:paraId="6509C4D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该项目实施的主管部门为德阳市罗江区略坪镇人民政府。</w:t>
      </w:r>
    </w:p>
    <w:p w14:paraId="7463989C">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主要职能是：评价项目实施的必要性和有效性，负责项目资金的申请；负责项目资金分配、使用和监督管理；编制项目绩效目标，负责项目绩效运行监控；督察、检查和考评项目绩效目标完成情况，编制项目支出绩效评价报告。</w:t>
      </w:r>
    </w:p>
    <w:p w14:paraId="0895933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14:paraId="6D3D1BB3">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 该项目立项申请主要是基于创建乡村振兴先进县（区）工作中，解决相关设施建设经费、环境综合治理提档升级经费不足等问题。本项目依据罗财预C225-006资金管理文件申请项目资金。</w:t>
      </w:r>
    </w:p>
    <w:p w14:paraId="525FCF45">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3．项目资金管理使用情况</w:t>
      </w:r>
    </w:p>
    <w:p w14:paraId="2E8655AB">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该项目资金严格按照上级相关要求和规定进行使用管理，并符合《略坪镇人民政府财政专项资金管理办法》的规定。</w:t>
      </w:r>
      <w:r>
        <w:rPr>
          <w:rFonts w:hint="eastAsia" w:ascii="仿宋_GB2312" w:hAnsi="宋体" w:eastAsia="仿宋_GB2312"/>
          <w:sz w:val="32"/>
          <w:szCs w:val="32"/>
          <w:lang w:val="zh-CN"/>
        </w:rPr>
        <w:t>通过</w:t>
      </w:r>
      <w:r>
        <w:rPr>
          <w:rFonts w:hint="eastAsia" w:ascii="仿宋_GB2312" w:hAnsi="宋体" w:eastAsia="仿宋_GB2312" w:cs="宋体"/>
          <w:sz w:val="32"/>
          <w:szCs w:val="32"/>
          <w:lang w:val="zh-CN"/>
        </w:rPr>
        <w:t>财政大平台直接支付到项目实施方或商品和服务提供方。项目资金开支范围严格按照项目资金规定的范围开支，无截留、挤占、挪用等情况。</w:t>
      </w:r>
    </w:p>
    <w:p w14:paraId="706C9D65">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4．项目资金分配原则</w:t>
      </w:r>
    </w:p>
    <w:p w14:paraId="62AC5D06">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分配该项目资金时，一是坚持“保重点，兼顾全面”的原则；二是坚持“注重绩效，突出民生效益”原则。在创建乡村振兴先进县（区）工作过程中，对选取实施项目精准、措施得力、组织管理规范、效益突出的村（社区），适当给予项目资金倾斜。</w:t>
      </w:r>
    </w:p>
    <w:p w14:paraId="7E99F224">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（二）项目绩效目标情况</w:t>
      </w:r>
    </w:p>
    <w:p w14:paraId="5A2D730A">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1．项目实施的主要内容及绩效目标设置情况</w:t>
      </w:r>
    </w:p>
    <w:p w14:paraId="6B4E88CB">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绩效目标按照“总体目标”和“绩效目标”编制。其中：“绩效目标”分别设置一级目标三项即：产出指标、效益指标和满意度指标；二级目标设置七项即：数量指标、质量指标、时效指标、成本指标、社会效益指标、可持续影响指标和服务对象满意度指标；三级指标共设七项，对应二级指标的具体数量、质量、完成时期、可持续发挥效益期限和群众满意度指标，以及项目指标值对应的项目实施的具体内容。</w:t>
      </w:r>
    </w:p>
    <w:p w14:paraId="6C2D57FD">
      <w:pPr>
        <w:adjustRightInd w:val="0"/>
        <w:snapToGrid w:val="0"/>
        <w:spacing w:line="560" w:lineRule="exact"/>
        <w:ind w:left="105" w:leftChars="50"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总体目标是：</w:t>
      </w:r>
      <w:r>
        <w:rPr>
          <w:rFonts w:hint="eastAsia" w:ascii="仿宋_GB2312" w:hAnsi="宋体" w:eastAsia="仿宋_GB2312"/>
          <w:sz w:val="32"/>
          <w:szCs w:val="32"/>
          <w:lang w:val="zh-CN"/>
        </w:rPr>
        <w:t>提升镇域范围内的人居环境质量，统筹治理乡村生活垃圾、黑臭水体、畜禽养殖场污染，促进垃圾分类和集中无害化处理。开展乡村振兴示范点建设，集中采购、设置垃圾收集处理设施设备。</w:t>
      </w:r>
    </w:p>
    <w:p w14:paraId="6DE86813">
      <w:pPr>
        <w:adjustRightInd w:val="0"/>
        <w:snapToGrid w:val="0"/>
        <w:spacing w:line="560" w:lineRule="exact"/>
        <w:ind w:left="105" w:leftChars="50"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8946" w:type="dxa"/>
        <w:tblInd w:w="0" w:type="dxa"/>
        <w:tblLayout w:type="autofit"/>
        <w:tblCellMar>
          <w:top w:w="0" w:type="dxa"/>
          <w:left w:w="0" w:type="dxa"/>
          <w:bottom w:w="0" w:type="dxa"/>
          <w:right w:w="0" w:type="dxa"/>
        </w:tblCellMar>
      </w:tblPr>
      <w:tblGrid>
        <w:gridCol w:w="1630"/>
        <w:gridCol w:w="890"/>
        <w:gridCol w:w="3140"/>
        <w:gridCol w:w="3286"/>
      </w:tblGrid>
      <w:tr w14:paraId="21AEF3C8">
        <w:tblPrEx>
          <w:tblCellMar>
            <w:top w:w="0" w:type="dxa"/>
            <w:left w:w="0" w:type="dxa"/>
            <w:bottom w:w="0" w:type="dxa"/>
            <w:right w:w="0" w:type="dxa"/>
          </w:tblCellMar>
        </w:tblPrEx>
        <w:trPr>
          <w:trHeight w:val="559" w:hRule="atLeast"/>
        </w:trPr>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3E363D">
            <w:pPr>
              <w:jc w:val="center"/>
              <w:rPr>
                <w:rFonts w:ascii="仿宋_GB2312" w:hAnsi="宋体" w:eastAsia="仿宋_GB2312" w:cs="宋体"/>
                <w:sz w:val="32"/>
                <w:szCs w:val="32"/>
              </w:rPr>
            </w:pPr>
            <w:r>
              <w:rPr>
                <w:rFonts w:hint="eastAsia" w:ascii="仿宋_GB2312" w:eastAsia="仿宋_GB2312"/>
                <w:sz w:val="32"/>
                <w:szCs w:val="32"/>
              </w:rPr>
              <w:t>一级指标</w:t>
            </w:r>
          </w:p>
        </w:tc>
        <w:tc>
          <w:tcPr>
            <w:tcW w:w="89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136AD2">
            <w:pPr>
              <w:jc w:val="center"/>
              <w:rPr>
                <w:rFonts w:ascii="仿宋_GB2312" w:hAnsi="宋体" w:eastAsia="仿宋_GB2312" w:cs="宋体"/>
                <w:sz w:val="32"/>
                <w:szCs w:val="32"/>
              </w:rPr>
            </w:pPr>
            <w:r>
              <w:rPr>
                <w:rFonts w:hint="eastAsia" w:ascii="仿宋_GB2312" w:eastAsia="仿宋_GB2312"/>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810A7">
            <w:pPr>
              <w:jc w:val="center"/>
              <w:rPr>
                <w:rFonts w:ascii="仿宋_GB2312" w:hAnsi="宋体" w:eastAsia="仿宋_GB2312" w:cs="宋体"/>
                <w:sz w:val="32"/>
                <w:szCs w:val="32"/>
              </w:rPr>
            </w:pPr>
            <w:r>
              <w:rPr>
                <w:rFonts w:hint="eastAsia" w:ascii="仿宋_GB2312" w:eastAsia="仿宋_GB2312"/>
                <w:sz w:val="32"/>
                <w:szCs w:val="32"/>
              </w:rPr>
              <w:t>三级指标</w:t>
            </w:r>
          </w:p>
        </w:tc>
        <w:tc>
          <w:tcPr>
            <w:tcW w:w="328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7F643">
            <w:pPr>
              <w:jc w:val="center"/>
              <w:rPr>
                <w:rFonts w:ascii="仿宋_GB2312" w:hAnsi="宋体" w:eastAsia="仿宋_GB2312" w:cs="宋体"/>
                <w:sz w:val="32"/>
                <w:szCs w:val="32"/>
              </w:rPr>
            </w:pPr>
            <w:r>
              <w:rPr>
                <w:rFonts w:hint="eastAsia" w:ascii="仿宋_GB2312" w:eastAsia="仿宋_GB2312"/>
                <w:sz w:val="32"/>
                <w:szCs w:val="32"/>
              </w:rPr>
              <w:t>指标值（包含数字及文字描述）</w:t>
            </w:r>
          </w:p>
        </w:tc>
      </w:tr>
      <w:tr w14:paraId="38B97640">
        <w:tblPrEx>
          <w:tblCellMar>
            <w:top w:w="0" w:type="dxa"/>
            <w:left w:w="0" w:type="dxa"/>
            <w:bottom w:w="0" w:type="dxa"/>
            <w:right w:w="0" w:type="dxa"/>
          </w:tblCellMar>
        </w:tblPrEx>
        <w:trPr>
          <w:trHeight w:val="642"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0079E91C">
            <w:pPr>
              <w:jc w:val="center"/>
              <w:rPr>
                <w:rFonts w:ascii="仿宋_GB2312" w:hAnsi="宋体" w:eastAsia="仿宋_GB2312" w:cs="宋体"/>
                <w:sz w:val="32"/>
                <w:szCs w:val="32"/>
              </w:rPr>
            </w:pPr>
            <w:r>
              <w:rPr>
                <w:rFonts w:hint="eastAsia" w:ascii="仿宋_GB2312" w:eastAsia="仿宋_GB2312"/>
                <w:sz w:val="32"/>
                <w:szCs w:val="32"/>
              </w:rPr>
              <w:t>产出指标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27FC59BE">
            <w:pPr>
              <w:jc w:val="center"/>
              <w:rPr>
                <w:rFonts w:ascii="仿宋_GB2312" w:hAnsi="宋体" w:eastAsia="仿宋_GB2312" w:cs="宋体"/>
                <w:sz w:val="32"/>
                <w:szCs w:val="32"/>
              </w:rPr>
            </w:pPr>
            <w:r>
              <w:rPr>
                <w:rFonts w:hint="eastAsia" w:ascii="仿宋_GB2312" w:eastAsia="仿宋_GB2312"/>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9CD615">
            <w:pPr>
              <w:rPr>
                <w:rFonts w:ascii="仿宋_GB2312" w:hAnsi="宋体" w:eastAsia="仿宋_GB2312" w:cs="宋体"/>
                <w:sz w:val="32"/>
                <w:szCs w:val="32"/>
              </w:rPr>
            </w:pPr>
            <w:r>
              <w:rPr>
                <w:rFonts w:hint="eastAsia" w:ascii="仿宋_GB2312" w:eastAsia="仿宋_GB2312"/>
                <w:sz w:val="32"/>
                <w:szCs w:val="32"/>
              </w:rPr>
              <w:t>乡村振兴示范点建设1处，购置垃圾收集分类桶若干</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842DA59">
            <w:pPr>
              <w:rPr>
                <w:rFonts w:ascii="仿宋_GB2312" w:hAnsi="宋体" w:eastAsia="仿宋_GB2312" w:cs="宋体"/>
                <w:sz w:val="32"/>
                <w:szCs w:val="32"/>
              </w:rPr>
            </w:pPr>
            <w:r>
              <w:rPr>
                <w:rFonts w:hint="eastAsia" w:ascii="仿宋_GB2312" w:eastAsia="仿宋_GB2312"/>
                <w:sz w:val="32"/>
                <w:szCs w:val="32"/>
              </w:rPr>
              <w:t>乡村振兴示范点1处，采购生活垃圾收集分类桶1500个。</w:t>
            </w:r>
          </w:p>
        </w:tc>
      </w:tr>
      <w:tr w14:paraId="4AFFEF5C">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4029C625">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6C71BD">
            <w:pPr>
              <w:jc w:val="center"/>
              <w:rPr>
                <w:rFonts w:ascii="仿宋_GB2312" w:hAnsi="宋体" w:eastAsia="仿宋_GB2312" w:cs="宋体"/>
                <w:sz w:val="32"/>
                <w:szCs w:val="32"/>
              </w:rPr>
            </w:pPr>
            <w:r>
              <w:rPr>
                <w:rFonts w:hint="eastAsia" w:ascii="仿宋_GB2312" w:eastAsia="仿宋_GB2312"/>
                <w:sz w:val="32"/>
                <w:szCs w:val="32"/>
              </w:rPr>
              <w:t>质量指标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8805C36">
            <w:pPr>
              <w:rPr>
                <w:rFonts w:ascii="仿宋_GB2312" w:hAnsi="宋体" w:eastAsia="仿宋_GB2312" w:cs="宋体"/>
                <w:sz w:val="32"/>
                <w:szCs w:val="32"/>
              </w:rPr>
            </w:pPr>
            <w:r>
              <w:rPr>
                <w:rFonts w:hint="eastAsia" w:ascii="仿宋_GB2312" w:eastAsia="仿宋_GB2312"/>
                <w:sz w:val="32"/>
                <w:szCs w:val="32"/>
              </w:rPr>
              <w:t>垃圾综合处理示范点建设工程达标，采购垃圾收集分类桶符合质量要求</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15702C">
            <w:pPr>
              <w:rPr>
                <w:rFonts w:ascii="仿宋_GB2312" w:hAnsi="宋体" w:eastAsia="仿宋_GB2312" w:cs="宋体"/>
                <w:sz w:val="32"/>
                <w:szCs w:val="32"/>
              </w:rPr>
            </w:pPr>
            <w:r>
              <w:rPr>
                <w:rFonts w:hint="eastAsia" w:ascii="仿宋_GB2312" w:eastAsia="仿宋_GB2312"/>
                <w:sz w:val="32"/>
                <w:szCs w:val="32"/>
              </w:rPr>
              <w:t>综合验收符合质量要求。</w:t>
            </w:r>
          </w:p>
        </w:tc>
      </w:tr>
      <w:tr w14:paraId="661C1ECA">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39EA4195">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DF71AF">
            <w:pPr>
              <w:jc w:val="center"/>
              <w:rPr>
                <w:rFonts w:ascii="仿宋_GB2312" w:hAnsi="宋体" w:eastAsia="仿宋_GB2312" w:cs="宋体"/>
                <w:sz w:val="32"/>
                <w:szCs w:val="32"/>
              </w:rPr>
            </w:pPr>
            <w:r>
              <w:rPr>
                <w:rFonts w:hint="eastAsia" w:ascii="仿宋_GB2312" w:eastAsia="仿宋_GB2312"/>
                <w:sz w:val="32"/>
                <w:szCs w:val="32"/>
              </w:rPr>
              <w:t>时效指标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40F7CC5">
            <w:pPr>
              <w:rPr>
                <w:rFonts w:ascii="仿宋_GB2312" w:hAnsi="宋体" w:eastAsia="仿宋_GB2312" w:cs="宋体"/>
                <w:sz w:val="32"/>
                <w:szCs w:val="32"/>
              </w:rPr>
            </w:pPr>
            <w:r>
              <w:rPr>
                <w:rFonts w:hint="eastAsia" w:ascii="仿宋_GB2312" w:eastAsia="仿宋_GB2312"/>
                <w:sz w:val="32"/>
                <w:szCs w:val="32"/>
              </w:rPr>
              <w:t>符合合同（协议）约定期限</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19FBA31">
            <w:pPr>
              <w:rPr>
                <w:rFonts w:ascii="仿宋_GB2312" w:hAnsi="宋体" w:eastAsia="仿宋_GB2312" w:cs="宋体"/>
                <w:sz w:val="32"/>
                <w:szCs w:val="32"/>
              </w:rPr>
            </w:pPr>
            <w:r>
              <w:rPr>
                <w:rFonts w:hint="eastAsia" w:ascii="仿宋_GB2312" w:eastAsia="仿宋_GB2312"/>
                <w:sz w:val="32"/>
                <w:szCs w:val="32"/>
              </w:rPr>
              <w:t>2020年底前完成</w:t>
            </w:r>
          </w:p>
        </w:tc>
      </w:tr>
      <w:tr w14:paraId="045EA6D4">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0EA762DD">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6DFF25">
            <w:pPr>
              <w:jc w:val="center"/>
              <w:rPr>
                <w:rFonts w:ascii="仿宋_GB2312" w:hAnsi="宋体" w:eastAsia="仿宋_GB2312" w:cs="宋体"/>
                <w:sz w:val="32"/>
                <w:szCs w:val="32"/>
              </w:rPr>
            </w:pPr>
            <w:r>
              <w:rPr>
                <w:rFonts w:hint="eastAsia" w:ascii="仿宋_GB2312" w:eastAsia="仿宋_GB2312"/>
                <w:sz w:val="32"/>
                <w:szCs w:val="32"/>
              </w:rPr>
              <w:t>成本指标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4B1C26B">
            <w:pPr>
              <w:rPr>
                <w:rFonts w:ascii="仿宋_GB2312" w:hAnsi="宋体" w:eastAsia="仿宋_GB2312" w:cs="宋体"/>
                <w:sz w:val="32"/>
                <w:szCs w:val="32"/>
              </w:rPr>
            </w:pPr>
            <w:r>
              <w:rPr>
                <w:rFonts w:hint="eastAsia" w:ascii="仿宋_GB2312" w:eastAsia="仿宋_GB2312"/>
                <w:sz w:val="32"/>
                <w:szCs w:val="32"/>
              </w:rPr>
              <w:t>垃圾综合处理示范点建设补助，垃圾收集分类桶按摆放点确定</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A0573FF">
            <w:pPr>
              <w:rPr>
                <w:rFonts w:ascii="仿宋_GB2312" w:hAnsi="宋体" w:eastAsia="仿宋_GB2312" w:cs="宋体"/>
                <w:sz w:val="32"/>
                <w:szCs w:val="32"/>
              </w:rPr>
            </w:pPr>
            <w:r>
              <w:rPr>
                <w:rFonts w:hint="eastAsia" w:ascii="仿宋_GB2312" w:eastAsia="仿宋_GB2312"/>
                <w:sz w:val="32"/>
                <w:szCs w:val="32"/>
              </w:rPr>
              <w:t>示范点建设补助控制在5万元内，垃圾收集分类桶采购控制在6万元内</w:t>
            </w:r>
          </w:p>
        </w:tc>
      </w:tr>
      <w:tr w14:paraId="34CCBC37">
        <w:tblPrEx>
          <w:tblCellMar>
            <w:top w:w="0" w:type="dxa"/>
            <w:left w:w="0" w:type="dxa"/>
            <w:bottom w:w="0" w:type="dxa"/>
            <w:right w:w="0" w:type="dxa"/>
          </w:tblCellMar>
        </w:tblPrEx>
        <w:trPr>
          <w:trHeight w:val="720" w:hRule="atLeast"/>
        </w:trPr>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39462ADF">
            <w:pPr>
              <w:jc w:val="center"/>
              <w:rPr>
                <w:rFonts w:ascii="仿宋_GB2312" w:hAnsi="宋体" w:eastAsia="仿宋_GB2312" w:cs="宋体"/>
                <w:sz w:val="32"/>
                <w:szCs w:val="32"/>
              </w:rPr>
            </w:pPr>
            <w:r>
              <w:rPr>
                <w:rFonts w:hint="eastAsia" w:ascii="仿宋_GB2312" w:eastAsia="仿宋_GB2312"/>
                <w:sz w:val="32"/>
                <w:szCs w:val="32"/>
              </w:rPr>
              <w:t>效益指标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1A81B80F">
            <w:pPr>
              <w:jc w:val="center"/>
              <w:rPr>
                <w:rFonts w:ascii="仿宋_GB2312" w:hAnsi="宋体" w:eastAsia="仿宋_GB2312" w:cs="宋体"/>
                <w:sz w:val="32"/>
                <w:szCs w:val="32"/>
              </w:rPr>
            </w:pPr>
            <w:r>
              <w:rPr>
                <w:rFonts w:hint="eastAsia" w:ascii="仿宋_GB2312" w:eastAsia="仿宋_GB2312"/>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69A1BAC">
            <w:pPr>
              <w:rPr>
                <w:rFonts w:ascii="仿宋_GB2312" w:hAnsi="宋体" w:eastAsia="仿宋_GB2312" w:cs="宋体"/>
                <w:sz w:val="32"/>
                <w:szCs w:val="32"/>
              </w:rPr>
            </w:pPr>
            <w:r>
              <w:rPr>
                <w:rFonts w:hint="eastAsia" w:ascii="仿宋_GB2312" w:eastAsia="仿宋_GB2312"/>
                <w:sz w:val="32"/>
                <w:szCs w:val="32"/>
              </w:rPr>
              <w:t>环境整洁率</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36FCA34">
            <w:pPr>
              <w:rPr>
                <w:rFonts w:ascii="仿宋_GB2312" w:hAnsi="宋体" w:eastAsia="仿宋_GB2312" w:cs="宋体"/>
                <w:sz w:val="32"/>
                <w:szCs w:val="32"/>
              </w:rPr>
            </w:pPr>
            <w:r>
              <w:rPr>
                <w:rFonts w:hint="eastAsia" w:ascii="仿宋_GB2312" w:eastAsia="仿宋_GB2312"/>
                <w:sz w:val="32"/>
                <w:szCs w:val="32"/>
              </w:rPr>
              <w:t>环境整洁天数</w:t>
            </w:r>
            <w:r>
              <w:rPr>
                <w:rFonts w:hint="eastAsia" w:ascii="仿宋_GB2312" w:hAnsi="宋体" w:cs="宋体"/>
                <w:sz w:val="32"/>
                <w:szCs w:val="32"/>
              </w:rPr>
              <w:t>≧</w:t>
            </w:r>
            <w:r>
              <w:rPr>
                <w:rFonts w:hint="eastAsia" w:ascii="仿宋_GB2312" w:eastAsia="仿宋_GB2312"/>
                <w:sz w:val="32"/>
                <w:szCs w:val="32"/>
              </w:rPr>
              <w:t>360天</w:t>
            </w:r>
          </w:p>
        </w:tc>
      </w:tr>
      <w:tr w14:paraId="6466F074">
        <w:tblPrEx>
          <w:tblCellMar>
            <w:top w:w="0" w:type="dxa"/>
            <w:left w:w="0" w:type="dxa"/>
            <w:bottom w:w="0" w:type="dxa"/>
            <w:right w:w="0"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vAlign w:val="center"/>
          </w:tcPr>
          <w:p w14:paraId="64FF01AF">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0CA18A">
            <w:pPr>
              <w:jc w:val="center"/>
              <w:rPr>
                <w:rFonts w:ascii="仿宋_GB2312" w:hAnsi="宋体" w:eastAsia="仿宋_GB2312" w:cs="宋体"/>
                <w:sz w:val="32"/>
                <w:szCs w:val="32"/>
              </w:rPr>
            </w:pPr>
            <w:r>
              <w:rPr>
                <w:rFonts w:hint="eastAsia" w:ascii="仿宋_GB2312" w:eastAsia="仿宋_GB2312"/>
                <w:sz w:val="32"/>
                <w:szCs w:val="32"/>
              </w:rPr>
              <w:t>可持续影响指标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E3E4CC">
            <w:pPr>
              <w:rPr>
                <w:rFonts w:ascii="仿宋_GB2312" w:hAnsi="宋体" w:eastAsia="仿宋_GB2312" w:cs="宋体"/>
                <w:sz w:val="32"/>
                <w:szCs w:val="32"/>
              </w:rPr>
            </w:pPr>
            <w:r>
              <w:rPr>
                <w:rFonts w:hint="eastAsia" w:ascii="仿宋_GB2312" w:eastAsia="仿宋_GB2312"/>
                <w:sz w:val="32"/>
                <w:szCs w:val="32"/>
              </w:rPr>
              <w:t>项目可持续发挥作用期限</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C795E61">
            <w:pPr>
              <w:rPr>
                <w:rFonts w:ascii="仿宋_GB2312" w:hAnsi="宋体" w:eastAsia="仿宋_GB2312" w:cs="宋体"/>
                <w:sz w:val="32"/>
                <w:szCs w:val="32"/>
              </w:rPr>
            </w:pPr>
            <w:r>
              <w:rPr>
                <w:rFonts w:hint="eastAsia" w:ascii="仿宋_GB2312" w:eastAsia="仿宋_GB2312"/>
                <w:sz w:val="32"/>
                <w:szCs w:val="32"/>
              </w:rPr>
              <w:t>长期</w:t>
            </w:r>
          </w:p>
        </w:tc>
      </w:tr>
      <w:tr w14:paraId="2035C333">
        <w:tblPrEx>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F56C13">
            <w:pPr>
              <w:jc w:val="center"/>
              <w:rPr>
                <w:rFonts w:ascii="仿宋_GB2312" w:hAnsi="宋体" w:eastAsia="仿宋_GB2312" w:cs="宋体"/>
                <w:sz w:val="32"/>
                <w:szCs w:val="32"/>
              </w:rPr>
            </w:pPr>
            <w:r>
              <w:rPr>
                <w:rFonts w:hint="eastAsia" w:ascii="仿宋_GB2312" w:eastAsia="仿宋_GB2312"/>
                <w:sz w:val="32"/>
                <w:szCs w:val="32"/>
              </w:rPr>
              <w:t>满意度指标</w:t>
            </w:r>
          </w:p>
        </w:tc>
        <w:tc>
          <w:tcPr>
            <w:tcW w:w="8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8ABE40D">
            <w:pPr>
              <w:jc w:val="center"/>
              <w:rPr>
                <w:rFonts w:ascii="仿宋_GB2312" w:hAnsi="宋体" w:eastAsia="仿宋_GB2312" w:cs="宋体"/>
                <w:sz w:val="32"/>
                <w:szCs w:val="32"/>
              </w:rPr>
            </w:pPr>
            <w:r>
              <w:rPr>
                <w:rFonts w:hint="eastAsia" w:ascii="仿宋_GB2312" w:eastAsia="仿宋_GB2312"/>
                <w:sz w:val="32"/>
                <w:szCs w:val="32"/>
              </w:rPr>
              <w:t>服务对象满意度指标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584FA7C">
            <w:pPr>
              <w:rPr>
                <w:rFonts w:ascii="仿宋_GB2312" w:hAnsi="宋体" w:eastAsia="仿宋_GB2312" w:cs="宋体"/>
                <w:sz w:val="32"/>
                <w:szCs w:val="32"/>
              </w:rPr>
            </w:pPr>
            <w:r>
              <w:rPr>
                <w:rFonts w:hint="eastAsia" w:ascii="仿宋_GB2312" w:eastAsia="仿宋_GB2312"/>
                <w:sz w:val="32"/>
                <w:szCs w:val="32"/>
              </w:rPr>
              <w:t>受益群众满意度</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D0F3D4">
            <w:pPr>
              <w:rPr>
                <w:rFonts w:ascii="仿宋_GB2312" w:hAnsi="宋体" w:eastAsia="仿宋_GB2312" w:cs="宋体"/>
                <w:sz w:val="32"/>
                <w:szCs w:val="32"/>
              </w:rPr>
            </w:pPr>
            <w:r>
              <w:rPr>
                <w:rFonts w:hint="eastAsia" w:ascii="仿宋_GB2312" w:hAnsi="宋体" w:cs="宋体"/>
                <w:sz w:val="32"/>
                <w:szCs w:val="32"/>
              </w:rPr>
              <w:t>≧</w:t>
            </w:r>
            <w:r>
              <w:rPr>
                <w:rFonts w:hint="eastAsia" w:ascii="仿宋_GB2312" w:eastAsia="仿宋_GB2312"/>
                <w:sz w:val="32"/>
                <w:szCs w:val="32"/>
              </w:rPr>
              <w:t>95%</w:t>
            </w:r>
          </w:p>
        </w:tc>
      </w:tr>
    </w:tbl>
    <w:p w14:paraId="6C939E57">
      <w:pPr>
        <w:adjustRightInd w:val="0"/>
        <w:snapToGrid w:val="0"/>
        <w:spacing w:line="560" w:lineRule="exact"/>
        <w:ind w:left="105" w:leftChars="50"/>
        <w:rPr>
          <w:rFonts w:ascii="仿宋_GB2312" w:hAnsi="宋体" w:eastAsia="仿宋_GB2312"/>
          <w:sz w:val="32"/>
          <w:szCs w:val="32"/>
          <w:lang w:val="zh-CN"/>
        </w:rPr>
      </w:pPr>
      <w:r>
        <w:rPr>
          <w:rFonts w:hint="eastAsia" w:ascii="仿宋_GB2312" w:hAnsi="宋体" w:eastAsia="仿宋_GB2312"/>
          <w:sz w:val="32"/>
          <w:szCs w:val="32"/>
          <w:lang w:val="zh-CN"/>
        </w:rPr>
        <w:t xml:space="preserve">     2．项目绩效目标实现情况</w:t>
      </w:r>
    </w:p>
    <w:p w14:paraId="186F4FE9">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经费实施的主要内容是辖区内的环境综合治理和乡村振兴示范点建设项目，乡村振兴示范点（松花村）建设项目绩效目标主要包括：安装太阳能露灯47盏，公路沿线设置围栏和绿化3.3千米，建设垃圾分类箱置放点2处；根据全镇生活垃圾分类收集桶置放点数量，集中采购生活垃圾分类收集桶1500个。年度内项目绩效目标全面完成。</w:t>
      </w:r>
    </w:p>
    <w:p w14:paraId="59EC2E0C">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3．项目绩效目标编制质量评价</w:t>
      </w:r>
    </w:p>
    <w:p w14:paraId="5593BBB0">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该项目绩效目标编制侧重环境综合治理提档升级，绩效目标编制较为科学规范，符合项目资金规定的开支范围。绩效目标申报与绩效目标实现情况完全相符，可操作性强。</w:t>
      </w:r>
    </w:p>
    <w:p w14:paraId="19C4C784">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（三）项目绩效自评步骤及方法</w:t>
      </w:r>
    </w:p>
    <w:p w14:paraId="10263754">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本项目绩效自评分三个阶段，即评价准备阶段、自评阶段和终评阶段。</w:t>
      </w:r>
    </w:p>
    <w:p w14:paraId="39FB9F54">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准备阶段</w:t>
      </w:r>
      <w:r>
        <w:rPr>
          <w:rFonts w:hint="eastAsia" w:ascii="仿宋_GB2312" w:hAnsi="宋体" w:eastAsia="仿宋_GB2312"/>
          <w:sz w:val="32"/>
          <w:szCs w:val="32"/>
        </w:rPr>
        <w:t xml:space="preserve">  由镇财政所提供项目财务会计资料，并组织相关职能部门收集项目绩效映衬资料，制定评价实施方案，确定评价指标细则等工作。</w:t>
      </w:r>
    </w:p>
    <w:p w14:paraId="3F048CE3">
      <w:pPr>
        <w:spacing w:line="560" w:lineRule="exact"/>
        <w:ind w:firstLine="640"/>
        <w:rPr>
          <w:rFonts w:ascii="仿宋_GB2312" w:hAnsi="宋体" w:eastAsia="仿宋_GB2312"/>
          <w:sz w:val="32"/>
          <w:szCs w:val="32"/>
        </w:rPr>
      </w:pPr>
      <w:r>
        <w:rPr>
          <w:rFonts w:hint="eastAsia" w:ascii="仿宋_GB2312" w:hAnsi="宋体" w:eastAsia="仿宋_GB2312"/>
          <w:b/>
          <w:sz w:val="32"/>
          <w:szCs w:val="32"/>
        </w:rPr>
        <w:t>自评阶段</w:t>
      </w:r>
      <w:r>
        <w:rPr>
          <w:rFonts w:hint="eastAsia" w:ascii="仿宋_GB2312" w:hAnsi="宋体" w:eastAsia="仿宋_GB2312"/>
          <w:sz w:val="32"/>
          <w:szCs w:val="32"/>
        </w:rPr>
        <w:t xml:space="preserve">  按照财政资金运用方向，确定归口使用管理部门开展自评，按照绩效目标申报情况，从绩效目标设置和合理性、科学性开展评价，分析绩效目标申报与实现情况差异原因，分析绩效目标效益发挥情况，评价项目绩效目标质量控制情况，并对项目资金分配与使用管理，支付程序与审核审批，结算审查等方面开展自评，各职能部门自评情况交由镇财政所汇总。</w:t>
      </w:r>
    </w:p>
    <w:p w14:paraId="14ED28D7">
      <w:pPr>
        <w:adjustRightInd w:val="0"/>
        <w:snapToGrid w:val="0"/>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sz w:val="32"/>
          <w:szCs w:val="32"/>
        </w:rPr>
        <w:t>终评阶段</w:t>
      </w:r>
      <w:r>
        <w:rPr>
          <w:rFonts w:hint="eastAsia" w:ascii="仿宋_GB2312" w:hAnsi="宋体" w:eastAsia="仿宋_GB2312"/>
          <w:sz w:val="32"/>
          <w:szCs w:val="32"/>
        </w:rPr>
        <w:t xml:space="preserve">  首先，组织相关职能部门召开终评会议，讨论各职能部门初评自评情况；其次，通过核查相关项目文件资料，查阅会计档案、会计凭证和会计报表，对各职能部门自评结果进行定量定性分析；最后，经综合评议形成评价结论。并依据综合评价结论编制各项目绩效评价报告。</w:t>
      </w:r>
    </w:p>
    <w:p w14:paraId="27CFDF2E">
      <w:pPr>
        <w:adjustRightInd w:val="0"/>
        <w:snapToGrid w:val="0"/>
        <w:spacing w:line="560" w:lineRule="exact"/>
        <w:ind w:left="105" w:leftChars="50" w:firstLine="643" w:firstLineChars="200"/>
        <w:rPr>
          <w:rFonts w:ascii="仿宋_GB2312" w:hAnsi="宋体" w:eastAsia="仿宋_GB2312"/>
          <w:b/>
          <w:sz w:val="32"/>
          <w:szCs w:val="32"/>
        </w:rPr>
      </w:pPr>
      <w:r>
        <w:rPr>
          <w:rFonts w:hint="eastAsia" w:ascii="仿宋_GB2312" w:hAnsi="宋体" w:eastAsia="仿宋_GB2312"/>
          <w:b/>
          <w:sz w:val="32"/>
          <w:szCs w:val="32"/>
        </w:rPr>
        <w:t>二、项目资金申报及使用情况</w:t>
      </w:r>
    </w:p>
    <w:p w14:paraId="2BB439F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（一）项目资金申报及批复情况。</w:t>
      </w:r>
    </w:p>
    <w:p w14:paraId="2952426F">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该项目无年初财政预算安项目支出。本年度内申报项目资金支出20.00万元。</w:t>
      </w:r>
    </w:p>
    <w:p w14:paraId="47AEFC6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批复项目预算支出20.00万元。预算调整及预算执行符合相关项目资金管理规定。</w:t>
      </w:r>
    </w:p>
    <w:p w14:paraId="782A54C2">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（二）项目资金计划、到位及使用情况</w:t>
      </w:r>
    </w:p>
    <w:p w14:paraId="534A2EEF">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1．项目资金计划情况</w:t>
      </w:r>
    </w:p>
    <w:p w14:paraId="173522F9">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年度内，该申报计划项目资金20.00万元。</w:t>
      </w:r>
    </w:p>
    <w:p w14:paraId="4014590A">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2．项目资金到位情况</w:t>
      </w:r>
    </w:p>
    <w:p w14:paraId="6092B4FF">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本年度内实际到位项目资金20.00万元。</w:t>
      </w:r>
    </w:p>
    <w:p w14:paraId="689AE4BA">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3．项目资金使用情况</w:t>
      </w:r>
    </w:p>
    <w:p w14:paraId="40E6C29B">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本年度安排使用到位项目资金20.00万元。</w:t>
      </w:r>
    </w:p>
    <w:p w14:paraId="0AA31506">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（三）项目财务管理情况。</w:t>
      </w:r>
    </w:p>
    <w:p w14:paraId="2F63C6B4">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该项目资金符合上级部门项目资金管理要求，符合本部门财务管理制度和项目资金管理办法规定，符合该项目资金开支范围，符合该项目资金申请程序和审批权限，严格执行国库集中支付。</w:t>
      </w:r>
    </w:p>
    <w:p w14:paraId="385B24B7">
      <w:pPr>
        <w:adjustRightInd w:val="0"/>
        <w:snapToGrid w:val="0"/>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三、项目实施及管理情况</w:t>
      </w:r>
    </w:p>
    <w:p w14:paraId="2AF79E01">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（一）项目组织架构及实施流程</w:t>
      </w:r>
    </w:p>
    <w:p w14:paraId="4345877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该项目由镇党委政府统筹管理，由本单位下设各职能部门即乡村振兴办公室负责组织实施。由乡村振兴办公室负责制定实施方案、管理细则，对项目实行全程监督、指导，项目完工后组织相关人员进行验收。</w:t>
      </w:r>
    </w:p>
    <w:p w14:paraId="787EF12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（二）项目管理情况</w:t>
      </w:r>
    </w:p>
    <w:p w14:paraId="1A8D937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注重日常监督检查和重点抽查，加强项目实施过程中的技术指导。工程项目一律通过竞争性谈判确定，对项目全过程进行公示公开，接受群众监督；凡是涉及使用项目资金采购商品或服务的，符合集中采购的走政府集中采购程度，符合分散采购的通过询价走分散采购程序。</w:t>
      </w:r>
    </w:p>
    <w:p w14:paraId="396991E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（三）项目监管情况</w:t>
      </w:r>
    </w:p>
    <w:p w14:paraId="0BA042A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项目监管主要采取以下措施：</w:t>
      </w:r>
    </w:p>
    <w:p w14:paraId="15FA638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一是对项目事前安排、事中督察检和事后验收审查全过程监管。各环节坚持公示公开，接受群众监督。</w:t>
      </w:r>
    </w:p>
    <w:p w14:paraId="3D702972">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二是镇纪委监委开展定期或不定期督察检查，督促工程进度和质量。</w:t>
      </w:r>
    </w:p>
    <w:p w14:paraId="1792542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三加强项目资金使用监督管理，确保资金高效使用。</w:t>
      </w:r>
    </w:p>
    <w:p w14:paraId="2C9D8A4C">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四、绩效目标情况</w:t>
      </w:r>
    </w:p>
    <w:p w14:paraId="5EDB10E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（一）项目完成情况</w:t>
      </w:r>
    </w:p>
    <w:p w14:paraId="7D9CD5D3">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完成乡村振兴示范点（松花村）建设，村内主要交通干线安装太阳能露灯47盏，公路沿线设置护栏、植绿培绿3.3千米，建设垃圾分类箱置放点2处；根据全镇生活垃圾分类桶置放点数量，集中采购生活垃圾分类收集桶1500个，为我镇创建乡村振兴探索出有效途径，为全面加强我镇生态环境综合治理建设、上台阶打下了良好基础。</w:t>
      </w:r>
    </w:p>
    <w:p w14:paraId="72927FC4">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（二）项目效益情况</w:t>
      </w:r>
    </w:p>
    <w:p w14:paraId="37EF01DB">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该项目实施效益主要表现在：一是积极探索乡村振兴工作实现的有效途径，通过示范带动，促进了乡村振兴工作顺利推进；二全面提升了乡村环境综合治理水平，极大改善了农村环境脏乱差的局面，三是有效改善了营商环境，促进了区域经济发展，增加了广大群众的获得感、幸福感和安全感。</w:t>
      </w:r>
    </w:p>
    <w:p w14:paraId="64F385BF">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经济效益：</w:t>
      </w:r>
      <w:r>
        <w:rPr>
          <w:rFonts w:hint="eastAsia" w:ascii="仿宋_GB2312" w:hAnsi="宋体" w:eastAsia="仿宋_GB2312"/>
          <w:sz w:val="32"/>
          <w:szCs w:val="32"/>
          <w:lang w:val="zh-CN"/>
        </w:rPr>
        <w:t xml:space="preserve"> 环境改善，提升了当地整体形象，促进了乡村游经济发展，增强了投资环境吸引力，可增加当地群众收入。</w:t>
      </w:r>
    </w:p>
    <w:p w14:paraId="1DBEB593">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社会效益：</w:t>
      </w:r>
      <w:r>
        <w:rPr>
          <w:rFonts w:hint="eastAsia" w:ascii="仿宋_GB2312" w:hAnsi="宋体" w:eastAsia="仿宋_GB2312"/>
          <w:sz w:val="32"/>
          <w:szCs w:val="32"/>
          <w:lang w:val="zh-CN"/>
        </w:rPr>
        <w:t>有效提升社会治理水平，改善人居环境条件，增强了人民群众的获得感和幸福感。</w:t>
      </w:r>
    </w:p>
    <w:p w14:paraId="6E57369E">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生态效益：</w:t>
      </w:r>
      <w:r>
        <w:rPr>
          <w:rFonts w:hint="eastAsia" w:ascii="仿宋_GB2312" w:hAnsi="宋体" w:eastAsia="仿宋_GB2312"/>
          <w:sz w:val="32"/>
          <w:szCs w:val="32"/>
          <w:lang w:val="zh-CN"/>
        </w:rPr>
        <w:t>减少环境污染，美化环境，提高了人居环境舒适感。</w:t>
      </w:r>
    </w:p>
    <w:p w14:paraId="45C3D524">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可持续效益：</w:t>
      </w:r>
      <w:r>
        <w:rPr>
          <w:rFonts w:hint="eastAsia" w:ascii="仿宋_GB2312" w:hAnsi="宋体" w:eastAsia="仿宋_GB2312"/>
          <w:sz w:val="32"/>
          <w:szCs w:val="32"/>
          <w:lang w:val="zh-CN"/>
        </w:rPr>
        <w:t>具有长期发挥效益作用。</w:t>
      </w:r>
    </w:p>
    <w:p w14:paraId="4693038C">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群众满意度：</w:t>
      </w:r>
      <w:r>
        <w:rPr>
          <w:rFonts w:hint="eastAsia" w:ascii="仿宋_GB2312" w:hAnsi="宋体" w:eastAsia="仿宋_GB2312"/>
          <w:sz w:val="32"/>
          <w:szCs w:val="32"/>
          <w:lang w:val="zh-CN"/>
        </w:rPr>
        <w:t>群众满意度可达95%以上。</w:t>
      </w:r>
    </w:p>
    <w:p w14:paraId="5AE765DB">
      <w:pPr>
        <w:adjustRightInd w:val="0"/>
        <w:snapToGrid w:val="0"/>
        <w:spacing w:line="560" w:lineRule="exact"/>
        <w:ind w:firstLine="720"/>
        <w:rPr>
          <w:rFonts w:ascii="仿宋_GB2312" w:hAnsi="宋体" w:eastAsia="仿宋_GB2312"/>
          <w:b/>
          <w:sz w:val="32"/>
          <w:szCs w:val="32"/>
        </w:rPr>
      </w:pPr>
      <w:r>
        <w:rPr>
          <w:rFonts w:hint="eastAsia" w:ascii="仿宋_GB2312" w:hAnsi="宋体" w:eastAsia="仿宋_GB2312"/>
          <w:b/>
          <w:sz w:val="32"/>
          <w:szCs w:val="32"/>
        </w:rPr>
        <w:t>五、评价结论</w:t>
      </w:r>
    </w:p>
    <w:p w14:paraId="5A2A3F18">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sz w:val="32"/>
          <w:szCs w:val="32"/>
        </w:rPr>
        <w:t>该</w:t>
      </w:r>
      <w:r>
        <w:rPr>
          <w:rFonts w:hint="eastAsia" w:ascii="仿宋_GB2312" w:hAnsi="宋体" w:eastAsia="仿宋_GB2312"/>
          <w:sz w:val="32"/>
          <w:szCs w:val="32"/>
          <w:lang w:val="zh-CN"/>
        </w:rPr>
        <w:t>项目总体评价结论是：项目申报重点明确，项目管理规范，组织严密，流程清晰，监督有力；项目资金使用管理符合相关财经法规、制度规定，符合本单位财务管理制度规定；绩效目标完成较好，达到预期效果。</w:t>
      </w:r>
    </w:p>
    <w:p w14:paraId="24CA47C0">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六、问题及建议</w:t>
      </w:r>
    </w:p>
    <w:p w14:paraId="5E25E92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（一）存在的问题</w:t>
      </w:r>
    </w:p>
    <w:p w14:paraId="2991A4E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1．需进一步加强实施项目筛选，提高项目实施精准度，编制可操作性强的实施方案，制定切实可行的措施。</w:t>
      </w:r>
    </w:p>
    <w:p w14:paraId="5BE8FD1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2．进一步加强项目全过程监督管理，特别是工程类项目全过程监督管理，提高项目质量；对服务类项目加强日常监督检查，完善考核制度，提高项目实施效果。</w:t>
      </w:r>
    </w:p>
    <w:p w14:paraId="45018BEB">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3．全面加强项目资金会计核算，严格执行相关会计制度，正确运用会计科目，规范设置会计账簿，专项资金实行专账核算。</w:t>
      </w:r>
    </w:p>
    <w:p w14:paraId="188AA3A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4．进一步加强拨付到村级的项目资金支付流程管理，规范支付方式，减少现金支付。加强支付凭证审查审核，防止不规范原始凭证和白条记账。</w:t>
      </w:r>
    </w:p>
    <w:p w14:paraId="729A457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（二）相关建议</w:t>
      </w:r>
    </w:p>
    <w:p w14:paraId="4A08BE4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需进一步明确项目资金的开支范围，确保项目资金发挥效益最大化。</w:t>
      </w:r>
    </w:p>
    <w:p w14:paraId="2F1511C9">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-5</w:t>
      </w:r>
    </w:p>
    <w:p w14:paraId="178FB4AF">
      <w:pPr>
        <w:spacing w:line="580" w:lineRule="exact"/>
        <w:ind w:firstLine="640" w:firstLineChars="200"/>
        <w:rPr>
          <w:rFonts w:ascii="仿宋_GB2312" w:hAnsi="仿宋_GB2312" w:eastAsia="仿宋_GB2312" w:cs="仿宋_GB2312"/>
          <w:sz w:val="32"/>
          <w:szCs w:val="32"/>
        </w:rPr>
      </w:pPr>
    </w:p>
    <w:p w14:paraId="009708EE">
      <w:pPr>
        <w:spacing w:line="640" w:lineRule="exact"/>
        <w:jc w:val="center"/>
        <w:rPr>
          <w:rFonts w:ascii="仿宋_GB2312" w:hAnsi="宋体"/>
          <w:b/>
          <w:sz w:val="44"/>
          <w:szCs w:val="44"/>
        </w:rPr>
      </w:pPr>
      <w:r>
        <w:rPr>
          <w:rFonts w:hint="eastAsia" w:ascii="仿宋_GB2312" w:hAnsi="宋体"/>
          <w:b/>
          <w:sz w:val="44"/>
          <w:szCs w:val="44"/>
        </w:rPr>
        <w:t>德阳市罗江区略坪镇人民政府</w:t>
      </w:r>
    </w:p>
    <w:p w14:paraId="764E29FF">
      <w:pPr>
        <w:spacing w:line="640" w:lineRule="exact"/>
        <w:jc w:val="center"/>
        <w:rPr>
          <w:rFonts w:ascii="仿宋_GB2312" w:hAnsi="宋体"/>
          <w:b/>
          <w:sz w:val="44"/>
          <w:szCs w:val="44"/>
        </w:rPr>
      </w:pPr>
      <w:r>
        <w:rPr>
          <w:rFonts w:hint="eastAsia" w:ascii="仿宋_GB2312" w:hAnsi="宋体"/>
          <w:b/>
          <w:sz w:val="44"/>
          <w:szCs w:val="44"/>
        </w:rPr>
        <w:t>2020年</w:t>
      </w:r>
      <w:r>
        <w:rPr>
          <w:rFonts w:hint="eastAsia" w:ascii="仿宋_GB2312" w:hAnsi="宋体"/>
          <w:b/>
          <w:sz w:val="44"/>
          <w:szCs w:val="44"/>
          <w:lang w:val="zh-CN"/>
        </w:rPr>
        <w:t>“内城河整治和污水处理站建设占地及青苗补偿费”</w:t>
      </w:r>
      <w:r>
        <w:rPr>
          <w:rFonts w:hint="eastAsia" w:ascii="仿宋_GB2312" w:hAnsi="宋体"/>
          <w:b/>
          <w:sz w:val="44"/>
          <w:szCs w:val="44"/>
        </w:rPr>
        <w:t>预算项目支出绩效自评报告</w:t>
      </w:r>
    </w:p>
    <w:p w14:paraId="270A45ED">
      <w:pPr>
        <w:pStyle w:val="30"/>
        <w:spacing w:line="240" w:lineRule="auto"/>
        <w:jc w:val="center"/>
        <w:rPr>
          <w:rFonts w:ascii="宋体" w:hAnsi="宋体" w:cs="Times New Roman"/>
          <w:color w:val="auto"/>
          <w:kern w:val="2"/>
          <w:sz w:val="32"/>
          <w:szCs w:val="32"/>
        </w:rPr>
      </w:pPr>
    </w:p>
    <w:p w14:paraId="5664DFB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项目概况</w:t>
      </w:r>
    </w:p>
    <w:p w14:paraId="4B9CC14C">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（一）项目基本情况</w:t>
      </w:r>
    </w:p>
    <w:p w14:paraId="127D46A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内城河整治和污水处理站建设占地及青苗补偿费”项目，该项目缘于2010年3月内城河整治工程永久性占地51.47亩（文明村10.26亩，安平村39.39亩，锦屏村1.82亩）合同约定每年按照黄谷数量850斤/亩，单位价1.25元/斤计算占地补偿费，年支付占地补偿费54686.88元；2017年污水处理站建设永久性占地（安平村3个组）2.19亩或1460平方米，协商约定占地补偿费按照4元/平方米计算占地补偿费，年支付占地补偿费5840元。</w:t>
      </w:r>
    </w:p>
    <w:p w14:paraId="3A08A45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1．项目主管部门及其职能</w:t>
      </w:r>
    </w:p>
    <w:p w14:paraId="4856902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的主管部门为德阳市罗江区略坪镇人民政府。主要职能是：负责项目资金计划申报，项目资金分配、使用和监督管理；组织项目资金在合同约定时间内兑付到农户；编制项目绩效目标，负责项目绩效运行监控；督察、检查和考评项目绩效目标完成情况，编制项目支出绩效评价报告。</w:t>
      </w:r>
    </w:p>
    <w:p w14:paraId="0AE903F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14:paraId="192A9865">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依据《略坪镇人民政府关于拨付略坪镇项目占地租金的请示》申报立项，本项目经区委第7次财经委会议通过，依据政府办件[2020]77号文件申报。本项目经费全部用于支出2015年-2019年期间内城河整治和2018年-2019年期间污水处理站建设永久性占地及青苗补偿费。依据罗财预T009资金管理文件申请项目资金。</w:t>
      </w:r>
    </w:p>
    <w:p w14:paraId="6590A788">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3．项目资金管理使用情况</w:t>
      </w:r>
    </w:p>
    <w:p w14:paraId="77EC813A">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使用管理符合上级相关要求和规定，同时，严格执行《略坪镇人民政府财政专项资金管理办法》。项目资金通过财政大平台直接拨付到项目村，镇乡村振兴办公室监督到村资金足额兑付到农户，项目无截留、挤占、挪用等情况。</w:t>
      </w:r>
    </w:p>
    <w:p w14:paraId="3B9EF46C">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4．项目资金分配原则</w:t>
      </w:r>
    </w:p>
    <w:p w14:paraId="4E632159">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该项目资金依据合同约定据实计算分配到相关村，由村计算分配并兑付到受益农户。</w:t>
      </w:r>
    </w:p>
    <w:p w14:paraId="7C3CF2A0">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（二）项目绩效目标情况</w:t>
      </w:r>
    </w:p>
    <w:p w14:paraId="58D89980">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1．项目实施的主要内容及绩效目标设置情况</w:t>
      </w:r>
    </w:p>
    <w:p w14:paraId="7E98EFE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绩效目标按照“总体目标”和“绩效目标”编制。其中：“绩效目标”分别设置一级目标三项即：产出指标、效益指标和满意度指标；二级目标设置七项即：数量指标、质量指标、时效指标、成本指标、社会效益指标、可持续影响指标和服务对象满意度指标；三级指标共设七项，对应二级指标的具体数量、质量、完成时期、可持续发挥效益期限和群众满意度指标，以及项目指标值对应的项目实施的具体内容。</w:t>
      </w:r>
    </w:p>
    <w:p w14:paraId="2EBC509A">
      <w:pPr>
        <w:adjustRightInd w:val="0"/>
        <w:snapToGrid w:val="0"/>
        <w:spacing w:line="560" w:lineRule="exact"/>
        <w:ind w:firstLine="630"/>
        <w:rPr>
          <w:rFonts w:ascii="仿宋_GB2312" w:hAnsi="宋体" w:eastAsia="仿宋_GB2312"/>
          <w:sz w:val="32"/>
          <w:szCs w:val="32"/>
          <w:lang w:val="zh-CN"/>
        </w:rPr>
      </w:pPr>
      <w:r>
        <w:rPr>
          <w:rFonts w:hint="eastAsia" w:ascii="仿宋_GB2312" w:hAnsi="宋体" w:eastAsia="仿宋_GB2312"/>
          <w:b/>
          <w:sz w:val="32"/>
          <w:szCs w:val="32"/>
          <w:lang w:val="zh-CN"/>
        </w:rPr>
        <w:t>总体目标是：</w:t>
      </w:r>
      <w:r>
        <w:rPr>
          <w:rFonts w:hint="eastAsia" w:ascii="仿宋_GB2312" w:hAnsi="宋体" w:eastAsia="仿宋_GB2312"/>
          <w:sz w:val="32"/>
          <w:szCs w:val="32"/>
          <w:lang w:val="zh-CN"/>
        </w:rPr>
        <w:t>2010年3月内城河整治占地51.47亩，按黄谷数量和当年市场价中等价格标准确定补偿费(2015年-2019年约定黄谷数量为850斤/亩，单位1.25元/斤）。2015年-2019年共计支付占地及青苗补偿费273434.40元，按协议约定，每年于10月底前将无固定期限占用文明村2个组10.53亩、安平村10个组39.39亩、锦屏村2个组1.55亩的土地（耕地）占用及青苗补偿费兑付到农户；2017年，污水处理站建设永久性占地（安平村3个组）2.19亩或1460平方米，按照双方协商约定，永久性占地补偿费按照4元/平方米标准计算，2018年-2019年共计支付永久性占地补偿费11680元，按协议约定，每年于10月底前将占地安平村3个组2.19亩土地（耕地）占用费及青苗补偿费兑付到农户。</w:t>
      </w:r>
    </w:p>
    <w:p w14:paraId="7CAF5F40">
      <w:pPr>
        <w:adjustRightInd w:val="0"/>
        <w:snapToGrid w:val="0"/>
        <w:spacing w:line="560" w:lineRule="exact"/>
        <w:ind w:firstLine="630"/>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9087" w:type="dxa"/>
        <w:tblInd w:w="0" w:type="dxa"/>
        <w:tblLayout w:type="autofit"/>
        <w:tblCellMar>
          <w:top w:w="0" w:type="dxa"/>
          <w:left w:w="0" w:type="dxa"/>
          <w:bottom w:w="0" w:type="dxa"/>
          <w:right w:w="0" w:type="dxa"/>
        </w:tblCellMar>
      </w:tblPr>
      <w:tblGrid>
        <w:gridCol w:w="1630"/>
        <w:gridCol w:w="890"/>
        <w:gridCol w:w="3140"/>
        <w:gridCol w:w="3427"/>
      </w:tblGrid>
      <w:tr w14:paraId="5CF169F4">
        <w:tblPrEx>
          <w:tblCellMar>
            <w:top w:w="0" w:type="dxa"/>
            <w:left w:w="0" w:type="dxa"/>
            <w:bottom w:w="0" w:type="dxa"/>
            <w:right w:w="0" w:type="dxa"/>
          </w:tblCellMar>
        </w:tblPrEx>
        <w:trPr>
          <w:trHeight w:val="559" w:hRule="atLeast"/>
        </w:trPr>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B96241">
            <w:pPr>
              <w:jc w:val="center"/>
              <w:rPr>
                <w:rFonts w:ascii="仿宋_GB2312" w:hAnsi="宋体" w:eastAsia="仿宋_GB2312" w:cs="宋体"/>
                <w:sz w:val="32"/>
                <w:szCs w:val="32"/>
              </w:rPr>
            </w:pPr>
            <w:r>
              <w:rPr>
                <w:rFonts w:hint="eastAsia" w:ascii="仿宋_GB2312" w:eastAsia="仿宋_GB2312"/>
                <w:sz w:val="32"/>
                <w:szCs w:val="32"/>
              </w:rPr>
              <w:t>一级指标</w:t>
            </w:r>
          </w:p>
        </w:tc>
        <w:tc>
          <w:tcPr>
            <w:tcW w:w="89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B7F041">
            <w:pPr>
              <w:jc w:val="center"/>
              <w:rPr>
                <w:rFonts w:ascii="仿宋_GB2312" w:hAnsi="宋体" w:eastAsia="仿宋_GB2312" w:cs="宋体"/>
                <w:sz w:val="32"/>
                <w:szCs w:val="32"/>
              </w:rPr>
            </w:pPr>
            <w:r>
              <w:rPr>
                <w:rFonts w:hint="eastAsia" w:ascii="仿宋_GB2312" w:eastAsia="仿宋_GB2312"/>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A924B5">
            <w:pPr>
              <w:jc w:val="center"/>
              <w:rPr>
                <w:rFonts w:ascii="仿宋_GB2312" w:hAnsi="宋体" w:eastAsia="仿宋_GB2312" w:cs="宋体"/>
                <w:sz w:val="32"/>
                <w:szCs w:val="32"/>
              </w:rPr>
            </w:pPr>
            <w:r>
              <w:rPr>
                <w:rFonts w:hint="eastAsia" w:ascii="仿宋_GB2312" w:eastAsia="仿宋_GB2312"/>
                <w:sz w:val="32"/>
                <w:szCs w:val="32"/>
              </w:rPr>
              <w:t>三级指标</w:t>
            </w:r>
          </w:p>
        </w:tc>
        <w:tc>
          <w:tcPr>
            <w:tcW w:w="342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0EEA1">
            <w:pPr>
              <w:jc w:val="center"/>
              <w:rPr>
                <w:rFonts w:ascii="仿宋_GB2312" w:hAnsi="宋体" w:eastAsia="仿宋_GB2312" w:cs="宋体"/>
                <w:sz w:val="32"/>
                <w:szCs w:val="32"/>
              </w:rPr>
            </w:pPr>
            <w:r>
              <w:rPr>
                <w:rFonts w:hint="eastAsia" w:ascii="仿宋_GB2312" w:eastAsia="仿宋_GB2312"/>
                <w:sz w:val="32"/>
                <w:szCs w:val="32"/>
              </w:rPr>
              <w:t>指标值（包含数字及文字描述）</w:t>
            </w:r>
          </w:p>
        </w:tc>
      </w:tr>
      <w:tr w14:paraId="1C0FF315">
        <w:tblPrEx>
          <w:tblCellMar>
            <w:top w:w="0" w:type="dxa"/>
            <w:left w:w="0" w:type="dxa"/>
            <w:bottom w:w="0" w:type="dxa"/>
            <w:right w:w="0" w:type="dxa"/>
          </w:tblCellMar>
        </w:tblPrEx>
        <w:trPr>
          <w:trHeight w:val="642"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3D311AB6">
            <w:pPr>
              <w:jc w:val="center"/>
              <w:rPr>
                <w:rFonts w:ascii="仿宋_GB2312" w:hAnsi="宋体" w:eastAsia="仿宋_GB2312" w:cs="宋体"/>
                <w:sz w:val="32"/>
                <w:szCs w:val="32"/>
              </w:rPr>
            </w:pPr>
            <w:r>
              <w:rPr>
                <w:rFonts w:hint="eastAsia" w:ascii="仿宋_GB2312" w:eastAsia="仿宋_GB2312"/>
                <w:sz w:val="32"/>
                <w:szCs w:val="32"/>
              </w:rPr>
              <w:t>产出指标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18CDC110">
            <w:pPr>
              <w:jc w:val="center"/>
              <w:rPr>
                <w:rFonts w:ascii="仿宋_GB2312" w:hAnsi="宋体" w:eastAsia="仿宋_GB2312" w:cs="宋体"/>
                <w:sz w:val="32"/>
                <w:szCs w:val="32"/>
              </w:rPr>
            </w:pPr>
            <w:r>
              <w:rPr>
                <w:rFonts w:hint="eastAsia" w:ascii="仿宋_GB2312" w:eastAsia="仿宋_GB2312"/>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95F2E7">
            <w:pPr>
              <w:rPr>
                <w:rFonts w:ascii="仿宋_GB2312" w:hAnsi="宋体" w:eastAsia="仿宋_GB2312" w:cs="宋体"/>
                <w:sz w:val="32"/>
                <w:szCs w:val="32"/>
              </w:rPr>
            </w:pPr>
            <w:r>
              <w:rPr>
                <w:rFonts w:hint="eastAsia" w:ascii="仿宋_GB2312" w:eastAsia="仿宋_GB2312"/>
                <w:sz w:val="32"/>
                <w:szCs w:val="32"/>
              </w:rPr>
              <w:t>占地面积及补偿标准</w:t>
            </w:r>
          </w:p>
        </w:tc>
        <w:tc>
          <w:tcPr>
            <w:tcW w:w="3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E342E8">
            <w:pPr>
              <w:rPr>
                <w:rFonts w:ascii="仿宋_GB2312" w:hAnsi="宋体" w:eastAsia="仿宋_GB2312" w:cs="宋体"/>
                <w:sz w:val="32"/>
                <w:szCs w:val="32"/>
              </w:rPr>
            </w:pPr>
            <w:r>
              <w:rPr>
                <w:rFonts w:hint="eastAsia" w:ascii="仿宋_GB2312" w:eastAsia="仿宋_GB2312"/>
                <w:sz w:val="32"/>
                <w:szCs w:val="32"/>
              </w:rPr>
              <w:t>内城河占地51.47亩，污水处理站占地2.19亩</w:t>
            </w:r>
          </w:p>
        </w:tc>
      </w:tr>
      <w:tr w14:paraId="50B7F562">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4C4EBB18">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7CDB60">
            <w:pPr>
              <w:jc w:val="center"/>
              <w:rPr>
                <w:rFonts w:ascii="仿宋_GB2312" w:hAnsi="宋体" w:eastAsia="仿宋_GB2312" w:cs="宋体"/>
                <w:sz w:val="32"/>
                <w:szCs w:val="32"/>
              </w:rPr>
            </w:pPr>
            <w:r>
              <w:rPr>
                <w:rFonts w:hint="eastAsia" w:ascii="仿宋_GB2312" w:eastAsia="仿宋_GB2312"/>
                <w:sz w:val="32"/>
                <w:szCs w:val="32"/>
              </w:rPr>
              <w:t>质量指标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89F1F4">
            <w:pPr>
              <w:rPr>
                <w:rFonts w:ascii="仿宋_GB2312" w:hAnsi="宋体" w:eastAsia="仿宋_GB2312" w:cs="宋体"/>
                <w:sz w:val="32"/>
                <w:szCs w:val="32"/>
              </w:rPr>
            </w:pPr>
            <w:r>
              <w:rPr>
                <w:rFonts w:hint="eastAsia" w:ascii="仿宋_GB2312" w:eastAsia="仿宋_GB2312"/>
                <w:sz w:val="32"/>
                <w:szCs w:val="32"/>
              </w:rPr>
              <w:t>足额及时兑付到农户</w:t>
            </w:r>
          </w:p>
        </w:tc>
        <w:tc>
          <w:tcPr>
            <w:tcW w:w="3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684E3C">
            <w:pPr>
              <w:rPr>
                <w:rFonts w:ascii="仿宋_GB2312" w:hAnsi="宋体" w:eastAsia="仿宋_GB2312" w:cs="宋体"/>
                <w:sz w:val="32"/>
                <w:szCs w:val="32"/>
              </w:rPr>
            </w:pPr>
            <w:r>
              <w:rPr>
                <w:rFonts w:hint="eastAsia" w:ascii="仿宋_GB2312" w:eastAsia="仿宋_GB2312"/>
                <w:sz w:val="32"/>
                <w:szCs w:val="32"/>
              </w:rPr>
              <w:t>兑付率100%，准确率达100%</w:t>
            </w:r>
          </w:p>
        </w:tc>
      </w:tr>
      <w:tr w14:paraId="3B141D6E">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3EF7B453">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C6F891">
            <w:pPr>
              <w:jc w:val="center"/>
              <w:rPr>
                <w:rFonts w:ascii="仿宋_GB2312" w:hAnsi="宋体" w:eastAsia="仿宋_GB2312" w:cs="宋体"/>
                <w:sz w:val="32"/>
                <w:szCs w:val="32"/>
              </w:rPr>
            </w:pPr>
            <w:r>
              <w:rPr>
                <w:rFonts w:hint="eastAsia" w:ascii="仿宋_GB2312" w:eastAsia="仿宋_GB2312"/>
                <w:sz w:val="32"/>
                <w:szCs w:val="32"/>
              </w:rPr>
              <w:t>时效指标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852999">
            <w:pPr>
              <w:rPr>
                <w:rFonts w:ascii="仿宋_GB2312" w:hAnsi="宋体" w:eastAsia="仿宋_GB2312" w:cs="宋体"/>
                <w:sz w:val="32"/>
                <w:szCs w:val="32"/>
              </w:rPr>
            </w:pPr>
            <w:r>
              <w:rPr>
                <w:rFonts w:hint="eastAsia" w:ascii="仿宋_GB2312" w:eastAsia="仿宋_GB2312"/>
                <w:sz w:val="32"/>
                <w:szCs w:val="32"/>
              </w:rPr>
              <w:t>完成时间</w:t>
            </w:r>
          </w:p>
        </w:tc>
        <w:tc>
          <w:tcPr>
            <w:tcW w:w="3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5E3C386">
            <w:pPr>
              <w:rPr>
                <w:rFonts w:ascii="仿宋_GB2312" w:hAnsi="宋体" w:eastAsia="仿宋_GB2312" w:cs="宋体"/>
                <w:sz w:val="32"/>
                <w:szCs w:val="32"/>
              </w:rPr>
            </w:pPr>
            <w:r>
              <w:rPr>
                <w:rFonts w:hint="eastAsia" w:ascii="仿宋_GB2312" w:eastAsia="仿宋_GB2312"/>
                <w:sz w:val="32"/>
                <w:szCs w:val="32"/>
              </w:rPr>
              <w:t>2020年10月底以前</w:t>
            </w:r>
          </w:p>
        </w:tc>
      </w:tr>
      <w:tr w14:paraId="59B5C1EA">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2DA6E18B">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3CD10B">
            <w:pPr>
              <w:jc w:val="center"/>
              <w:rPr>
                <w:rFonts w:ascii="仿宋_GB2312" w:hAnsi="宋体" w:eastAsia="仿宋_GB2312" w:cs="宋体"/>
                <w:sz w:val="32"/>
                <w:szCs w:val="32"/>
              </w:rPr>
            </w:pPr>
            <w:r>
              <w:rPr>
                <w:rFonts w:hint="eastAsia" w:ascii="仿宋_GB2312" w:eastAsia="仿宋_GB2312"/>
                <w:sz w:val="32"/>
                <w:szCs w:val="32"/>
              </w:rPr>
              <w:t>成本指标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3BEB671">
            <w:pPr>
              <w:rPr>
                <w:rFonts w:ascii="仿宋_GB2312" w:hAnsi="宋体" w:eastAsia="仿宋_GB2312" w:cs="宋体"/>
                <w:sz w:val="32"/>
                <w:szCs w:val="32"/>
              </w:rPr>
            </w:pPr>
            <w:r>
              <w:rPr>
                <w:rFonts w:hint="eastAsia" w:ascii="仿宋_GB2312" w:eastAsia="仿宋_GB2312"/>
                <w:sz w:val="32"/>
                <w:szCs w:val="32"/>
              </w:rPr>
              <w:t>亩青苗补偿成本</w:t>
            </w:r>
          </w:p>
        </w:tc>
        <w:tc>
          <w:tcPr>
            <w:tcW w:w="3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BFB227">
            <w:pPr>
              <w:rPr>
                <w:rFonts w:ascii="仿宋_GB2312" w:hAnsi="宋体" w:eastAsia="仿宋_GB2312" w:cs="宋体"/>
                <w:sz w:val="32"/>
                <w:szCs w:val="32"/>
              </w:rPr>
            </w:pPr>
            <w:r>
              <w:rPr>
                <w:rFonts w:hint="eastAsia" w:ascii="仿宋_GB2312" w:eastAsia="仿宋_GB2312"/>
                <w:sz w:val="32"/>
                <w:szCs w:val="32"/>
              </w:rPr>
              <w:t>年亩成本</w:t>
            </w:r>
            <w:r>
              <w:rPr>
                <w:rFonts w:hint="eastAsia" w:ascii="仿宋_GB2312" w:hAnsi="宋体" w:cs="宋体"/>
                <w:sz w:val="32"/>
                <w:szCs w:val="32"/>
              </w:rPr>
              <w:t>≦</w:t>
            </w:r>
            <w:r>
              <w:rPr>
                <w:rFonts w:hint="eastAsia" w:ascii="仿宋_GB2312" w:eastAsia="仿宋_GB2312"/>
                <w:sz w:val="32"/>
                <w:szCs w:val="32"/>
              </w:rPr>
              <w:t>1250元</w:t>
            </w:r>
          </w:p>
        </w:tc>
      </w:tr>
      <w:tr w14:paraId="5CC0B4F5">
        <w:tblPrEx>
          <w:tblCellMar>
            <w:top w:w="0" w:type="dxa"/>
            <w:left w:w="0" w:type="dxa"/>
            <w:bottom w:w="0" w:type="dxa"/>
            <w:right w:w="0" w:type="dxa"/>
          </w:tblCellMar>
        </w:tblPrEx>
        <w:trPr>
          <w:trHeight w:val="720" w:hRule="atLeast"/>
        </w:trPr>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5A063EF2">
            <w:pPr>
              <w:jc w:val="center"/>
              <w:rPr>
                <w:rFonts w:ascii="仿宋_GB2312" w:hAnsi="宋体" w:eastAsia="仿宋_GB2312" w:cs="宋体"/>
                <w:sz w:val="32"/>
                <w:szCs w:val="32"/>
              </w:rPr>
            </w:pPr>
            <w:r>
              <w:rPr>
                <w:rFonts w:hint="eastAsia" w:ascii="仿宋_GB2312" w:eastAsia="仿宋_GB2312"/>
                <w:sz w:val="32"/>
                <w:szCs w:val="32"/>
              </w:rPr>
              <w:t>效益指标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3EA07B27">
            <w:pPr>
              <w:jc w:val="center"/>
              <w:rPr>
                <w:rFonts w:ascii="仿宋_GB2312" w:hAnsi="宋体" w:eastAsia="仿宋_GB2312" w:cs="宋体"/>
                <w:sz w:val="32"/>
                <w:szCs w:val="32"/>
              </w:rPr>
            </w:pPr>
            <w:r>
              <w:rPr>
                <w:rFonts w:hint="eastAsia" w:ascii="仿宋_GB2312" w:eastAsia="仿宋_GB2312"/>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A35859">
            <w:pPr>
              <w:rPr>
                <w:rFonts w:ascii="仿宋_GB2312" w:hAnsi="宋体" w:eastAsia="仿宋_GB2312" w:cs="宋体"/>
                <w:sz w:val="32"/>
                <w:szCs w:val="32"/>
              </w:rPr>
            </w:pPr>
            <w:r>
              <w:rPr>
                <w:rFonts w:hint="eastAsia" w:ascii="仿宋_GB2312" w:eastAsia="仿宋_GB2312"/>
                <w:sz w:val="32"/>
                <w:szCs w:val="32"/>
              </w:rPr>
              <w:t>保持社会稳定，消除稳定隐患</w:t>
            </w:r>
          </w:p>
        </w:tc>
        <w:tc>
          <w:tcPr>
            <w:tcW w:w="3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F65EA0C">
            <w:pPr>
              <w:rPr>
                <w:rFonts w:ascii="仿宋_GB2312" w:hAnsi="宋体" w:eastAsia="仿宋_GB2312" w:cs="宋体"/>
                <w:sz w:val="32"/>
                <w:szCs w:val="32"/>
              </w:rPr>
            </w:pPr>
            <w:r>
              <w:rPr>
                <w:rFonts w:hint="eastAsia" w:ascii="仿宋_GB2312" w:eastAsia="仿宋_GB2312"/>
                <w:sz w:val="32"/>
                <w:szCs w:val="32"/>
              </w:rPr>
              <w:t>避免群访事件，维护社会稳定，消除稳定隐患</w:t>
            </w:r>
          </w:p>
        </w:tc>
      </w:tr>
      <w:tr w14:paraId="7F623C21">
        <w:tblPrEx>
          <w:tblCellMar>
            <w:top w:w="0" w:type="dxa"/>
            <w:left w:w="0" w:type="dxa"/>
            <w:bottom w:w="0" w:type="dxa"/>
            <w:right w:w="0"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vAlign w:val="center"/>
          </w:tcPr>
          <w:p w14:paraId="06491F3E">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D3DCFD">
            <w:pPr>
              <w:jc w:val="center"/>
              <w:rPr>
                <w:rFonts w:ascii="仿宋_GB2312" w:hAnsi="宋体" w:eastAsia="仿宋_GB2312" w:cs="宋体"/>
                <w:sz w:val="32"/>
                <w:szCs w:val="32"/>
              </w:rPr>
            </w:pPr>
            <w:r>
              <w:rPr>
                <w:rFonts w:hint="eastAsia" w:ascii="仿宋_GB2312" w:eastAsia="仿宋_GB2312"/>
                <w:sz w:val="32"/>
                <w:szCs w:val="32"/>
              </w:rPr>
              <w:t>可持续影响指标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9B07F2A">
            <w:pPr>
              <w:rPr>
                <w:rFonts w:ascii="仿宋_GB2312" w:hAnsi="宋体" w:eastAsia="仿宋_GB2312" w:cs="宋体"/>
                <w:sz w:val="32"/>
                <w:szCs w:val="32"/>
              </w:rPr>
            </w:pPr>
            <w:r>
              <w:rPr>
                <w:rFonts w:hint="eastAsia" w:ascii="仿宋_GB2312" w:eastAsia="仿宋_GB2312"/>
                <w:sz w:val="32"/>
                <w:szCs w:val="32"/>
              </w:rPr>
              <w:t>项目可持续发挥作用期限</w:t>
            </w:r>
          </w:p>
        </w:tc>
        <w:tc>
          <w:tcPr>
            <w:tcW w:w="3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C82876">
            <w:pPr>
              <w:rPr>
                <w:rFonts w:ascii="仿宋_GB2312" w:hAnsi="宋体" w:eastAsia="仿宋_GB2312" w:cs="宋体"/>
                <w:sz w:val="32"/>
                <w:szCs w:val="32"/>
              </w:rPr>
            </w:pPr>
            <w:r>
              <w:rPr>
                <w:rFonts w:hint="eastAsia" w:ascii="仿宋_GB2312" w:eastAsia="仿宋_GB2312"/>
                <w:sz w:val="32"/>
                <w:szCs w:val="32"/>
              </w:rPr>
              <w:t>长期</w:t>
            </w:r>
          </w:p>
        </w:tc>
      </w:tr>
      <w:tr w14:paraId="15420513">
        <w:tblPrEx>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99D9DF">
            <w:pPr>
              <w:jc w:val="center"/>
              <w:rPr>
                <w:rFonts w:ascii="仿宋_GB2312" w:hAnsi="宋体" w:eastAsia="仿宋_GB2312" w:cs="宋体"/>
                <w:sz w:val="32"/>
                <w:szCs w:val="32"/>
              </w:rPr>
            </w:pPr>
            <w:r>
              <w:rPr>
                <w:rFonts w:hint="eastAsia" w:ascii="仿宋_GB2312" w:eastAsia="仿宋_GB2312"/>
                <w:sz w:val="32"/>
                <w:szCs w:val="32"/>
              </w:rPr>
              <w:t>满意度指标</w:t>
            </w:r>
          </w:p>
        </w:tc>
        <w:tc>
          <w:tcPr>
            <w:tcW w:w="8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CDC0F5D">
            <w:pPr>
              <w:jc w:val="center"/>
              <w:rPr>
                <w:rFonts w:ascii="仿宋_GB2312" w:hAnsi="宋体" w:eastAsia="仿宋_GB2312" w:cs="宋体"/>
                <w:sz w:val="32"/>
                <w:szCs w:val="32"/>
              </w:rPr>
            </w:pPr>
            <w:r>
              <w:rPr>
                <w:rFonts w:hint="eastAsia" w:ascii="仿宋_GB2312" w:eastAsia="仿宋_GB2312"/>
                <w:sz w:val="32"/>
                <w:szCs w:val="32"/>
              </w:rPr>
              <w:t>服务对象满意度指标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B25B28">
            <w:pPr>
              <w:rPr>
                <w:rFonts w:ascii="仿宋_GB2312" w:hAnsi="宋体" w:eastAsia="仿宋_GB2312" w:cs="宋体"/>
                <w:sz w:val="32"/>
                <w:szCs w:val="32"/>
              </w:rPr>
            </w:pPr>
            <w:r>
              <w:rPr>
                <w:rFonts w:hint="eastAsia" w:ascii="仿宋_GB2312" w:eastAsia="仿宋_GB2312"/>
                <w:sz w:val="32"/>
                <w:szCs w:val="32"/>
              </w:rPr>
              <w:t>受益群众满意度</w:t>
            </w:r>
          </w:p>
        </w:tc>
        <w:tc>
          <w:tcPr>
            <w:tcW w:w="342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AC8D67">
            <w:pPr>
              <w:rPr>
                <w:rFonts w:ascii="仿宋_GB2312" w:hAnsi="宋体" w:eastAsia="仿宋_GB2312" w:cs="宋体"/>
                <w:sz w:val="32"/>
                <w:szCs w:val="32"/>
              </w:rPr>
            </w:pPr>
            <w:r>
              <w:rPr>
                <w:rFonts w:hint="eastAsia" w:ascii="仿宋_GB2312" w:hAnsi="宋体" w:cs="宋体"/>
                <w:sz w:val="32"/>
                <w:szCs w:val="32"/>
              </w:rPr>
              <w:t>≧</w:t>
            </w:r>
            <w:r>
              <w:rPr>
                <w:rFonts w:hint="eastAsia" w:ascii="仿宋_GB2312" w:eastAsia="仿宋_GB2312"/>
                <w:sz w:val="32"/>
                <w:szCs w:val="32"/>
              </w:rPr>
              <w:t>98%</w:t>
            </w:r>
          </w:p>
        </w:tc>
      </w:tr>
    </w:tbl>
    <w:p w14:paraId="2724EA4B">
      <w:pPr>
        <w:adjustRightInd w:val="0"/>
        <w:snapToGrid w:val="0"/>
        <w:spacing w:line="560" w:lineRule="exact"/>
        <w:rPr>
          <w:rFonts w:ascii="仿宋_GB2312" w:hAnsi="宋体" w:eastAsia="仿宋_GB2312"/>
          <w:sz w:val="32"/>
          <w:szCs w:val="32"/>
          <w:lang w:val="zh-CN"/>
        </w:rPr>
      </w:pPr>
      <w:r>
        <w:rPr>
          <w:rFonts w:hint="eastAsia" w:ascii="仿宋_GB2312" w:hAnsi="宋体" w:eastAsia="仿宋_GB2312"/>
          <w:sz w:val="32"/>
          <w:szCs w:val="32"/>
          <w:lang w:val="zh-CN"/>
        </w:rPr>
        <w:t xml:space="preserve">      2．项目绩效目标实现情况</w:t>
      </w:r>
    </w:p>
    <w:p w14:paraId="2F97F102">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2020年12月底前，该项目资金已全额兑付到17个组138户受益农户手中，没有发生差错和遗漏情况，群众反映好，有效的维护了社会稳定。</w:t>
      </w:r>
    </w:p>
    <w:p w14:paraId="3A5F56DF">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3．项目绩效目标编制质量评价</w:t>
      </w:r>
    </w:p>
    <w:p w14:paraId="004BF60E">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该项目绩效目标编制规范，符合项目资金规定的开支范围，绩效目标明确、清晰，效益明显。绩效目标申报与绩效目标实现情况完全相符。</w:t>
      </w:r>
    </w:p>
    <w:p w14:paraId="5FC10127">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（三）项目绩效自评步骤及方法</w:t>
      </w:r>
    </w:p>
    <w:p w14:paraId="09FD36AB">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本项目绩效自评分三个阶段，即评价准备阶段、自评阶段和终评阶段。</w:t>
      </w:r>
    </w:p>
    <w:p w14:paraId="0A4B2BF8">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准备阶段</w:t>
      </w:r>
      <w:r>
        <w:rPr>
          <w:rFonts w:hint="eastAsia" w:ascii="仿宋_GB2312" w:hAnsi="宋体" w:eastAsia="仿宋_GB2312"/>
          <w:sz w:val="32"/>
          <w:szCs w:val="32"/>
        </w:rPr>
        <w:t xml:space="preserve">  由镇财政所提供项目财务会计资料，并组织相关职能部门收集项目绩效映衬资料，制定评价实施方案，确定评价指标细则等工作。</w:t>
      </w:r>
    </w:p>
    <w:p w14:paraId="72F9AAE9">
      <w:pPr>
        <w:spacing w:line="560" w:lineRule="exact"/>
        <w:ind w:firstLine="640"/>
        <w:rPr>
          <w:rFonts w:ascii="仿宋_GB2312" w:hAnsi="宋体" w:eastAsia="仿宋_GB2312"/>
          <w:sz w:val="32"/>
          <w:szCs w:val="32"/>
        </w:rPr>
      </w:pPr>
      <w:r>
        <w:rPr>
          <w:rFonts w:hint="eastAsia" w:ascii="仿宋_GB2312" w:hAnsi="宋体" w:eastAsia="仿宋_GB2312"/>
          <w:b/>
          <w:sz w:val="32"/>
          <w:szCs w:val="32"/>
        </w:rPr>
        <w:t>自评阶段</w:t>
      </w:r>
      <w:r>
        <w:rPr>
          <w:rFonts w:hint="eastAsia" w:ascii="仿宋_GB2312" w:hAnsi="宋体" w:eastAsia="仿宋_GB2312"/>
          <w:sz w:val="32"/>
          <w:szCs w:val="32"/>
        </w:rPr>
        <w:t xml:space="preserve">  按照财政资金运用方向，确定归口使用管理部门开展自评，按照绩效目标申报情况，从绩效目标设置和合理性、科学性开展评价，分析绩效目标申报与实现情况差异原因，分析绩效目标效益发挥情况，评价项目绩效目标质量控制情况，并对项目资金分配与使用管理，支付程序与审核审批，结算审查等方面开展自评，各职能部门自评情况交由镇财政所汇总。</w:t>
      </w:r>
    </w:p>
    <w:p w14:paraId="05571063">
      <w:pPr>
        <w:adjustRightInd w:val="0"/>
        <w:snapToGrid w:val="0"/>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sz w:val="32"/>
          <w:szCs w:val="32"/>
        </w:rPr>
        <w:t>终评阶段</w:t>
      </w:r>
      <w:r>
        <w:rPr>
          <w:rFonts w:hint="eastAsia" w:ascii="仿宋_GB2312" w:hAnsi="宋体" w:eastAsia="仿宋_GB2312"/>
          <w:sz w:val="32"/>
          <w:szCs w:val="32"/>
        </w:rPr>
        <w:t xml:space="preserve">  首先，组织相关职能部门召开终评会议，讨论各职能部门初评自评情况；其次，通过核查相关项目文件资料，查阅会计档案、会计凭证和会计报表，对各职能部门自评结果进行定量定性分析；最后，经综合评议形成评价结论。并依据综合评价结论编制各项目绩效评价报告。</w:t>
      </w:r>
    </w:p>
    <w:p w14:paraId="12B21E95">
      <w:pPr>
        <w:adjustRightInd w:val="0"/>
        <w:snapToGrid w:val="0"/>
        <w:spacing w:line="560" w:lineRule="exact"/>
        <w:ind w:left="105" w:leftChars="50" w:firstLine="643" w:firstLineChars="200"/>
        <w:rPr>
          <w:rFonts w:ascii="仿宋_GB2312" w:hAnsi="宋体" w:eastAsia="仿宋_GB2312"/>
          <w:b/>
          <w:sz w:val="32"/>
          <w:szCs w:val="32"/>
        </w:rPr>
      </w:pPr>
      <w:r>
        <w:rPr>
          <w:rFonts w:hint="eastAsia" w:ascii="仿宋_GB2312" w:hAnsi="宋体" w:eastAsia="仿宋_GB2312"/>
          <w:b/>
          <w:sz w:val="32"/>
          <w:szCs w:val="32"/>
        </w:rPr>
        <w:t>二、项目资金申报及使用情况</w:t>
      </w:r>
    </w:p>
    <w:p w14:paraId="6BB0E2B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（一）项目资金申报及批复情况。</w:t>
      </w:r>
    </w:p>
    <w:p w14:paraId="62E7957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本项目没有年初财政预算安排支出，项目立项申报批复后，本年度财政追加预算项目支出28.51万元。</w:t>
      </w:r>
    </w:p>
    <w:p w14:paraId="0F7E04D6">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cs="宋体"/>
          <w:b/>
          <w:sz w:val="32"/>
          <w:szCs w:val="32"/>
          <w:lang w:val="zh-CN"/>
        </w:rPr>
        <w:t xml:space="preserve"> </w:t>
      </w:r>
      <w:r>
        <w:rPr>
          <w:rFonts w:hint="eastAsia" w:ascii="仿宋_GB2312" w:hAnsi="宋体" w:eastAsia="仿宋_GB2312"/>
          <w:sz w:val="32"/>
          <w:szCs w:val="32"/>
          <w:lang w:val="zh-CN"/>
        </w:rPr>
        <w:t>2020年，批复项目预算支出28.51万元。预算调整及预算执行符合相关项目资金管理规定。</w:t>
      </w:r>
    </w:p>
    <w:p w14:paraId="5C8F6719">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（二）项目资金计划、到位及使用情况   </w:t>
      </w:r>
    </w:p>
    <w:p w14:paraId="2777573E">
      <w:pPr>
        <w:adjustRightInd w:val="0"/>
        <w:snapToGrid w:val="0"/>
        <w:spacing w:line="560" w:lineRule="exact"/>
        <w:ind w:firstLine="320" w:firstLineChars="100"/>
        <w:rPr>
          <w:rFonts w:ascii="仿宋_GB2312" w:hAnsi="宋体" w:eastAsia="仿宋_GB2312"/>
          <w:sz w:val="32"/>
          <w:szCs w:val="32"/>
          <w:lang w:val="zh-CN"/>
        </w:rPr>
      </w:pPr>
      <w:r>
        <w:rPr>
          <w:rFonts w:hint="eastAsia" w:ascii="仿宋_GB2312" w:hAnsi="宋体" w:eastAsia="仿宋_GB2312"/>
          <w:sz w:val="32"/>
          <w:szCs w:val="32"/>
          <w:lang w:val="zh-CN"/>
        </w:rPr>
        <w:t xml:space="preserve">   1．项目资金计划情况</w:t>
      </w:r>
    </w:p>
    <w:p w14:paraId="3E86C778">
      <w:pPr>
        <w:adjustRightInd w:val="0"/>
        <w:snapToGrid w:val="0"/>
        <w:spacing w:line="560" w:lineRule="exact"/>
        <w:ind w:firstLine="320" w:firstLineChars="100"/>
        <w:rPr>
          <w:rFonts w:ascii="仿宋_GB2312" w:hAnsi="宋体" w:eastAsia="仿宋_GB2312"/>
          <w:sz w:val="32"/>
          <w:szCs w:val="32"/>
          <w:lang w:val="zh-CN"/>
        </w:rPr>
      </w:pPr>
      <w:r>
        <w:rPr>
          <w:rFonts w:hint="eastAsia" w:ascii="仿宋_GB2312" w:hAnsi="宋体" w:eastAsia="仿宋_GB2312"/>
          <w:sz w:val="32"/>
          <w:szCs w:val="32"/>
          <w:lang w:val="zh-CN"/>
        </w:rPr>
        <w:t xml:space="preserve">   按照合同约定的占地面积及补偿费标准，本年度申请计划资金额度为28.51万元。</w:t>
      </w:r>
    </w:p>
    <w:p w14:paraId="6BEE7761">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2．项目资金到位情况</w:t>
      </w:r>
    </w:p>
    <w:p w14:paraId="3D8F2DE4">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该项目本年度实际到位资金28.51万元。</w:t>
      </w:r>
    </w:p>
    <w:p w14:paraId="3A06DB5F">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3．项目资金使用情况</w:t>
      </w:r>
    </w:p>
    <w:p w14:paraId="2B717BFF">
      <w:pPr>
        <w:adjustRightInd w:val="0"/>
        <w:snapToGrid w:val="0"/>
        <w:spacing w:line="560" w:lineRule="exact"/>
        <w:ind w:firstLine="645"/>
        <w:rPr>
          <w:rFonts w:ascii="仿宋_GB2312" w:hAnsi="宋体" w:eastAsia="仿宋_GB2312"/>
          <w:sz w:val="32"/>
          <w:szCs w:val="32"/>
          <w:lang w:val="zh-CN"/>
        </w:rPr>
      </w:pPr>
      <w:r>
        <w:rPr>
          <w:rFonts w:hint="eastAsia" w:ascii="仿宋_GB2312" w:hAnsi="宋体" w:eastAsia="仿宋_GB2312"/>
          <w:sz w:val="32"/>
          <w:szCs w:val="32"/>
          <w:lang w:val="zh-CN"/>
        </w:rPr>
        <w:t>本年度安排使用到位项目资金28.51万元。</w:t>
      </w:r>
    </w:p>
    <w:p w14:paraId="1D8A1308">
      <w:pPr>
        <w:adjustRightInd w:val="0"/>
        <w:snapToGrid w:val="0"/>
        <w:spacing w:line="56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（三）项目财务管理情况。</w:t>
      </w:r>
    </w:p>
    <w:p w14:paraId="2F0C14D3">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cs="宋体"/>
          <w:sz w:val="32"/>
          <w:szCs w:val="32"/>
          <w:lang w:val="zh-CN"/>
        </w:rPr>
        <w:t>该项目资金受益的是各农户，资金财务管理严格按照本部门财务管理制度和项目资金管理办法执行。严格项目资金申拨程序和审批权限，实行国库集中支付，保证专款专用。</w:t>
      </w:r>
    </w:p>
    <w:p w14:paraId="53AF400F">
      <w:pPr>
        <w:adjustRightInd w:val="0"/>
        <w:snapToGrid w:val="0"/>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三、项目实施及管理情况</w:t>
      </w:r>
    </w:p>
    <w:p w14:paraId="73EC87FD">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（一）项目组织架构及实施流程</w:t>
      </w:r>
    </w:p>
    <w:p w14:paraId="13C0621B">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该项目由镇党委政府统筹管理，由本单位下设职能部门即乡村振兴办公室组织实施。乡村振兴办公室负责拟定项目资金用款计划，资金计算分配，监督资金分配到户情况，公示情况等。</w:t>
      </w:r>
    </w:p>
    <w:p w14:paraId="1F6452FC">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（二）项目管理情况</w:t>
      </w:r>
    </w:p>
    <w:p w14:paraId="6875AF83">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该项目由本单位下设的乡村振兴办公室负责管理。重点是项目资金分配到户情况，公示公开情况，督查检查项目资金是否存在截留、挤占、挪用等现象。</w:t>
      </w:r>
    </w:p>
    <w:p w14:paraId="3E6A812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（三）项目监管情况</w:t>
      </w:r>
    </w:p>
    <w:p w14:paraId="2906828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项目监管主要采取以下措施：</w:t>
      </w:r>
    </w:p>
    <w:p w14:paraId="750C9FF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一是监督检查项目资金使用管理情况，是否存在截留、挤占、挪用等现象。</w:t>
      </w:r>
    </w:p>
    <w:p w14:paraId="0C0CED6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二是核查项目资金计算分配到户情况，是否存在遗漏，是否存在计算不准确，计算到户情况是否进行了公示公开，兑付到户时限是否及时等。</w:t>
      </w:r>
    </w:p>
    <w:p w14:paraId="5CEBBF25">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四、绩效目标情况</w:t>
      </w:r>
    </w:p>
    <w:p w14:paraId="558DF45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（一）项目完成情况</w:t>
      </w:r>
    </w:p>
    <w:p w14:paraId="76B95B6C">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该项目于2020年12月底前全面完成，项目资金已全额兑付到3个村17个组138户受益农户手中，无一差错，群众反映良好，深受群众好评。</w:t>
      </w:r>
    </w:p>
    <w:p w14:paraId="629964D9">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（二）项目效益情况</w:t>
      </w:r>
    </w:p>
    <w:p w14:paraId="63643A62">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该项目实施，产生了以下几方面效益</w:t>
      </w:r>
    </w:p>
    <w:p w14:paraId="5504BF16">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经济效益：</w:t>
      </w:r>
      <w:r>
        <w:rPr>
          <w:rFonts w:hint="eastAsia" w:ascii="仿宋_GB2312" w:hAnsi="宋体" w:eastAsia="仿宋_GB2312"/>
          <w:sz w:val="32"/>
          <w:szCs w:val="32"/>
          <w:lang w:val="zh-CN"/>
        </w:rPr>
        <w:t xml:space="preserve"> 该项目不直接产生经济效益。</w:t>
      </w:r>
    </w:p>
    <w:p w14:paraId="225AABF3">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社会效益：</w:t>
      </w:r>
      <w:r>
        <w:rPr>
          <w:rFonts w:hint="eastAsia" w:ascii="仿宋_GB2312" w:hAnsi="宋体" w:eastAsia="仿宋_GB2312"/>
          <w:sz w:val="32"/>
          <w:szCs w:val="32"/>
          <w:lang w:val="zh-CN"/>
        </w:rPr>
        <w:t xml:space="preserve"> 该项目的社会效益突出表现在保障了广大群众的利益，有效防治了因群众的合法受到影响而引发的社会矛盾，维护了社会稳定。</w:t>
      </w:r>
    </w:p>
    <w:p w14:paraId="3E89DE36">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可持续效益：</w:t>
      </w:r>
      <w:r>
        <w:rPr>
          <w:rFonts w:hint="eastAsia" w:ascii="仿宋_GB2312" w:hAnsi="宋体" w:eastAsia="仿宋_GB2312"/>
          <w:sz w:val="32"/>
          <w:szCs w:val="32"/>
          <w:lang w:val="zh-CN"/>
        </w:rPr>
        <w:t>具有长期发挥效益作用。</w:t>
      </w:r>
    </w:p>
    <w:p w14:paraId="7A36FFE2">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群众满意度：</w:t>
      </w:r>
      <w:r>
        <w:rPr>
          <w:rFonts w:hint="eastAsia" w:ascii="仿宋_GB2312" w:hAnsi="宋体" w:eastAsia="仿宋_GB2312"/>
          <w:sz w:val="32"/>
          <w:szCs w:val="32"/>
          <w:lang w:val="zh-CN"/>
        </w:rPr>
        <w:t>群众满意度可达98%以上。</w:t>
      </w:r>
    </w:p>
    <w:p w14:paraId="2B7B15F1">
      <w:pPr>
        <w:adjustRightInd w:val="0"/>
        <w:snapToGrid w:val="0"/>
        <w:spacing w:line="560" w:lineRule="exact"/>
        <w:ind w:firstLine="720"/>
        <w:rPr>
          <w:rFonts w:ascii="仿宋_GB2312" w:hAnsi="宋体" w:eastAsia="仿宋_GB2312"/>
          <w:b/>
          <w:sz w:val="32"/>
          <w:szCs w:val="32"/>
        </w:rPr>
      </w:pPr>
      <w:r>
        <w:rPr>
          <w:rFonts w:hint="eastAsia" w:ascii="仿宋_GB2312" w:hAnsi="宋体" w:eastAsia="仿宋_GB2312"/>
          <w:b/>
          <w:sz w:val="32"/>
          <w:szCs w:val="32"/>
        </w:rPr>
        <w:t>五、评价结论</w:t>
      </w:r>
    </w:p>
    <w:p w14:paraId="41588CE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该</w:t>
      </w:r>
      <w:r>
        <w:rPr>
          <w:rFonts w:hint="eastAsia" w:ascii="仿宋_GB2312" w:hAnsi="宋体" w:eastAsia="仿宋_GB2312"/>
          <w:sz w:val="32"/>
          <w:szCs w:val="32"/>
          <w:lang w:val="zh-CN"/>
        </w:rPr>
        <w:t>项目</w:t>
      </w:r>
      <w:r>
        <w:rPr>
          <w:rFonts w:hint="eastAsia" w:ascii="仿宋_GB2312" w:hAnsi="宋体" w:eastAsia="仿宋_GB2312" w:cs="宋体"/>
          <w:sz w:val="32"/>
          <w:szCs w:val="32"/>
          <w:lang w:val="zh-CN"/>
        </w:rPr>
        <w:t>突出了“保重点、保稳定、保民生”的特点，</w:t>
      </w:r>
      <w:r>
        <w:rPr>
          <w:rFonts w:hint="eastAsia" w:ascii="仿宋_GB2312" w:hAnsi="宋体" w:eastAsia="仿宋_GB2312"/>
          <w:sz w:val="32"/>
          <w:szCs w:val="32"/>
          <w:lang w:val="zh-CN"/>
        </w:rPr>
        <w:t>深受群众好评。</w:t>
      </w:r>
    </w:p>
    <w:p w14:paraId="1EC8A00D">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sz w:val="32"/>
          <w:szCs w:val="32"/>
          <w:lang w:val="zh-CN"/>
        </w:rPr>
        <w:t>该项目总体评价结论是：项目申报重点突出，管理规范，组织严密，流程清晰，监督有力；项目资金使用管理科学、绩效目标完成较好，达到预期效果。</w:t>
      </w:r>
    </w:p>
    <w:p w14:paraId="2A806AF7">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六、问题及建议</w:t>
      </w:r>
    </w:p>
    <w:p w14:paraId="0216106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（一）存在的问题</w:t>
      </w:r>
    </w:p>
    <w:p w14:paraId="7206BA5E">
      <w:pPr>
        <w:adjustRightInd w:val="0"/>
        <w:snapToGrid w:val="0"/>
        <w:spacing w:line="560" w:lineRule="exact"/>
        <w:ind w:firstLine="880" w:firstLineChars="275"/>
        <w:rPr>
          <w:rFonts w:ascii="仿宋_GB2312" w:hAnsi="宋体" w:eastAsia="仿宋_GB2312"/>
          <w:sz w:val="32"/>
          <w:szCs w:val="32"/>
          <w:lang w:val="zh-CN"/>
        </w:rPr>
      </w:pPr>
      <w:r>
        <w:rPr>
          <w:rFonts w:hint="eastAsia" w:ascii="仿宋_GB2312" w:hAnsi="宋体" w:eastAsia="仿宋_GB2312"/>
          <w:sz w:val="32"/>
          <w:szCs w:val="32"/>
          <w:lang w:val="zh-CN"/>
        </w:rPr>
        <w:t>无。</w:t>
      </w:r>
    </w:p>
    <w:p w14:paraId="55761A1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（二）相关建议</w:t>
      </w:r>
    </w:p>
    <w:p w14:paraId="30B492A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1．加强村（社区）会计培训。一是强化财经法规、规章制度培训；二是业务技能和操作实务培训。明确由财政部门负责村（社区）会计管理和业务培训工作。</w:t>
      </w:r>
    </w:p>
    <w:p w14:paraId="2D9170E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3．保持村（社区）财务人员相对稳定。减少因村（社区）领导班子换届影响村（社区）财务人员频繁变动。</w:t>
      </w:r>
    </w:p>
    <w:p w14:paraId="7B3EE269">
      <w:pPr>
        <w:spacing w:line="600" w:lineRule="exact"/>
        <w:jc w:val="center"/>
        <w:outlineLvl w:val="0"/>
        <w:rPr>
          <w:rFonts w:ascii="黑体" w:hAnsi="黑体" w:eastAsia="黑体" w:cs="黑体"/>
          <w:sz w:val="44"/>
          <w:szCs w:val="44"/>
        </w:rPr>
      </w:pPr>
    </w:p>
    <w:p w14:paraId="185E5CF2">
      <w:pPr>
        <w:spacing w:line="600" w:lineRule="exact"/>
        <w:jc w:val="center"/>
        <w:outlineLvl w:val="0"/>
        <w:rPr>
          <w:rFonts w:ascii="黑体" w:hAnsi="黑体" w:eastAsia="黑体" w:cs="黑体"/>
          <w:sz w:val="44"/>
          <w:szCs w:val="44"/>
        </w:rPr>
      </w:pPr>
    </w:p>
    <w:p w14:paraId="3D761BDE">
      <w:pPr>
        <w:spacing w:line="600" w:lineRule="exact"/>
        <w:jc w:val="center"/>
        <w:outlineLvl w:val="0"/>
        <w:rPr>
          <w:rFonts w:ascii="黑体" w:hAnsi="黑体" w:eastAsia="黑体" w:cs="黑体"/>
          <w:sz w:val="44"/>
          <w:szCs w:val="44"/>
        </w:rPr>
      </w:pPr>
    </w:p>
    <w:p w14:paraId="55B22E80">
      <w:pPr>
        <w:spacing w:line="600" w:lineRule="exact"/>
        <w:jc w:val="center"/>
        <w:outlineLvl w:val="0"/>
        <w:rPr>
          <w:rFonts w:ascii="黑体" w:hAnsi="黑体" w:eastAsia="黑体" w:cs="黑体"/>
          <w:sz w:val="44"/>
          <w:szCs w:val="44"/>
        </w:rPr>
      </w:pPr>
    </w:p>
    <w:p w14:paraId="004A38D5">
      <w:pPr>
        <w:spacing w:line="600" w:lineRule="exact"/>
        <w:jc w:val="center"/>
        <w:outlineLvl w:val="0"/>
        <w:rPr>
          <w:rFonts w:ascii="黑体" w:hAnsi="黑体" w:eastAsia="黑体" w:cs="黑体"/>
          <w:sz w:val="44"/>
          <w:szCs w:val="44"/>
        </w:rPr>
      </w:pPr>
    </w:p>
    <w:p w14:paraId="7A1F6E63">
      <w:pPr>
        <w:spacing w:line="600" w:lineRule="exact"/>
        <w:jc w:val="center"/>
        <w:outlineLvl w:val="0"/>
        <w:rPr>
          <w:rFonts w:ascii="黑体" w:hAnsi="黑体" w:eastAsia="黑体" w:cs="黑体"/>
          <w:sz w:val="44"/>
          <w:szCs w:val="44"/>
        </w:rPr>
      </w:pPr>
    </w:p>
    <w:p w14:paraId="46CDC991">
      <w:pPr>
        <w:spacing w:line="600" w:lineRule="exact"/>
        <w:jc w:val="center"/>
        <w:outlineLvl w:val="0"/>
        <w:rPr>
          <w:rFonts w:ascii="黑体" w:hAnsi="黑体" w:eastAsia="黑体" w:cs="黑体"/>
          <w:sz w:val="44"/>
          <w:szCs w:val="44"/>
        </w:rPr>
      </w:pPr>
    </w:p>
    <w:p w14:paraId="5593C1FE">
      <w:pPr>
        <w:spacing w:line="600" w:lineRule="exact"/>
        <w:jc w:val="center"/>
        <w:outlineLvl w:val="0"/>
        <w:rPr>
          <w:rFonts w:ascii="黑体" w:hAnsi="黑体" w:eastAsia="黑体" w:cs="黑体"/>
          <w:sz w:val="44"/>
          <w:szCs w:val="44"/>
        </w:rPr>
      </w:pPr>
    </w:p>
    <w:p w14:paraId="57FF2173">
      <w:pPr>
        <w:spacing w:line="600" w:lineRule="exact"/>
        <w:jc w:val="center"/>
        <w:outlineLvl w:val="0"/>
        <w:rPr>
          <w:rFonts w:ascii="黑体" w:hAnsi="黑体" w:eastAsia="黑体" w:cs="黑体"/>
          <w:sz w:val="44"/>
          <w:szCs w:val="44"/>
        </w:rPr>
      </w:pPr>
    </w:p>
    <w:p w14:paraId="43DE7579">
      <w:pPr>
        <w:spacing w:line="600" w:lineRule="exact"/>
        <w:jc w:val="center"/>
        <w:outlineLvl w:val="0"/>
        <w:rPr>
          <w:rFonts w:ascii="黑体" w:hAnsi="黑体" w:eastAsia="黑体" w:cs="黑体"/>
          <w:sz w:val="44"/>
          <w:szCs w:val="44"/>
        </w:rPr>
      </w:pPr>
    </w:p>
    <w:p w14:paraId="31BCA03B">
      <w:pPr>
        <w:spacing w:line="600" w:lineRule="exact"/>
        <w:jc w:val="center"/>
        <w:outlineLvl w:val="0"/>
        <w:rPr>
          <w:rFonts w:ascii="黑体" w:hAnsi="黑体" w:eastAsia="黑体" w:cs="黑体"/>
          <w:sz w:val="44"/>
          <w:szCs w:val="44"/>
        </w:rPr>
      </w:pPr>
    </w:p>
    <w:p w14:paraId="49DE5363">
      <w:pPr>
        <w:spacing w:line="600" w:lineRule="exact"/>
        <w:jc w:val="center"/>
        <w:outlineLvl w:val="0"/>
        <w:rPr>
          <w:rFonts w:ascii="黑体" w:hAnsi="黑体" w:eastAsia="黑体" w:cs="黑体"/>
          <w:sz w:val="44"/>
          <w:szCs w:val="44"/>
        </w:rPr>
      </w:pPr>
    </w:p>
    <w:p w14:paraId="36984D1E">
      <w:pPr>
        <w:spacing w:line="600" w:lineRule="exact"/>
        <w:jc w:val="center"/>
        <w:outlineLvl w:val="0"/>
        <w:rPr>
          <w:rFonts w:ascii="黑体" w:hAnsi="黑体" w:eastAsia="黑体" w:cs="黑体"/>
          <w:sz w:val="44"/>
          <w:szCs w:val="44"/>
        </w:rPr>
      </w:pPr>
    </w:p>
    <w:p w14:paraId="06A3526B">
      <w:pPr>
        <w:spacing w:line="600" w:lineRule="exact"/>
        <w:jc w:val="center"/>
        <w:outlineLvl w:val="0"/>
        <w:rPr>
          <w:rFonts w:ascii="黑体" w:hAnsi="黑体" w:eastAsia="黑体" w:cs="黑体"/>
          <w:sz w:val="44"/>
          <w:szCs w:val="44"/>
        </w:rPr>
      </w:pPr>
    </w:p>
    <w:p w14:paraId="5F089F47">
      <w:pPr>
        <w:spacing w:line="600" w:lineRule="exact"/>
        <w:jc w:val="center"/>
        <w:outlineLvl w:val="0"/>
        <w:rPr>
          <w:rFonts w:ascii="黑体" w:hAnsi="黑体" w:eastAsia="黑体" w:cs="黑体"/>
          <w:sz w:val="44"/>
          <w:szCs w:val="44"/>
        </w:rPr>
      </w:pPr>
    </w:p>
    <w:p w14:paraId="408E900B">
      <w:pPr>
        <w:spacing w:line="600" w:lineRule="exact"/>
        <w:jc w:val="center"/>
        <w:outlineLvl w:val="0"/>
        <w:rPr>
          <w:rFonts w:ascii="黑体" w:hAnsi="黑体" w:eastAsia="黑体" w:cs="黑体"/>
          <w:sz w:val="44"/>
          <w:szCs w:val="44"/>
        </w:rPr>
      </w:pPr>
    </w:p>
    <w:p w14:paraId="771AFC0F">
      <w:pPr>
        <w:spacing w:line="600" w:lineRule="exact"/>
        <w:outlineLvl w:val="0"/>
        <w:rPr>
          <w:rFonts w:ascii="黑体" w:hAnsi="黑体" w:eastAsia="黑体" w:cs="黑体"/>
          <w:sz w:val="44"/>
          <w:szCs w:val="44"/>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-5</w:t>
      </w:r>
    </w:p>
    <w:p w14:paraId="133EF96E">
      <w:pPr>
        <w:spacing w:line="640" w:lineRule="exact"/>
        <w:jc w:val="center"/>
        <w:rPr>
          <w:rFonts w:ascii="仿宋_GB2312" w:hAnsi="宋体"/>
          <w:b/>
          <w:sz w:val="44"/>
          <w:szCs w:val="44"/>
        </w:rPr>
      </w:pPr>
      <w:r>
        <w:rPr>
          <w:rFonts w:hint="eastAsia" w:ascii="仿宋_GB2312" w:hAnsi="宋体"/>
          <w:b/>
          <w:sz w:val="44"/>
          <w:szCs w:val="44"/>
        </w:rPr>
        <w:t>德阳市罗江区略坪镇人民政府</w:t>
      </w:r>
    </w:p>
    <w:p w14:paraId="5CD0A0C7">
      <w:pPr>
        <w:spacing w:line="640" w:lineRule="exact"/>
        <w:jc w:val="center"/>
        <w:rPr>
          <w:rFonts w:ascii="仿宋_GB2312" w:hAnsi="宋体"/>
          <w:b/>
          <w:sz w:val="44"/>
          <w:szCs w:val="44"/>
        </w:rPr>
      </w:pPr>
      <w:r>
        <w:rPr>
          <w:rFonts w:hint="eastAsia" w:ascii="仿宋_GB2312" w:hAnsi="宋体"/>
          <w:b/>
          <w:sz w:val="44"/>
          <w:szCs w:val="44"/>
        </w:rPr>
        <w:t>2020年“人大代表专项工作经费等项目”预算项目支出绩效自评报告</w:t>
      </w:r>
    </w:p>
    <w:p w14:paraId="1DEBC61D">
      <w:pPr>
        <w:pStyle w:val="30"/>
        <w:spacing w:line="240" w:lineRule="auto"/>
        <w:jc w:val="center"/>
        <w:rPr>
          <w:rFonts w:ascii="宋体" w:hAnsi="宋体" w:cs="Times New Roman"/>
          <w:color w:val="auto"/>
          <w:kern w:val="2"/>
          <w:sz w:val="32"/>
          <w:szCs w:val="32"/>
        </w:rPr>
      </w:pPr>
    </w:p>
    <w:p w14:paraId="5027149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项目概况</w:t>
      </w:r>
    </w:p>
    <w:p w14:paraId="20A64B62">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（一）项目基本情况</w:t>
      </w:r>
    </w:p>
    <w:p w14:paraId="285C917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部自评报告实施的行政事业项目预算支出有：“人大代表工作专项经费”项目，“乡镇财政所专项工作经费”项目，“‘三资’管理中心运转经费”项目，“老协、关工委等群众团体工作经费”项目和“惠农补贴‘一卡通’发放专项工作经费”项目。该类行政事业项目支出主要是用于完成一定量的专项工作所需业务经费、办公经费等方面的支出，该类项目支出具有经常性、一般性特点。</w:t>
      </w:r>
    </w:p>
    <w:p w14:paraId="2709489C">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1．项目主管部门及其职能</w:t>
      </w:r>
    </w:p>
    <w:p w14:paraId="086667DB">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上述项目实施的主管部门为德阳市罗江区略坪镇人民政府。主要职能是：评价项目实施的必要性和有效性，负责项目资金的申请；负责项目资金分配、使用和监督管理；编制项目绩效目标，负责项目绩效运行监控；督察、检查和考评项目绩效目标完成情况，编制项目支出绩效评价报告。</w:t>
      </w:r>
    </w:p>
    <w:p w14:paraId="5D5D627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14:paraId="025F04B2">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sz w:val="32"/>
          <w:szCs w:val="32"/>
          <w:lang w:val="zh-CN"/>
        </w:rPr>
        <w:t>（1）“人大代表工作专项经费”项目  该项目实施主要是加强乡镇级人大代表工作，完成代表工作会议，组织代表考察（视察）和调研，提高代表参政议政能力和履职能力，弥补人大代表工作的经费不足。本项目按照年初预算安排，依据罗财预[2020]4736号-4737号资金管理文件申请项目资金</w:t>
      </w:r>
    </w:p>
    <w:p w14:paraId="457BAF8B">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sz w:val="32"/>
          <w:szCs w:val="32"/>
          <w:lang w:val="zh-CN"/>
        </w:rPr>
        <w:t>（2）“乡镇财政所专项工作经费”项目  该项目实施主要加强乡镇财政所规范化建设，改善办公条件，提升办公效率，强化乡镇财政所的服务职能，本项目按照年初预算安排，依据罗财预[2020]4734号-4735号资金管理文件申请项目资金。</w:t>
      </w:r>
    </w:p>
    <w:p w14:paraId="04784C5C">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sz w:val="32"/>
          <w:szCs w:val="32"/>
          <w:lang w:val="zh-CN"/>
        </w:rPr>
        <w:t>（3）“‘三资’管理中心运转经费”项目  该项目经费主要用于镇“三资”管理中心办公设备运转维护和临时聘用人员支付劳务费等方面开支。本项目按照年初预算安排，依据罗财预[2020]4732号-4733号资金管理文件申请项目资金。</w:t>
      </w:r>
    </w:p>
    <w:p w14:paraId="6C037924">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（4）“老协、关工委等群众团体工作经费”项目  该项目主要老协、关工委开展日常工作的专项经费，本项目按照年初预算安排，依据罗财预[2020]4730号资金管理文件申请项目资金。</w:t>
      </w:r>
    </w:p>
    <w:p w14:paraId="242306F9">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（5）“惠农补贴‘一卡通’发放专项工作经费”项目  该项目主要用于惠农补贴“一卡能”发放工作所需工作经费开支。本项目按照年初预算安排，依据罗财预[2020]4731号资金管理文件申请项目资金。</w:t>
      </w:r>
    </w:p>
    <w:p w14:paraId="4D5C2CF6">
      <w:pPr>
        <w:adjustRightInd w:val="0"/>
        <w:snapToGrid w:val="0"/>
        <w:spacing w:line="560" w:lineRule="exact"/>
        <w:ind w:firstLine="800" w:firstLineChars="250"/>
        <w:rPr>
          <w:rFonts w:ascii="仿宋_GB2312" w:hAnsi="宋体" w:eastAsia="仿宋_GB2312" w:cs="宋体"/>
          <w:sz w:val="32"/>
          <w:szCs w:val="32"/>
          <w:lang w:val="zh-CN"/>
        </w:rPr>
      </w:pPr>
      <w:r>
        <w:rPr>
          <w:rFonts w:hint="eastAsia" w:ascii="仿宋_GB2312" w:hAnsi="宋体" w:eastAsia="仿宋_GB2312" w:cs="宋体"/>
          <w:sz w:val="32"/>
          <w:szCs w:val="32"/>
          <w:lang w:val="zh-CN"/>
        </w:rPr>
        <w:t>3．项目资金管理使用情况</w:t>
      </w:r>
    </w:p>
    <w:p w14:paraId="2C991B7E">
      <w:pPr>
        <w:adjustRightInd w:val="0"/>
        <w:snapToGrid w:val="0"/>
        <w:spacing w:line="560" w:lineRule="exact"/>
        <w:ind w:firstLine="800" w:firstLineChars="250"/>
        <w:rPr>
          <w:rFonts w:ascii="仿宋_GB2312" w:hAnsi="宋体" w:eastAsia="仿宋_GB2312" w:cs="宋体"/>
          <w:sz w:val="32"/>
          <w:szCs w:val="32"/>
          <w:lang w:val="zh-CN"/>
        </w:rPr>
      </w:pPr>
      <w:r>
        <w:rPr>
          <w:rFonts w:hint="eastAsia" w:ascii="仿宋_GB2312" w:hAnsi="宋体" w:eastAsia="仿宋_GB2312" w:cs="宋体"/>
          <w:sz w:val="32"/>
          <w:szCs w:val="32"/>
          <w:lang w:val="zh-CN"/>
        </w:rPr>
        <w:t>项目资金使用管理符合上级相关要求和规定，同时，符合《略坪镇人民政府财政专项资金管理办法》的规定。项目资金均通过财政大平台直接支付到项目实施方或商品和服务提供方。项目资金开支范围严格按照各相关项目资金规定的范围开支，无截留、挤占、挪用等情况。</w:t>
      </w:r>
    </w:p>
    <w:p w14:paraId="3550D8F7">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4．项目资金分配原则</w:t>
      </w:r>
    </w:p>
    <w:p w14:paraId="03F62B9C">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本部门坚持“确保重点，兼顾全面”的原则分配项目资金，以确保本部门各项工作顺利开展。</w:t>
      </w:r>
    </w:p>
    <w:p w14:paraId="358DFD85">
      <w:pPr>
        <w:adjustRightInd w:val="0"/>
        <w:snapToGrid w:val="0"/>
        <w:spacing w:line="560" w:lineRule="exact"/>
        <w:jc w:val="center"/>
        <w:rPr>
          <w:rFonts w:ascii="仿宋_GB2312" w:hAnsi="宋体" w:eastAsia="仿宋_GB2312" w:cs="宋体"/>
          <w:b/>
          <w:sz w:val="32"/>
          <w:szCs w:val="32"/>
          <w:lang w:val="zh-CN"/>
        </w:rPr>
      </w:pPr>
    </w:p>
    <w:p w14:paraId="6DEBDA53">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2020年本部门项目资金分配情况如下表</w:t>
      </w:r>
    </w:p>
    <w:p w14:paraId="1EC45D25">
      <w:pPr>
        <w:adjustRightInd w:val="0"/>
        <w:snapToGrid w:val="0"/>
        <w:spacing w:line="560" w:lineRule="exact"/>
        <w:ind w:firstLine="643" w:firstLineChars="200"/>
        <w:rPr>
          <w:rFonts w:ascii="仿宋_GB2312" w:hAnsi="宋体" w:eastAsia="仿宋_GB2312" w:cs="宋体"/>
          <w:sz w:val="32"/>
          <w:szCs w:val="32"/>
          <w:lang w:val="zh-CN"/>
        </w:rPr>
      </w:pPr>
      <w:r>
        <w:rPr>
          <w:rFonts w:hint="eastAsia" w:ascii="仿宋_GB2312" w:hAnsi="宋体" w:eastAsia="仿宋_GB2312" w:cs="宋体"/>
          <w:b/>
          <w:sz w:val="32"/>
          <w:szCs w:val="32"/>
          <w:lang w:val="zh-CN"/>
        </w:rPr>
        <w:t xml:space="preserve">                                </w:t>
      </w:r>
      <w:r>
        <w:rPr>
          <w:rFonts w:hint="eastAsia" w:ascii="仿宋_GB2312" w:hAnsi="宋体" w:eastAsia="仿宋_GB2312" w:cs="宋体"/>
          <w:sz w:val="32"/>
          <w:szCs w:val="32"/>
          <w:lang w:val="zh-CN"/>
        </w:rPr>
        <w:t>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3934"/>
        <w:gridCol w:w="1219"/>
        <w:gridCol w:w="1220"/>
        <w:gridCol w:w="1611"/>
      </w:tblGrid>
      <w:tr w14:paraId="1B0B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0" w:type="auto"/>
            <w:vAlign w:val="center"/>
          </w:tcPr>
          <w:p w14:paraId="0CB8FD64">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序号</w:t>
            </w:r>
          </w:p>
        </w:tc>
        <w:tc>
          <w:tcPr>
            <w:tcW w:w="4418" w:type="dxa"/>
            <w:vAlign w:val="center"/>
          </w:tcPr>
          <w:p w14:paraId="3F203697">
            <w:pPr>
              <w:adjustRightInd w:val="0"/>
              <w:snapToGrid w:val="0"/>
              <w:spacing w:line="280" w:lineRule="exact"/>
              <w:jc w:val="center"/>
              <w:rPr>
                <w:rFonts w:ascii="仿宋_GB2312" w:hAnsi="宋体" w:eastAsia="仿宋_GB2312" w:cs="宋体"/>
                <w:b/>
                <w:sz w:val="32"/>
                <w:szCs w:val="32"/>
                <w:lang w:val="zh-CN"/>
              </w:rPr>
            </w:pPr>
          </w:p>
          <w:p w14:paraId="6BB68245">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项目名称</w:t>
            </w:r>
          </w:p>
          <w:p w14:paraId="2F9CF669">
            <w:pPr>
              <w:adjustRightInd w:val="0"/>
              <w:snapToGrid w:val="0"/>
              <w:spacing w:line="280" w:lineRule="exact"/>
              <w:jc w:val="center"/>
              <w:rPr>
                <w:rFonts w:ascii="仿宋_GB2312" w:hAnsi="宋体" w:eastAsia="仿宋_GB2312" w:cs="宋体"/>
                <w:b/>
                <w:sz w:val="32"/>
                <w:szCs w:val="32"/>
                <w:lang w:val="zh-CN"/>
              </w:rPr>
            </w:pPr>
          </w:p>
        </w:tc>
        <w:tc>
          <w:tcPr>
            <w:tcW w:w="1275" w:type="dxa"/>
            <w:vAlign w:val="center"/>
          </w:tcPr>
          <w:p w14:paraId="7FD27EE4">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申报资</w:t>
            </w:r>
          </w:p>
          <w:p w14:paraId="0F070381">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金规模</w:t>
            </w:r>
          </w:p>
        </w:tc>
        <w:tc>
          <w:tcPr>
            <w:tcW w:w="1276" w:type="dxa"/>
            <w:vAlign w:val="center"/>
          </w:tcPr>
          <w:p w14:paraId="381DFA96">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分配资</w:t>
            </w:r>
          </w:p>
          <w:p w14:paraId="2081AEDD">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金额度</w:t>
            </w:r>
          </w:p>
        </w:tc>
        <w:tc>
          <w:tcPr>
            <w:tcW w:w="1779" w:type="dxa"/>
            <w:vAlign w:val="center"/>
          </w:tcPr>
          <w:p w14:paraId="107363F5">
            <w:pPr>
              <w:adjustRightInd w:val="0"/>
              <w:snapToGrid w:val="0"/>
              <w:spacing w:line="280" w:lineRule="exact"/>
              <w:jc w:val="center"/>
              <w:rPr>
                <w:rFonts w:ascii="仿宋_GB2312" w:hAnsi="宋体" w:eastAsia="仿宋_GB2312" w:cs="宋体"/>
                <w:b/>
                <w:sz w:val="32"/>
                <w:szCs w:val="32"/>
                <w:lang w:val="zh-CN"/>
              </w:rPr>
            </w:pPr>
          </w:p>
          <w:p w14:paraId="04C82D3D">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备注</w:t>
            </w:r>
          </w:p>
          <w:p w14:paraId="01F1E12A">
            <w:pPr>
              <w:adjustRightInd w:val="0"/>
              <w:snapToGrid w:val="0"/>
              <w:spacing w:line="280" w:lineRule="exact"/>
              <w:jc w:val="center"/>
              <w:rPr>
                <w:rFonts w:ascii="仿宋_GB2312" w:hAnsi="宋体" w:eastAsia="仿宋_GB2312" w:cs="宋体"/>
                <w:b/>
                <w:sz w:val="32"/>
                <w:szCs w:val="32"/>
                <w:lang w:val="zh-CN"/>
              </w:rPr>
            </w:pPr>
          </w:p>
        </w:tc>
      </w:tr>
      <w:tr w14:paraId="5B2B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444867">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w:t>
            </w:r>
          </w:p>
        </w:tc>
        <w:tc>
          <w:tcPr>
            <w:tcW w:w="4418" w:type="dxa"/>
            <w:vAlign w:val="center"/>
          </w:tcPr>
          <w:p w14:paraId="2E04815A">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cs="宋体"/>
                <w:sz w:val="32"/>
                <w:szCs w:val="32"/>
                <w:lang w:val="zh-CN"/>
              </w:rPr>
              <w:t>人大代表专项工作经费</w:t>
            </w:r>
          </w:p>
        </w:tc>
        <w:tc>
          <w:tcPr>
            <w:tcW w:w="1275" w:type="dxa"/>
            <w:vAlign w:val="center"/>
          </w:tcPr>
          <w:p w14:paraId="5BAA5F2C">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3.00</w:t>
            </w:r>
          </w:p>
        </w:tc>
        <w:tc>
          <w:tcPr>
            <w:tcW w:w="1276" w:type="dxa"/>
            <w:vAlign w:val="center"/>
          </w:tcPr>
          <w:p w14:paraId="0E57CBF7">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3.00</w:t>
            </w:r>
          </w:p>
        </w:tc>
        <w:tc>
          <w:tcPr>
            <w:tcW w:w="1779" w:type="dxa"/>
            <w:vAlign w:val="center"/>
          </w:tcPr>
          <w:p w14:paraId="6E121F6D">
            <w:pPr>
              <w:adjustRightInd w:val="0"/>
              <w:snapToGrid w:val="0"/>
              <w:spacing w:line="400" w:lineRule="exact"/>
              <w:jc w:val="center"/>
              <w:rPr>
                <w:rFonts w:ascii="仿宋_GB2312" w:hAnsi="宋体" w:eastAsia="仿宋_GB2312" w:cs="宋体"/>
                <w:sz w:val="32"/>
                <w:szCs w:val="32"/>
                <w:lang w:val="zh-CN"/>
              </w:rPr>
            </w:pPr>
          </w:p>
        </w:tc>
      </w:tr>
      <w:tr w14:paraId="2AC6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40B150">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2</w:t>
            </w:r>
          </w:p>
        </w:tc>
        <w:tc>
          <w:tcPr>
            <w:tcW w:w="4418" w:type="dxa"/>
            <w:vAlign w:val="center"/>
          </w:tcPr>
          <w:p w14:paraId="515F837A">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乡镇财政所专项工作经费</w:t>
            </w:r>
          </w:p>
        </w:tc>
        <w:tc>
          <w:tcPr>
            <w:tcW w:w="1275" w:type="dxa"/>
            <w:vAlign w:val="center"/>
          </w:tcPr>
          <w:p w14:paraId="3155FBEA">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276" w:type="dxa"/>
            <w:vAlign w:val="center"/>
          </w:tcPr>
          <w:p w14:paraId="74101B25">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779" w:type="dxa"/>
            <w:vAlign w:val="center"/>
          </w:tcPr>
          <w:p w14:paraId="2D8C3FBE">
            <w:pPr>
              <w:adjustRightInd w:val="0"/>
              <w:snapToGrid w:val="0"/>
              <w:spacing w:line="400" w:lineRule="exact"/>
              <w:jc w:val="center"/>
              <w:rPr>
                <w:rFonts w:ascii="仿宋_GB2312" w:hAnsi="宋体" w:eastAsia="仿宋_GB2312" w:cs="宋体"/>
                <w:sz w:val="32"/>
                <w:szCs w:val="32"/>
                <w:lang w:val="zh-CN"/>
              </w:rPr>
            </w:pPr>
          </w:p>
        </w:tc>
      </w:tr>
      <w:tr w14:paraId="0EBC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BE061D">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w:t>
            </w:r>
          </w:p>
        </w:tc>
        <w:tc>
          <w:tcPr>
            <w:tcW w:w="4418" w:type="dxa"/>
            <w:vAlign w:val="center"/>
          </w:tcPr>
          <w:p w14:paraId="4690ECA9">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“三资”管理中心运转经费</w:t>
            </w:r>
          </w:p>
        </w:tc>
        <w:tc>
          <w:tcPr>
            <w:tcW w:w="1275" w:type="dxa"/>
            <w:vAlign w:val="center"/>
          </w:tcPr>
          <w:p w14:paraId="003A9290">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276" w:type="dxa"/>
            <w:vAlign w:val="center"/>
          </w:tcPr>
          <w:p w14:paraId="68C32966">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779" w:type="dxa"/>
            <w:vAlign w:val="center"/>
          </w:tcPr>
          <w:p w14:paraId="17E84CA0">
            <w:pPr>
              <w:adjustRightInd w:val="0"/>
              <w:snapToGrid w:val="0"/>
              <w:spacing w:line="400" w:lineRule="exact"/>
              <w:jc w:val="center"/>
              <w:rPr>
                <w:rFonts w:ascii="仿宋_GB2312" w:hAnsi="宋体" w:eastAsia="仿宋_GB2312" w:cs="宋体"/>
                <w:sz w:val="32"/>
                <w:szCs w:val="32"/>
                <w:lang w:val="zh-CN"/>
              </w:rPr>
            </w:pPr>
          </w:p>
        </w:tc>
      </w:tr>
      <w:tr w14:paraId="6CDF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269A66">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4</w:t>
            </w:r>
          </w:p>
        </w:tc>
        <w:tc>
          <w:tcPr>
            <w:tcW w:w="4418" w:type="dxa"/>
            <w:vAlign w:val="center"/>
          </w:tcPr>
          <w:p w14:paraId="433C0F79">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老协、关工委等群众团体工作经费</w:t>
            </w:r>
          </w:p>
        </w:tc>
        <w:tc>
          <w:tcPr>
            <w:tcW w:w="1275" w:type="dxa"/>
            <w:vAlign w:val="center"/>
          </w:tcPr>
          <w:p w14:paraId="28CF7DD7">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276" w:type="dxa"/>
            <w:vAlign w:val="center"/>
          </w:tcPr>
          <w:p w14:paraId="316492E9">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779" w:type="dxa"/>
            <w:vAlign w:val="center"/>
          </w:tcPr>
          <w:p w14:paraId="3EF96C16">
            <w:pPr>
              <w:adjustRightInd w:val="0"/>
              <w:snapToGrid w:val="0"/>
              <w:spacing w:line="400" w:lineRule="exact"/>
              <w:jc w:val="center"/>
              <w:rPr>
                <w:rFonts w:ascii="仿宋_GB2312" w:hAnsi="宋体" w:eastAsia="仿宋_GB2312" w:cs="宋体"/>
                <w:sz w:val="32"/>
                <w:szCs w:val="32"/>
                <w:lang w:val="zh-CN"/>
              </w:rPr>
            </w:pPr>
          </w:p>
        </w:tc>
      </w:tr>
      <w:tr w14:paraId="2917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C2AC276">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5</w:t>
            </w:r>
          </w:p>
        </w:tc>
        <w:tc>
          <w:tcPr>
            <w:tcW w:w="4418" w:type="dxa"/>
            <w:vAlign w:val="center"/>
          </w:tcPr>
          <w:p w14:paraId="5FD66A6D">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惠农补贴‘一卡通’发放专项工作经费</w:t>
            </w:r>
          </w:p>
        </w:tc>
        <w:tc>
          <w:tcPr>
            <w:tcW w:w="1275" w:type="dxa"/>
            <w:vAlign w:val="center"/>
          </w:tcPr>
          <w:p w14:paraId="1C9A1EF4">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276" w:type="dxa"/>
            <w:vAlign w:val="center"/>
          </w:tcPr>
          <w:p w14:paraId="032FBBBB">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779" w:type="dxa"/>
            <w:vAlign w:val="center"/>
          </w:tcPr>
          <w:p w14:paraId="3437A49A">
            <w:pPr>
              <w:adjustRightInd w:val="0"/>
              <w:snapToGrid w:val="0"/>
              <w:spacing w:line="400" w:lineRule="exact"/>
              <w:jc w:val="center"/>
              <w:rPr>
                <w:rFonts w:ascii="仿宋_GB2312" w:hAnsi="宋体" w:eastAsia="仿宋_GB2312" w:cs="宋体"/>
                <w:sz w:val="32"/>
                <w:szCs w:val="32"/>
                <w:lang w:val="zh-CN"/>
              </w:rPr>
            </w:pPr>
          </w:p>
        </w:tc>
      </w:tr>
      <w:tr w14:paraId="5B3E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vAlign w:val="center"/>
          </w:tcPr>
          <w:p w14:paraId="7AA2BB62">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合 计</w:t>
            </w:r>
          </w:p>
        </w:tc>
        <w:tc>
          <w:tcPr>
            <w:tcW w:w="1275" w:type="dxa"/>
            <w:vAlign w:val="center"/>
          </w:tcPr>
          <w:p w14:paraId="110845DC">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6.00</w:t>
            </w:r>
          </w:p>
        </w:tc>
        <w:tc>
          <w:tcPr>
            <w:tcW w:w="1276" w:type="dxa"/>
            <w:vAlign w:val="center"/>
          </w:tcPr>
          <w:p w14:paraId="3FB4120F">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6.00</w:t>
            </w:r>
          </w:p>
        </w:tc>
        <w:tc>
          <w:tcPr>
            <w:tcW w:w="1779" w:type="dxa"/>
            <w:vAlign w:val="center"/>
          </w:tcPr>
          <w:p w14:paraId="05409B02">
            <w:pPr>
              <w:adjustRightInd w:val="0"/>
              <w:snapToGrid w:val="0"/>
              <w:spacing w:line="560" w:lineRule="exact"/>
              <w:jc w:val="center"/>
              <w:rPr>
                <w:rFonts w:ascii="仿宋_GB2312" w:hAnsi="宋体" w:eastAsia="仿宋_GB2312" w:cs="宋体"/>
                <w:sz w:val="32"/>
                <w:szCs w:val="32"/>
                <w:lang w:val="zh-CN"/>
              </w:rPr>
            </w:pPr>
          </w:p>
        </w:tc>
      </w:tr>
    </w:tbl>
    <w:p w14:paraId="3C036CBB">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（二）项目绩效目标情况</w:t>
      </w:r>
    </w:p>
    <w:p w14:paraId="04B02169">
      <w:pPr>
        <w:adjustRightInd w:val="0"/>
        <w:snapToGrid w:val="0"/>
        <w:spacing w:line="560" w:lineRule="exact"/>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lang w:val="zh-CN"/>
        </w:rPr>
        <w:t>1．各项目实施的主要内容及绩效目标设置情况</w:t>
      </w:r>
    </w:p>
    <w:p w14:paraId="20DB7CE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类项目绩效目标按照“总体目标”和“绩效目标”编制。其中：“绩效目标”分别设置一级目标三项即：产出指标、效益指标和满意度指标；二级目标设置七项即：数量指标、质量指标、时效指标、成本指标、社会效益指标、可持续影响指标和服务对象满意度指标；三级指标共设七项，对应二级指标的具体数量、质量、完成时期、可持续发挥效益期限和群众满意度指标，以及各项目指标值对应的项目实施的具体内容。</w:t>
      </w:r>
    </w:p>
    <w:p w14:paraId="03C78174">
      <w:pPr>
        <w:adjustRightInd w:val="0"/>
        <w:snapToGrid w:val="0"/>
        <w:spacing w:line="560" w:lineRule="exact"/>
        <w:rPr>
          <w:rFonts w:ascii="仿宋_GB2312" w:hAnsi="宋体" w:eastAsia="仿宋_GB2312"/>
          <w:sz w:val="32"/>
          <w:szCs w:val="32"/>
          <w:lang w:val="zh-CN"/>
        </w:rPr>
      </w:pPr>
      <w:r>
        <w:rPr>
          <w:rFonts w:hint="eastAsia" w:ascii="仿宋_GB2312" w:hAnsi="宋体" w:eastAsia="仿宋_GB2312"/>
          <w:sz w:val="32"/>
          <w:szCs w:val="32"/>
          <w:lang w:val="zh-CN"/>
        </w:rPr>
        <w:t xml:space="preserve">     （1）“人大代表工作专项经费”项目</w:t>
      </w:r>
    </w:p>
    <w:p w14:paraId="147F1858">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总体目标是：</w:t>
      </w:r>
      <w:r>
        <w:rPr>
          <w:rFonts w:hint="eastAsia" w:ascii="仿宋_GB2312" w:hAnsi="宋体" w:eastAsia="仿宋_GB2312"/>
          <w:sz w:val="32"/>
          <w:szCs w:val="32"/>
          <w:lang w:val="zh-CN"/>
        </w:rPr>
        <w:t>召开代表会议包括但不限于2次，组织代表开展视察、调研活动不少于2次，代表日常定期轮班接访工作和购置办公设施（或有）。</w:t>
      </w:r>
    </w:p>
    <w:p w14:paraId="11E4268A">
      <w:pPr>
        <w:adjustRightInd w:val="0"/>
        <w:snapToGrid w:val="0"/>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8946" w:type="dxa"/>
        <w:tblInd w:w="0" w:type="dxa"/>
        <w:tblLayout w:type="autofit"/>
        <w:tblCellMar>
          <w:top w:w="0" w:type="dxa"/>
          <w:left w:w="0" w:type="dxa"/>
          <w:bottom w:w="0" w:type="dxa"/>
          <w:right w:w="0" w:type="dxa"/>
        </w:tblCellMar>
      </w:tblPr>
      <w:tblGrid>
        <w:gridCol w:w="1630"/>
        <w:gridCol w:w="890"/>
        <w:gridCol w:w="3140"/>
        <w:gridCol w:w="3286"/>
      </w:tblGrid>
      <w:tr w14:paraId="48838A34">
        <w:tblPrEx>
          <w:tblCellMar>
            <w:top w:w="0" w:type="dxa"/>
            <w:left w:w="0" w:type="dxa"/>
            <w:bottom w:w="0" w:type="dxa"/>
            <w:right w:w="0" w:type="dxa"/>
          </w:tblCellMar>
        </w:tblPrEx>
        <w:trPr>
          <w:trHeight w:val="559" w:hRule="atLeast"/>
        </w:trPr>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FB60F9">
            <w:pPr>
              <w:jc w:val="center"/>
              <w:rPr>
                <w:rFonts w:ascii="仿宋_GB2312" w:hAnsi="宋体" w:eastAsia="仿宋_GB2312" w:cs="宋体"/>
                <w:sz w:val="32"/>
                <w:szCs w:val="32"/>
              </w:rPr>
            </w:pPr>
            <w:r>
              <w:rPr>
                <w:rFonts w:hint="eastAsia" w:ascii="仿宋_GB2312" w:eastAsia="仿宋_GB2312"/>
                <w:sz w:val="32"/>
                <w:szCs w:val="32"/>
              </w:rPr>
              <w:t>一级指标</w:t>
            </w:r>
          </w:p>
        </w:tc>
        <w:tc>
          <w:tcPr>
            <w:tcW w:w="89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889E27">
            <w:pPr>
              <w:jc w:val="center"/>
              <w:rPr>
                <w:rFonts w:ascii="仿宋_GB2312" w:hAnsi="宋体" w:eastAsia="仿宋_GB2312" w:cs="宋体"/>
                <w:sz w:val="32"/>
                <w:szCs w:val="32"/>
              </w:rPr>
            </w:pPr>
            <w:r>
              <w:rPr>
                <w:rFonts w:hint="eastAsia" w:ascii="仿宋_GB2312" w:eastAsia="仿宋_GB2312"/>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9F768">
            <w:pPr>
              <w:jc w:val="center"/>
              <w:rPr>
                <w:rFonts w:ascii="仿宋_GB2312" w:hAnsi="宋体" w:eastAsia="仿宋_GB2312" w:cs="宋体"/>
                <w:sz w:val="32"/>
                <w:szCs w:val="32"/>
              </w:rPr>
            </w:pPr>
            <w:r>
              <w:rPr>
                <w:rFonts w:hint="eastAsia" w:ascii="仿宋_GB2312" w:eastAsia="仿宋_GB2312"/>
                <w:sz w:val="32"/>
                <w:szCs w:val="32"/>
              </w:rPr>
              <w:t>三级指标</w:t>
            </w:r>
          </w:p>
        </w:tc>
        <w:tc>
          <w:tcPr>
            <w:tcW w:w="328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B79C26">
            <w:pPr>
              <w:jc w:val="center"/>
              <w:rPr>
                <w:rFonts w:ascii="仿宋_GB2312" w:hAnsi="宋体" w:eastAsia="仿宋_GB2312" w:cs="宋体"/>
                <w:sz w:val="32"/>
                <w:szCs w:val="32"/>
              </w:rPr>
            </w:pPr>
            <w:r>
              <w:rPr>
                <w:rFonts w:hint="eastAsia" w:ascii="仿宋_GB2312" w:eastAsia="仿宋_GB2312"/>
                <w:sz w:val="32"/>
                <w:szCs w:val="32"/>
              </w:rPr>
              <w:t>指标值（包含数字及文字描述）</w:t>
            </w:r>
          </w:p>
        </w:tc>
      </w:tr>
      <w:tr w14:paraId="0978E6C0">
        <w:tblPrEx>
          <w:tblCellMar>
            <w:top w:w="0" w:type="dxa"/>
            <w:left w:w="0" w:type="dxa"/>
            <w:bottom w:w="0" w:type="dxa"/>
            <w:right w:w="0" w:type="dxa"/>
          </w:tblCellMar>
        </w:tblPrEx>
        <w:trPr>
          <w:trHeight w:val="642"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5FD2683E">
            <w:pPr>
              <w:jc w:val="center"/>
              <w:rPr>
                <w:rFonts w:ascii="仿宋_GB2312" w:hAnsi="宋体" w:eastAsia="仿宋_GB2312" w:cs="宋体"/>
                <w:sz w:val="32"/>
                <w:szCs w:val="32"/>
              </w:rPr>
            </w:pPr>
            <w:r>
              <w:rPr>
                <w:rFonts w:hint="eastAsia" w:ascii="仿宋_GB2312" w:eastAsia="仿宋_GB2312"/>
                <w:sz w:val="32"/>
                <w:szCs w:val="32"/>
              </w:rPr>
              <w:t>产出指标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085F3B87">
            <w:pPr>
              <w:jc w:val="center"/>
              <w:rPr>
                <w:rFonts w:ascii="仿宋_GB2312" w:hAnsi="宋体" w:eastAsia="仿宋_GB2312" w:cs="宋体"/>
                <w:sz w:val="32"/>
                <w:szCs w:val="32"/>
              </w:rPr>
            </w:pPr>
            <w:r>
              <w:rPr>
                <w:rFonts w:hint="eastAsia" w:ascii="仿宋_GB2312" w:eastAsia="仿宋_GB2312"/>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A5B5F0">
            <w:pPr>
              <w:rPr>
                <w:rFonts w:ascii="仿宋_GB2312" w:hAnsi="宋体" w:eastAsia="仿宋_GB2312" w:cs="宋体"/>
                <w:sz w:val="32"/>
                <w:szCs w:val="32"/>
              </w:rPr>
            </w:pPr>
            <w:r>
              <w:rPr>
                <w:rFonts w:hint="eastAsia" w:ascii="仿宋_GB2312" w:eastAsia="仿宋_GB2312"/>
                <w:sz w:val="32"/>
                <w:szCs w:val="32"/>
              </w:rPr>
              <w:t>代表会议次数，视察调研次数，定期轮班接访次数</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0F6C43D">
            <w:pPr>
              <w:rPr>
                <w:rFonts w:ascii="仿宋_GB2312" w:hAnsi="宋体" w:eastAsia="仿宋_GB2312" w:cs="宋体"/>
                <w:sz w:val="32"/>
                <w:szCs w:val="32"/>
              </w:rPr>
            </w:pPr>
            <w:r>
              <w:rPr>
                <w:rFonts w:hint="eastAsia" w:ascii="仿宋_GB2312" w:eastAsia="仿宋_GB2312"/>
                <w:sz w:val="32"/>
                <w:szCs w:val="32"/>
              </w:rPr>
              <w:t>调研、视察4次/年，接访4次/月</w:t>
            </w:r>
          </w:p>
        </w:tc>
      </w:tr>
      <w:tr w14:paraId="35CBE363">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098C60FF">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C2D95E">
            <w:pPr>
              <w:jc w:val="center"/>
              <w:rPr>
                <w:rFonts w:ascii="仿宋_GB2312" w:hAnsi="宋体" w:eastAsia="仿宋_GB2312" w:cs="宋体"/>
                <w:sz w:val="32"/>
                <w:szCs w:val="32"/>
              </w:rPr>
            </w:pPr>
            <w:r>
              <w:rPr>
                <w:rFonts w:hint="eastAsia" w:ascii="仿宋_GB2312" w:eastAsia="仿宋_GB2312"/>
                <w:sz w:val="32"/>
                <w:szCs w:val="32"/>
              </w:rPr>
              <w:t>质量指标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BA60E8">
            <w:pPr>
              <w:rPr>
                <w:rFonts w:ascii="仿宋_GB2312" w:hAnsi="宋体" w:eastAsia="仿宋_GB2312" w:cs="宋体"/>
                <w:sz w:val="32"/>
                <w:szCs w:val="32"/>
              </w:rPr>
            </w:pPr>
            <w:r>
              <w:rPr>
                <w:rFonts w:hint="eastAsia" w:ascii="仿宋_GB2312" w:eastAsia="仿宋_GB2312"/>
                <w:sz w:val="32"/>
                <w:szCs w:val="32"/>
              </w:rPr>
              <w:t>代表参会率，议案提交率，视察调研文章运用率</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72FD0F">
            <w:pPr>
              <w:rPr>
                <w:rFonts w:ascii="仿宋_GB2312" w:hAnsi="宋体" w:eastAsia="仿宋_GB2312" w:cs="宋体"/>
                <w:sz w:val="32"/>
                <w:szCs w:val="32"/>
              </w:rPr>
            </w:pPr>
            <w:r>
              <w:rPr>
                <w:rFonts w:hint="eastAsia" w:ascii="仿宋_GB2312" w:eastAsia="仿宋_GB2312"/>
                <w:sz w:val="32"/>
                <w:szCs w:val="32"/>
              </w:rPr>
              <w:t>代表参会率</w:t>
            </w:r>
            <w:r>
              <w:rPr>
                <w:rFonts w:hint="eastAsia" w:ascii="仿宋_GB2312" w:hAnsi="宋体" w:cs="宋体"/>
                <w:sz w:val="32"/>
                <w:szCs w:val="32"/>
              </w:rPr>
              <w:t>≧</w:t>
            </w:r>
            <w:r>
              <w:rPr>
                <w:rFonts w:hint="eastAsia" w:ascii="仿宋_GB2312" w:eastAsia="仿宋_GB2312"/>
                <w:sz w:val="32"/>
                <w:szCs w:val="32"/>
              </w:rPr>
              <w:t>90%，议案提交率</w:t>
            </w:r>
            <w:r>
              <w:rPr>
                <w:rFonts w:hint="eastAsia" w:ascii="仿宋_GB2312" w:hAnsi="宋体" w:cs="宋体"/>
                <w:sz w:val="32"/>
                <w:szCs w:val="32"/>
              </w:rPr>
              <w:t>≧</w:t>
            </w:r>
            <w:r>
              <w:rPr>
                <w:rFonts w:hint="eastAsia" w:ascii="仿宋_GB2312" w:eastAsia="仿宋_GB2312"/>
                <w:sz w:val="32"/>
                <w:szCs w:val="32"/>
              </w:rPr>
              <w:t>50%</w:t>
            </w:r>
          </w:p>
        </w:tc>
      </w:tr>
      <w:tr w14:paraId="195EC0DC">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3497C968">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6860A2">
            <w:pPr>
              <w:jc w:val="center"/>
              <w:rPr>
                <w:rFonts w:ascii="仿宋_GB2312" w:hAnsi="宋体" w:eastAsia="仿宋_GB2312" w:cs="宋体"/>
                <w:sz w:val="32"/>
                <w:szCs w:val="32"/>
              </w:rPr>
            </w:pPr>
            <w:r>
              <w:rPr>
                <w:rFonts w:hint="eastAsia" w:ascii="仿宋_GB2312" w:eastAsia="仿宋_GB2312"/>
                <w:sz w:val="32"/>
                <w:szCs w:val="32"/>
              </w:rPr>
              <w:t>时效指标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842181">
            <w:pPr>
              <w:rPr>
                <w:rFonts w:ascii="仿宋_GB2312" w:hAnsi="宋体" w:eastAsia="仿宋_GB2312" w:cs="宋体"/>
                <w:sz w:val="32"/>
                <w:szCs w:val="32"/>
              </w:rPr>
            </w:pPr>
            <w:r>
              <w:rPr>
                <w:rFonts w:hint="eastAsia" w:ascii="仿宋_GB2312" w:eastAsia="仿宋_GB2312"/>
                <w:sz w:val="32"/>
                <w:szCs w:val="32"/>
              </w:rPr>
              <w:t>代表会议，视察调研活动，定期轮班接访完成时间</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D54C4E4">
            <w:pPr>
              <w:rPr>
                <w:rFonts w:ascii="仿宋_GB2312" w:hAnsi="宋体" w:eastAsia="仿宋_GB2312" w:cs="宋体"/>
                <w:sz w:val="32"/>
                <w:szCs w:val="32"/>
              </w:rPr>
            </w:pPr>
            <w:r>
              <w:rPr>
                <w:rFonts w:hint="eastAsia" w:ascii="仿宋_GB2312" w:eastAsia="仿宋_GB2312"/>
                <w:sz w:val="32"/>
                <w:szCs w:val="32"/>
              </w:rPr>
              <w:t>2020年12月31日前</w:t>
            </w:r>
          </w:p>
        </w:tc>
      </w:tr>
      <w:tr w14:paraId="405CF2C3">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45025383">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6B38F3">
            <w:pPr>
              <w:jc w:val="center"/>
              <w:rPr>
                <w:rFonts w:ascii="仿宋_GB2312" w:hAnsi="宋体" w:eastAsia="仿宋_GB2312" w:cs="宋体"/>
                <w:sz w:val="32"/>
                <w:szCs w:val="32"/>
              </w:rPr>
            </w:pPr>
            <w:r>
              <w:rPr>
                <w:rFonts w:hint="eastAsia" w:ascii="仿宋_GB2312" w:eastAsia="仿宋_GB2312"/>
                <w:sz w:val="32"/>
                <w:szCs w:val="32"/>
              </w:rPr>
              <w:t>成本指标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9CBE442">
            <w:pPr>
              <w:rPr>
                <w:rFonts w:ascii="仿宋_GB2312" w:hAnsi="宋体" w:eastAsia="仿宋_GB2312" w:cs="宋体"/>
                <w:sz w:val="32"/>
                <w:szCs w:val="32"/>
              </w:rPr>
            </w:pPr>
            <w:r>
              <w:rPr>
                <w:rFonts w:hint="eastAsia" w:ascii="仿宋_GB2312" w:eastAsia="仿宋_GB2312"/>
                <w:sz w:val="32"/>
                <w:szCs w:val="32"/>
              </w:rPr>
              <w:t>参会代表补助，视察调研活动费，定期轮班接访工作经费</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E71F6D">
            <w:pPr>
              <w:rPr>
                <w:rFonts w:ascii="仿宋_GB2312" w:hAnsi="宋体" w:eastAsia="仿宋_GB2312" w:cs="宋体"/>
                <w:sz w:val="32"/>
                <w:szCs w:val="32"/>
              </w:rPr>
            </w:pPr>
            <w:r>
              <w:rPr>
                <w:rFonts w:hint="eastAsia" w:ascii="仿宋_GB2312" w:eastAsia="仿宋_GB2312"/>
                <w:sz w:val="32"/>
                <w:szCs w:val="32"/>
              </w:rPr>
              <w:t>代表会议费1.88万元，视察、调研费1万元，接访工作0.12万元</w:t>
            </w:r>
          </w:p>
        </w:tc>
      </w:tr>
      <w:tr w14:paraId="2D75C35C">
        <w:tblPrEx>
          <w:tblCellMar>
            <w:top w:w="0" w:type="dxa"/>
            <w:left w:w="0" w:type="dxa"/>
            <w:bottom w:w="0" w:type="dxa"/>
            <w:right w:w="0" w:type="dxa"/>
          </w:tblCellMar>
        </w:tblPrEx>
        <w:trPr>
          <w:trHeight w:val="720" w:hRule="atLeast"/>
        </w:trPr>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3D2DDD4A">
            <w:pPr>
              <w:jc w:val="center"/>
              <w:rPr>
                <w:rFonts w:ascii="仿宋_GB2312" w:hAnsi="宋体" w:eastAsia="仿宋_GB2312" w:cs="宋体"/>
                <w:sz w:val="32"/>
                <w:szCs w:val="32"/>
              </w:rPr>
            </w:pPr>
            <w:r>
              <w:rPr>
                <w:rFonts w:hint="eastAsia" w:ascii="仿宋_GB2312" w:eastAsia="仿宋_GB2312"/>
                <w:sz w:val="32"/>
                <w:szCs w:val="32"/>
              </w:rPr>
              <w:t>效益指标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664C3642">
            <w:pPr>
              <w:jc w:val="center"/>
              <w:rPr>
                <w:rFonts w:ascii="仿宋_GB2312" w:hAnsi="宋体" w:eastAsia="仿宋_GB2312" w:cs="宋体"/>
                <w:sz w:val="32"/>
                <w:szCs w:val="32"/>
              </w:rPr>
            </w:pPr>
            <w:r>
              <w:rPr>
                <w:rFonts w:hint="eastAsia" w:ascii="仿宋_GB2312" w:eastAsia="仿宋_GB2312"/>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973707">
            <w:pPr>
              <w:rPr>
                <w:rFonts w:ascii="仿宋_GB2312" w:hAnsi="宋体" w:eastAsia="仿宋_GB2312" w:cs="宋体"/>
                <w:sz w:val="32"/>
                <w:szCs w:val="32"/>
              </w:rPr>
            </w:pPr>
            <w:r>
              <w:rPr>
                <w:rFonts w:hint="eastAsia" w:ascii="仿宋_GB2312" w:eastAsia="仿宋_GB2312"/>
                <w:sz w:val="32"/>
                <w:szCs w:val="32"/>
              </w:rPr>
              <w:t>代表的好评率</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B6690B7">
            <w:pPr>
              <w:rPr>
                <w:rFonts w:ascii="仿宋_GB2312" w:hAnsi="宋体" w:eastAsia="仿宋_GB2312" w:cs="宋体"/>
                <w:sz w:val="32"/>
                <w:szCs w:val="32"/>
              </w:rPr>
            </w:pPr>
            <w:r>
              <w:rPr>
                <w:rFonts w:hint="eastAsia" w:ascii="仿宋_GB2312" w:eastAsia="仿宋_GB2312"/>
                <w:sz w:val="32"/>
                <w:szCs w:val="32"/>
              </w:rPr>
              <w:t>代表的好评率</w:t>
            </w:r>
            <w:r>
              <w:rPr>
                <w:rFonts w:hint="eastAsia" w:ascii="仿宋_GB2312" w:hAnsi="宋体" w:cs="宋体"/>
                <w:sz w:val="32"/>
                <w:szCs w:val="32"/>
              </w:rPr>
              <w:t>≧</w:t>
            </w:r>
            <w:r>
              <w:rPr>
                <w:rFonts w:hint="eastAsia" w:ascii="仿宋_GB2312" w:eastAsia="仿宋_GB2312"/>
                <w:sz w:val="32"/>
                <w:szCs w:val="32"/>
              </w:rPr>
              <w:t>95%</w:t>
            </w:r>
          </w:p>
        </w:tc>
      </w:tr>
      <w:tr w14:paraId="2E1B30C5">
        <w:tblPrEx>
          <w:tblCellMar>
            <w:top w:w="0" w:type="dxa"/>
            <w:left w:w="0" w:type="dxa"/>
            <w:bottom w:w="0" w:type="dxa"/>
            <w:right w:w="0"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vAlign w:val="center"/>
          </w:tcPr>
          <w:p w14:paraId="7E3DE0FC">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C63CE1">
            <w:pPr>
              <w:jc w:val="center"/>
              <w:rPr>
                <w:rFonts w:ascii="仿宋_GB2312" w:hAnsi="宋体" w:eastAsia="仿宋_GB2312" w:cs="宋体"/>
                <w:sz w:val="32"/>
                <w:szCs w:val="32"/>
              </w:rPr>
            </w:pPr>
            <w:r>
              <w:rPr>
                <w:rFonts w:hint="eastAsia" w:ascii="仿宋_GB2312" w:eastAsia="仿宋_GB2312"/>
                <w:sz w:val="32"/>
                <w:szCs w:val="32"/>
              </w:rPr>
              <w:t>可持续影响指标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7D61E10">
            <w:pPr>
              <w:rPr>
                <w:rFonts w:ascii="仿宋_GB2312" w:hAnsi="宋体" w:eastAsia="仿宋_GB2312" w:cs="宋体"/>
                <w:sz w:val="32"/>
                <w:szCs w:val="32"/>
              </w:rPr>
            </w:pPr>
            <w:r>
              <w:rPr>
                <w:rFonts w:hint="eastAsia" w:ascii="仿宋_GB2312" w:eastAsia="仿宋_GB2312"/>
                <w:sz w:val="32"/>
                <w:szCs w:val="32"/>
              </w:rPr>
              <w:t>项目可持续发挥作用的期限</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C6D1E0">
            <w:pPr>
              <w:rPr>
                <w:rFonts w:ascii="仿宋_GB2312" w:hAnsi="宋体" w:eastAsia="仿宋_GB2312" w:cs="宋体"/>
                <w:sz w:val="32"/>
                <w:szCs w:val="32"/>
              </w:rPr>
            </w:pPr>
            <w:r>
              <w:rPr>
                <w:rFonts w:hint="eastAsia" w:ascii="仿宋_GB2312" w:eastAsia="仿宋_GB2312"/>
                <w:sz w:val="32"/>
                <w:szCs w:val="32"/>
              </w:rPr>
              <w:t>长期</w:t>
            </w:r>
          </w:p>
        </w:tc>
      </w:tr>
      <w:tr w14:paraId="4C51A174">
        <w:tblPrEx>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B1B8A4">
            <w:pPr>
              <w:jc w:val="center"/>
              <w:rPr>
                <w:rFonts w:ascii="仿宋_GB2312" w:hAnsi="宋体" w:eastAsia="仿宋_GB2312" w:cs="宋体"/>
                <w:sz w:val="32"/>
                <w:szCs w:val="32"/>
              </w:rPr>
            </w:pPr>
            <w:r>
              <w:rPr>
                <w:rFonts w:hint="eastAsia" w:ascii="仿宋_GB2312" w:eastAsia="仿宋_GB2312"/>
                <w:sz w:val="32"/>
                <w:szCs w:val="32"/>
              </w:rPr>
              <w:t>满意度指标</w:t>
            </w:r>
          </w:p>
        </w:tc>
        <w:tc>
          <w:tcPr>
            <w:tcW w:w="8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DDD8A2">
            <w:pPr>
              <w:jc w:val="center"/>
              <w:rPr>
                <w:rFonts w:ascii="仿宋_GB2312" w:hAnsi="宋体" w:eastAsia="仿宋_GB2312" w:cs="宋体"/>
                <w:sz w:val="32"/>
                <w:szCs w:val="32"/>
              </w:rPr>
            </w:pPr>
            <w:r>
              <w:rPr>
                <w:rFonts w:hint="eastAsia" w:ascii="仿宋_GB2312" w:eastAsia="仿宋_GB2312"/>
                <w:sz w:val="32"/>
                <w:szCs w:val="32"/>
              </w:rPr>
              <w:t>服务对象满意度指标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805BD36">
            <w:pPr>
              <w:rPr>
                <w:rFonts w:ascii="仿宋_GB2312" w:hAnsi="宋体" w:eastAsia="仿宋_GB2312" w:cs="宋体"/>
                <w:sz w:val="32"/>
                <w:szCs w:val="32"/>
              </w:rPr>
            </w:pPr>
            <w:r>
              <w:rPr>
                <w:rFonts w:hint="eastAsia" w:ascii="仿宋_GB2312" w:eastAsia="仿宋_GB2312"/>
                <w:sz w:val="32"/>
                <w:szCs w:val="32"/>
              </w:rPr>
              <w:t>群众满意度</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1A5750">
            <w:pPr>
              <w:rPr>
                <w:rFonts w:ascii="仿宋_GB2312" w:hAnsi="宋体" w:eastAsia="仿宋_GB2312" w:cs="宋体"/>
                <w:sz w:val="32"/>
                <w:szCs w:val="32"/>
              </w:rPr>
            </w:pPr>
            <w:r>
              <w:rPr>
                <w:rFonts w:hint="eastAsia" w:ascii="仿宋_GB2312" w:hAnsi="宋体" w:cs="宋体"/>
                <w:sz w:val="32"/>
                <w:szCs w:val="32"/>
              </w:rPr>
              <w:t>≧</w:t>
            </w:r>
            <w:r>
              <w:rPr>
                <w:rFonts w:hint="eastAsia" w:ascii="仿宋_GB2312" w:eastAsia="仿宋_GB2312"/>
                <w:sz w:val="32"/>
                <w:szCs w:val="32"/>
              </w:rPr>
              <w:t>95%</w:t>
            </w:r>
          </w:p>
        </w:tc>
      </w:tr>
    </w:tbl>
    <w:p w14:paraId="5CFDE40D">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“乡镇财政所专项工作经费”项目</w:t>
      </w:r>
    </w:p>
    <w:p w14:paraId="5EBB5F0C">
      <w:pPr>
        <w:adjustRightInd w:val="0"/>
        <w:snapToGrid w:val="0"/>
        <w:spacing w:line="560" w:lineRule="exact"/>
        <w:ind w:left="105" w:leftChars="50"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总体目标是</w:t>
      </w:r>
      <w:r>
        <w:rPr>
          <w:rFonts w:hint="eastAsia" w:ascii="仿宋_GB2312" w:hAnsi="宋体" w:eastAsia="仿宋_GB2312"/>
          <w:sz w:val="32"/>
          <w:szCs w:val="32"/>
          <w:lang w:val="zh-CN"/>
        </w:rPr>
        <w:t>：加强乡镇财政所标准化、规范化建设，确保工作顺利开展。</w:t>
      </w:r>
    </w:p>
    <w:p w14:paraId="36C692CB">
      <w:pPr>
        <w:adjustRightInd w:val="0"/>
        <w:snapToGrid w:val="0"/>
        <w:spacing w:line="560" w:lineRule="exact"/>
        <w:ind w:firstLine="803" w:firstLineChars="250"/>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9229" w:type="dxa"/>
        <w:tblInd w:w="93" w:type="dxa"/>
        <w:tblLayout w:type="autofit"/>
        <w:tblCellMar>
          <w:top w:w="0" w:type="dxa"/>
          <w:left w:w="108" w:type="dxa"/>
          <w:bottom w:w="0" w:type="dxa"/>
          <w:right w:w="108" w:type="dxa"/>
        </w:tblCellMar>
      </w:tblPr>
      <w:tblGrid>
        <w:gridCol w:w="1300"/>
        <w:gridCol w:w="1220"/>
        <w:gridCol w:w="3140"/>
        <w:gridCol w:w="3569"/>
      </w:tblGrid>
      <w:tr w14:paraId="7DEC6E51">
        <w:tblPrEx>
          <w:tblCellMar>
            <w:top w:w="0" w:type="dxa"/>
            <w:left w:w="108" w:type="dxa"/>
            <w:bottom w:w="0" w:type="dxa"/>
            <w:right w:w="108" w:type="dxa"/>
          </w:tblCellMar>
        </w:tblPrEx>
        <w:trPr>
          <w:trHeight w:val="559"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26B71">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一级指标</w:t>
            </w:r>
          </w:p>
        </w:tc>
        <w:tc>
          <w:tcPr>
            <w:tcW w:w="1220" w:type="dxa"/>
            <w:tcBorders>
              <w:top w:val="single" w:color="auto" w:sz="4" w:space="0"/>
              <w:left w:val="nil"/>
              <w:bottom w:val="single" w:color="auto" w:sz="4" w:space="0"/>
              <w:right w:val="single" w:color="auto" w:sz="4" w:space="0"/>
            </w:tcBorders>
            <w:shd w:val="clear" w:color="auto" w:fill="auto"/>
            <w:vAlign w:val="center"/>
          </w:tcPr>
          <w:p w14:paraId="198A373C">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vAlign w:val="center"/>
          </w:tcPr>
          <w:p w14:paraId="44817D7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三级指标</w:t>
            </w:r>
          </w:p>
        </w:tc>
        <w:tc>
          <w:tcPr>
            <w:tcW w:w="3569" w:type="dxa"/>
            <w:tcBorders>
              <w:top w:val="single" w:color="auto" w:sz="4" w:space="0"/>
              <w:left w:val="nil"/>
              <w:bottom w:val="single" w:color="auto" w:sz="4" w:space="0"/>
              <w:right w:val="single" w:color="auto" w:sz="4" w:space="0"/>
            </w:tcBorders>
            <w:shd w:val="clear" w:color="auto" w:fill="auto"/>
            <w:noWrap/>
            <w:vAlign w:val="center"/>
          </w:tcPr>
          <w:p w14:paraId="34DE165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指标值（包含数字及文字描述）</w:t>
            </w:r>
          </w:p>
        </w:tc>
      </w:tr>
      <w:tr w14:paraId="1B356677">
        <w:tblPrEx>
          <w:tblCellMar>
            <w:top w:w="0" w:type="dxa"/>
            <w:left w:w="108" w:type="dxa"/>
            <w:bottom w:w="0" w:type="dxa"/>
            <w:right w:w="108" w:type="dxa"/>
          </w:tblCellMar>
        </w:tblPrEx>
        <w:trPr>
          <w:trHeight w:val="765" w:hRule="atLeast"/>
        </w:trPr>
        <w:tc>
          <w:tcPr>
            <w:tcW w:w="13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EAFB355">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产出指标</w:t>
            </w:r>
          </w:p>
        </w:tc>
        <w:tc>
          <w:tcPr>
            <w:tcW w:w="1220" w:type="dxa"/>
            <w:tcBorders>
              <w:top w:val="single" w:color="auto" w:sz="4" w:space="0"/>
              <w:left w:val="nil"/>
              <w:bottom w:val="nil"/>
              <w:right w:val="single" w:color="auto" w:sz="4" w:space="0"/>
            </w:tcBorders>
            <w:shd w:val="clear" w:color="auto" w:fill="auto"/>
            <w:vAlign w:val="center"/>
          </w:tcPr>
          <w:p w14:paraId="68D4A8E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vAlign w:val="center"/>
          </w:tcPr>
          <w:p w14:paraId="60C88419">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凭证、报表、账簿打印；预、决算编制及公开报表打印；综合财务报告编制打印；设备耗材费</w:t>
            </w:r>
          </w:p>
        </w:tc>
        <w:tc>
          <w:tcPr>
            <w:tcW w:w="3569" w:type="dxa"/>
            <w:tcBorders>
              <w:top w:val="nil"/>
              <w:left w:val="nil"/>
              <w:bottom w:val="single" w:color="auto" w:sz="4" w:space="0"/>
              <w:right w:val="single" w:color="auto" w:sz="4" w:space="0"/>
            </w:tcBorders>
            <w:shd w:val="clear" w:color="auto" w:fill="auto"/>
            <w:vAlign w:val="center"/>
          </w:tcPr>
          <w:p w14:paraId="3924CF3D">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凭证、报表打印12次/年，账簿打印6本/年；预、决算编制及公开4次/年；综合财务报告打印1次/年</w:t>
            </w:r>
          </w:p>
        </w:tc>
      </w:tr>
      <w:tr w14:paraId="6DCE07D4">
        <w:tblPrEx>
          <w:tblCellMar>
            <w:top w:w="0" w:type="dxa"/>
            <w:left w:w="108" w:type="dxa"/>
            <w:bottom w:w="0" w:type="dxa"/>
            <w:right w:w="108" w:type="dxa"/>
          </w:tblCellMar>
        </w:tblPrEx>
        <w:trPr>
          <w:trHeight w:val="642" w:hRule="atLeast"/>
        </w:trPr>
        <w:tc>
          <w:tcPr>
            <w:tcW w:w="1300" w:type="dxa"/>
            <w:vMerge w:val="continue"/>
            <w:tcBorders>
              <w:top w:val="single" w:color="auto" w:sz="4" w:space="0"/>
              <w:left w:val="single" w:color="auto" w:sz="4" w:space="0"/>
              <w:bottom w:val="single" w:color="000000" w:sz="4" w:space="0"/>
              <w:right w:val="single" w:color="auto" w:sz="4" w:space="0"/>
            </w:tcBorders>
            <w:vAlign w:val="center"/>
          </w:tcPr>
          <w:p w14:paraId="226889B3">
            <w:pPr>
              <w:widowControl/>
              <w:jc w:val="left"/>
              <w:rPr>
                <w:rFonts w:ascii="仿宋_GB2312" w:hAnsi="宋体" w:eastAsia="仿宋_GB2312" w:cs="宋体"/>
                <w:kern w:val="0"/>
                <w:sz w:val="32"/>
                <w:szCs w:val="32"/>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1CA48E74">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质量指标</w:t>
            </w:r>
          </w:p>
        </w:tc>
        <w:tc>
          <w:tcPr>
            <w:tcW w:w="3140" w:type="dxa"/>
            <w:tcBorders>
              <w:top w:val="nil"/>
              <w:left w:val="nil"/>
              <w:bottom w:val="single" w:color="auto" w:sz="4" w:space="0"/>
              <w:right w:val="single" w:color="auto" w:sz="4" w:space="0"/>
            </w:tcBorders>
            <w:shd w:val="clear" w:color="auto" w:fill="auto"/>
            <w:vAlign w:val="center"/>
          </w:tcPr>
          <w:p w14:paraId="095CB197">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预、决算编制，凭证、账簿、报表、报告编制，会计档案保管</w:t>
            </w:r>
          </w:p>
        </w:tc>
        <w:tc>
          <w:tcPr>
            <w:tcW w:w="3569" w:type="dxa"/>
            <w:tcBorders>
              <w:top w:val="nil"/>
              <w:left w:val="nil"/>
              <w:bottom w:val="single" w:color="auto" w:sz="4" w:space="0"/>
              <w:right w:val="single" w:color="auto" w:sz="4" w:space="0"/>
            </w:tcBorders>
            <w:shd w:val="clear" w:color="auto" w:fill="auto"/>
            <w:vAlign w:val="center"/>
          </w:tcPr>
          <w:p w14:paraId="25A6449F">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预、决算准确率</w:t>
            </w:r>
            <w:r>
              <w:rPr>
                <w:rFonts w:hint="eastAsia" w:ascii="仿宋_GB2312" w:hAnsi="宋体" w:cs="宋体"/>
                <w:kern w:val="0"/>
                <w:sz w:val="32"/>
                <w:szCs w:val="32"/>
              </w:rPr>
              <w:t>≧</w:t>
            </w:r>
            <w:r>
              <w:rPr>
                <w:rFonts w:hint="eastAsia" w:ascii="仿宋_GB2312" w:hAnsi="宋体" w:eastAsia="仿宋_GB2312" w:cs="宋体"/>
                <w:kern w:val="0"/>
                <w:sz w:val="32"/>
                <w:szCs w:val="32"/>
              </w:rPr>
              <w:t>95%，凭证，账簿、报表等完整率100%</w:t>
            </w:r>
          </w:p>
        </w:tc>
      </w:tr>
      <w:tr w14:paraId="1EAF1DBB">
        <w:tblPrEx>
          <w:tblCellMar>
            <w:top w:w="0" w:type="dxa"/>
            <w:left w:w="108" w:type="dxa"/>
            <w:bottom w:w="0" w:type="dxa"/>
            <w:right w:w="108" w:type="dxa"/>
          </w:tblCellMar>
        </w:tblPrEx>
        <w:trPr>
          <w:trHeight w:val="642" w:hRule="atLeast"/>
        </w:trPr>
        <w:tc>
          <w:tcPr>
            <w:tcW w:w="1300" w:type="dxa"/>
            <w:vMerge w:val="continue"/>
            <w:tcBorders>
              <w:top w:val="single" w:color="auto" w:sz="4" w:space="0"/>
              <w:left w:val="single" w:color="auto" w:sz="4" w:space="0"/>
              <w:bottom w:val="single" w:color="000000" w:sz="4" w:space="0"/>
              <w:right w:val="single" w:color="auto" w:sz="4" w:space="0"/>
            </w:tcBorders>
            <w:vAlign w:val="center"/>
          </w:tcPr>
          <w:p w14:paraId="7F8505CA">
            <w:pPr>
              <w:widowControl/>
              <w:jc w:val="left"/>
              <w:rPr>
                <w:rFonts w:ascii="仿宋_GB2312" w:hAnsi="宋体" w:eastAsia="仿宋_GB2312" w:cs="宋体"/>
                <w:kern w:val="0"/>
                <w:sz w:val="32"/>
                <w:szCs w:val="32"/>
              </w:rPr>
            </w:pPr>
          </w:p>
        </w:tc>
        <w:tc>
          <w:tcPr>
            <w:tcW w:w="1220" w:type="dxa"/>
            <w:tcBorders>
              <w:top w:val="nil"/>
              <w:left w:val="single" w:color="auto" w:sz="4" w:space="0"/>
              <w:bottom w:val="single" w:color="auto" w:sz="4" w:space="0"/>
              <w:right w:val="single" w:color="auto" w:sz="4" w:space="0"/>
            </w:tcBorders>
            <w:shd w:val="clear" w:color="auto" w:fill="auto"/>
            <w:vAlign w:val="center"/>
          </w:tcPr>
          <w:p w14:paraId="72BAE72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时效指标</w:t>
            </w:r>
          </w:p>
        </w:tc>
        <w:tc>
          <w:tcPr>
            <w:tcW w:w="3140" w:type="dxa"/>
            <w:tcBorders>
              <w:top w:val="nil"/>
              <w:left w:val="nil"/>
              <w:bottom w:val="single" w:color="auto" w:sz="4" w:space="0"/>
              <w:right w:val="single" w:color="auto" w:sz="4" w:space="0"/>
            </w:tcBorders>
            <w:shd w:val="clear" w:color="auto" w:fill="auto"/>
            <w:vAlign w:val="center"/>
          </w:tcPr>
          <w:p w14:paraId="36F103B8">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完成时间</w:t>
            </w:r>
          </w:p>
        </w:tc>
        <w:tc>
          <w:tcPr>
            <w:tcW w:w="3569" w:type="dxa"/>
            <w:tcBorders>
              <w:top w:val="nil"/>
              <w:left w:val="nil"/>
              <w:bottom w:val="single" w:color="auto" w:sz="4" w:space="0"/>
              <w:right w:val="single" w:color="auto" w:sz="4" w:space="0"/>
            </w:tcBorders>
            <w:shd w:val="clear" w:color="auto" w:fill="auto"/>
            <w:vAlign w:val="center"/>
          </w:tcPr>
          <w:p w14:paraId="7EB12139">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2020年12月31日前</w:t>
            </w:r>
          </w:p>
        </w:tc>
      </w:tr>
      <w:tr w14:paraId="2A1B00C4">
        <w:tblPrEx>
          <w:tblCellMar>
            <w:top w:w="0" w:type="dxa"/>
            <w:left w:w="108" w:type="dxa"/>
            <w:bottom w:w="0" w:type="dxa"/>
            <w:right w:w="108" w:type="dxa"/>
          </w:tblCellMar>
        </w:tblPrEx>
        <w:trPr>
          <w:trHeight w:val="765" w:hRule="atLeast"/>
        </w:trPr>
        <w:tc>
          <w:tcPr>
            <w:tcW w:w="1300" w:type="dxa"/>
            <w:vMerge w:val="continue"/>
            <w:tcBorders>
              <w:top w:val="single" w:color="auto" w:sz="4" w:space="0"/>
              <w:left w:val="single" w:color="auto" w:sz="4" w:space="0"/>
              <w:bottom w:val="single" w:color="000000" w:sz="4" w:space="0"/>
              <w:right w:val="single" w:color="auto" w:sz="4" w:space="0"/>
            </w:tcBorders>
            <w:vAlign w:val="center"/>
          </w:tcPr>
          <w:p w14:paraId="56A28C96">
            <w:pPr>
              <w:widowControl/>
              <w:jc w:val="left"/>
              <w:rPr>
                <w:rFonts w:ascii="仿宋_GB2312" w:hAnsi="宋体" w:eastAsia="仿宋_GB2312" w:cs="宋体"/>
                <w:kern w:val="0"/>
                <w:sz w:val="32"/>
                <w:szCs w:val="32"/>
              </w:rPr>
            </w:pPr>
          </w:p>
        </w:tc>
        <w:tc>
          <w:tcPr>
            <w:tcW w:w="1220" w:type="dxa"/>
            <w:tcBorders>
              <w:top w:val="nil"/>
              <w:left w:val="single" w:color="auto" w:sz="4" w:space="0"/>
              <w:bottom w:val="single" w:color="auto" w:sz="4" w:space="0"/>
              <w:right w:val="single" w:color="auto" w:sz="4" w:space="0"/>
            </w:tcBorders>
            <w:shd w:val="clear" w:color="auto" w:fill="auto"/>
            <w:vAlign w:val="center"/>
          </w:tcPr>
          <w:p w14:paraId="1DD3B80C">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成本指标</w:t>
            </w:r>
          </w:p>
        </w:tc>
        <w:tc>
          <w:tcPr>
            <w:tcW w:w="3140" w:type="dxa"/>
            <w:tcBorders>
              <w:top w:val="nil"/>
              <w:left w:val="nil"/>
              <w:bottom w:val="single" w:color="auto" w:sz="4" w:space="0"/>
              <w:right w:val="single" w:color="auto" w:sz="4" w:space="0"/>
            </w:tcBorders>
            <w:shd w:val="clear" w:color="auto" w:fill="auto"/>
            <w:vAlign w:val="center"/>
          </w:tcPr>
          <w:p w14:paraId="7236ECF1">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凭证、账簿、能源及耗材</w:t>
            </w:r>
          </w:p>
        </w:tc>
        <w:tc>
          <w:tcPr>
            <w:tcW w:w="3569" w:type="dxa"/>
            <w:tcBorders>
              <w:top w:val="nil"/>
              <w:left w:val="nil"/>
              <w:bottom w:val="single" w:color="auto" w:sz="4" w:space="0"/>
              <w:right w:val="single" w:color="auto" w:sz="4" w:space="0"/>
            </w:tcBorders>
            <w:shd w:val="clear" w:color="auto" w:fill="auto"/>
            <w:vAlign w:val="center"/>
          </w:tcPr>
          <w:p w14:paraId="1E81889D">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凭证打印装订360元/年；账簿打印装订180元/年；能源消耗1200元/年，设备维护及办公耗材600元/月；其他办公费用1060元/年</w:t>
            </w:r>
          </w:p>
        </w:tc>
      </w:tr>
      <w:tr w14:paraId="5C0B5B9C">
        <w:tblPrEx>
          <w:tblCellMar>
            <w:top w:w="0" w:type="dxa"/>
            <w:left w:w="108" w:type="dxa"/>
            <w:bottom w:w="0" w:type="dxa"/>
            <w:right w:w="108" w:type="dxa"/>
          </w:tblCellMar>
        </w:tblPrEx>
        <w:trPr>
          <w:trHeight w:val="720" w:hRule="atLeast"/>
        </w:trPr>
        <w:tc>
          <w:tcPr>
            <w:tcW w:w="1300" w:type="dxa"/>
            <w:vMerge w:val="restart"/>
            <w:tcBorders>
              <w:top w:val="nil"/>
              <w:left w:val="single" w:color="auto" w:sz="4" w:space="0"/>
              <w:bottom w:val="single" w:color="000000" w:sz="4" w:space="0"/>
              <w:right w:val="single" w:color="auto" w:sz="4" w:space="0"/>
            </w:tcBorders>
            <w:shd w:val="clear" w:color="auto" w:fill="auto"/>
            <w:noWrap/>
            <w:vAlign w:val="center"/>
          </w:tcPr>
          <w:p w14:paraId="05612659">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效益指标</w:t>
            </w:r>
          </w:p>
        </w:tc>
        <w:tc>
          <w:tcPr>
            <w:tcW w:w="1220" w:type="dxa"/>
            <w:tcBorders>
              <w:top w:val="single" w:color="auto" w:sz="4" w:space="0"/>
              <w:left w:val="nil"/>
              <w:bottom w:val="nil"/>
              <w:right w:val="single" w:color="auto" w:sz="4" w:space="0"/>
            </w:tcBorders>
            <w:shd w:val="clear" w:color="auto" w:fill="auto"/>
            <w:vAlign w:val="center"/>
          </w:tcPr>
          <w:p w14:paraId="3DB4F297">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vAlign w:val="center"/>
          </w:tcPr>
          <w:p w14:paraId="3DEEC579">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促进工作，规范监督</w:t>
            </w:r>
          </w:p>
        </w:tc>
        <w:tc>
          <w:tcPr>
            <w:tcW w:w="3569" w:type="dxa"/>
            <w:tcBorders>
              <w:top w:val="nil"/>
              <w:left w:val="nil"/>
              <w:bottom w:val="single" w:color="auto" w:sz="4" w:space="0"/>
              <w:right w:val="single" w:color="auto" w:sz="4" w:space="0"/>
            </w:tcBorders>
            <w:shd w:val="clear" w:color="auto" w:fill="auto"/>
            <w:vAlign w:val="center"/>
          </w:tcPr>
          <w:p w14:paraId="4A8BF453">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会计档案规范管理，方便查询，通过财务公开，接受群众监督</w:t>
            </w:r>
          </w:p>
        </w:tc>
      </w:tr>
      <w:tr w14:paraId="329FE1B8">
        <w:tblPrEx>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14:paraId="508CBE6A">
            <w:pPr>
              <w:widowControl/>
              <w:jc w:val="left"/>
              <w:rPr>
                <w:rFonts w:ascii="仿宋_GB2312" w:hAnsi="宋体" w:eastAsia="仿宋_GB2312" w:cs="宋体"/>
                <w:kern w:val="0"/>
                <w:sz w:val="32"/>
                <w:szCs w:val="32"/>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090DDC1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可持续影响指标</w:t>
            </w:r>
          </w:p>
        </w:tc>
        <w:tc>
          <w:tcPr>
            <w:tcW w:w="3140" w:type="dxa"/>
            <w:tcBorders>
              <w:top w:val="nil"/>
              <w:left w:val="nil"/>
              <w:bottom w:val="single" w:color="auto" w:sz="4" w:space="0"/>
              <w:right w:val="single" w:color="auto" w:sz="4" w:space="0"/>
            </w:tcBorders>
            <w:shd w:val="clear" w:color="auto" w:fill="auto"/>
            <w:vAlign w:val="center"/>
          </w:tcPr>
          <w:p w14:paraId="3D4C7BC3">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会计凭证、账簿、报表等会计档规范管理</w:t>
            </w:r>
          </w:p>
        </w:tc>
        <w:tc>
          <w:tcPr>
            <w:tcW w:w="3569" w:type="dxa"/>
            <w:tcBorders>
              <w:top w:val="nil"/>
              <w:left w:val="nil"/>
              <w:bottom w:val="single" w:color="auto" w:sz="4" w:space="0"/>
              <w:right w:val="single" w:color="auto" w:sz="4" w:space="0"/>
            </w:tcBorders>
            <w:shd w:val="clear" w:color="auto" w:fill="auto"/>
            <w:vAlign w:val="center"/>
          </w:tcPr>
          <w:p w14:paraId="79EE1699">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长期</w:t>
            </w:r>
          </w:p>
        </w:tc>
      </w:tr>
      <w:tr w14:paraId="42267685">
        <w:tblPrEx>
          <w:tblCellMar>
            <w:top w:w="0" w:type="dxa"/>
            <w:left w:w="108" w:type="dxa"/>
            <w:bottom w:w="0" w:type="dxa"/>
            <w:right w:w="108" w:type="dxa"/>
          </w:tblCellMar>
        </w:tblPrEx>
        <w:trPr>
          <w:trHeight w:val="720"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6EAC1">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满意度指标</w:t>
            </w:r>
          </w:p>
        </w:tc>
        <w:tc>
          <w:tcPr>
            <w:tcW w:w="1220" w:type="dxa"/>
            <w:tcBorders>
              <w:top w:val="nil"/>
              <w:left w:val="nil"/>
              <w:bottom w:val="single" w:color="auto" w:sz="4" w:space="0"/>
              <w:right w:val="single" w:color="auto" w:sz="4" w:space="0"/>
            </w:tcBorders>
            <w:shd w:val="clear" w:color="auto" w:fill="auto"/>
            <w:vAlign w:val="center"/>
          </w:tcPr>
          <w:p w14:paraId="429FC505">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服务对象满意度指标</w:t>
            </w:r>
          </w:p>
        </w:tc>
        <w:tc>
          <w:tcPr>
            <w:tcW w:w="3140" w:type="dxa"/>
            <w:tcBorders>
              <w:top w:val="nil"/>
              <w:left w:val="nil"/>
              <w:bottom w:val="single" w:color="auto" w:sz="4" w:space="0"/>
              <w:right w:val="single" w:color="auto" w:sz="4" w:space="0"/>
            </w:tcBorders>
            <w:shd w:val="clear" w:color="auto" w:fill="auto"/>
            <w:vAlign w:val="center"/>
          </w:tcPr>
          <w:p w14:paraId="4A75DD11">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主管部门满意度，群众满意度</w:t>
            </w:r>
          </w:p>
        </w:tc>
        <w:tc>
          <w:tcPr>
            <w:tcW w:w="3569" w:type="dxa"/>
            <w:tcBorders>
              <w:top w:val="nil"/>
              <w:left w:val="nil"/>
              <w:bottom w:val="single" w:color="auto" w:sz="4" w:space="0"/>
              <w:right w:val="single" w:color="auto" w:sz="4" w:space="0"/>
            </w:tcBorders>
            <w:shd w:val="clear" w:color="auto" w:fill="auto"/>
            <w:vAlign w:val="center"/>
          </w:tcPr>
          <w:p w14:paraId="1B323FCD">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分别达到</w:t>
            </w:r>
            <w:r>
              <w:rPr>
                <w:rFonts w:hint="eastAsia" w:ascii="仿宋_GB2312" w:hAnsi="宋体" w:cs="宋体"/>
                <w:kern w:val="0"/>
                <w:sz w:val="32"/>
                <w:szCs w:val="32"/>
              </w:rPr>
              <w:t>≧</w:t>
            </w:r>
            <w:r>
              <w:rPr>
                <w:rFonts w:hint="eastAsia" w:ascii="仿宋_GB2312" w:hAnsi="宋体" w:eastAsia="仿宋_GB2312" w:cs="宋体"/>
                <w:kern w:val="0"/>
                <w:sz w:val="32"/>
                <w:szCs w:val="32"/>
              </w:rPr>
              <w:t>95%</w:t>
            </w:r>
          </w:p>
        </w:tc>
      </w:tr>
    </w:tbl>
    <w:p w14:paraId="7BF59BB7">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“‘三资’管理中心运转经费”项目</w:t>
      </w:r>
    </w:p>
    <w:p w14:paraId="7EFA0D56">
      <w:pPr>
        <w:adjustRightInd w:val="0"/>
        <w:snapToGrid w:val="0"/>
        <w:spacing w:line="560" w:lineRule="exact"/>
        <w:ind w:left="105" w:leftChars="50" w:firstLine="640" w:firstLineChars="200"/>
        <w:rPr>
          <w:rFonts w:ascii="仿宋_GB2312" w:hAnsi="宋体" w:eastAsia="仿宋_GB2312"/>
          <w:sz w:val="32"/>
          <w:szCs w:val="32"/>
        </w:rPr>
      </w:pPr>
      <w:r>
        <w:rPr>
          <w:rFonts w:hint="eastAsia" w:ascii="仿宋_GB2312" w:hAnsi="宋体" w:eastAsia="仿宋_GB2312"/>
          <w:sz w:val="32"/>
          <w:szCs w:val="32"/>
          <w:lang w:val="zh-CN"/>
        </w:rPr>
        <w:t xml:space="preserve"> </w:t>
      </w:r>
      <w:r>
        <w:rPr>
          <w:rFonts w:hint="eastAsia" w:ascii="仿宋_GB2312" w:hAnsi="宋体" w:eastAsia="仿宋_GB2312"/>
          <w:b/>
          <w:sz w:val="32"/>
          <w:szCs w:val="32"/>
          <w:lang w:val="zh-CN"/>
        </w:rPr>
        <w:t>总体目标是：</w:t>
      </w:r>
      <w:r>
        <w:rPr>
          <w:rFonts w:hint="eastAsia" w:ascii="仿宋_GB2312" w:hAnsi="宋体" w:eastAsia="仿宋_GB2312"/>
          <w:sz w:val="32"/>
          <w:szCs w:val="32"/>
          <w:lang w:val="zh-CN"/>
        </w:rPr>
        <w:t>确保“三资”管理中心正常运转，购置必要的办公设施设备和临时聘用人员所需劳务费等方面开支。</w:t>
      </w:r>
    </w:p>
    <w:p w14:paraId="518408D1">
      <w:pPr>
        <w:adjustRightInd w:val="0"/>
        <w:snapToGrid w:val="0"/>
        <w:spacing w:line="560" w:lineRule="exact"/>
        <w:ind w:left="105" w:leftChars="50" w:firstLine="803" w:firstLineChars="250"/>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9229" w:type="dxa"/>
        <w:tblInd w:w="93" w:type="dxa"/>
        <w:tblLayout w:type="autofit"/>
        <w:tblCellMar>
          <w:top w:w="0" w:type="dxa"/>
          <w:left w:w="108" w:type="dxa"/>
          <w:bottom w:w="0" w:type="dxa"/>
          <w:right w:w="108" w:type="dxa"/>
        </w:tblCellMar>
      </w:tblPr>
      <w:tblGrid>
        <w:gridCol w:w="1300"/>
        <w:gridCol w:w="1220"/>
        <w:gridCol w:w="3140"/>
        <w:gridCol w:w="3569"/>
      </w:tblGrid>
      <w:tr w14:paraId="4F2AFA15">
        <w:tblPrEx>
          <w:tblCellMar>
            <w:top w:w="0" w:type="dxa"/>
            <w:left w:w="108" w:type="dxa"/>
            <w:bottom w:w="0" w:type="dxa"/>
            <w:right w:w="108" w:type="dxa"/>
          </w:tblCellMar>
        </w:tblPrEx>
        <w:trPr>
          <w:trHeight w:val="559"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0219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一级指标</w:t>
            </w:r>
          </w:p>
        </w:tc>
        <w:tc>
          <w:tcPr>
            <w:tcW w:w="1220" w:type="dxa"/>
            <w:tcBorders>
              <w:top w:val="single" w:color="auto" w:sz="4" w:space="0"/>
              <w:left w:val="nil"/>
              <w:bottom w:val="single" w:color="auto" w:sz="4" w:space="0"/>
              <w:right w:val="single" w:color="auto" w:sz="4" w:space="0"/>
            </w:tcBorders>
            <w:shd w:val="clear" w:color="auto" w:fill="auto"/>
            <w:vAlign w:val="center"/>
          </w:tcPr>
          <w:p w14:paraId="6CBA90F8">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vAlign w:val="center"/>
          </w:tcPr>
          <w:p w14:paraId="042A17F1">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三级指标</w:t>
            </w:r>
          </w:p>
        </w:tc>
        <w:tc>
          <w:tcPr>
            <w:tcW w:w="3569" w:type="dxa"/>
            <w:tcBorders>
              <w:top w:val="single" w:color="auto" w:sz="4" w:space="0"/>
              <w:left w:val="nil"/>
              <w:bottom w:val="single" w:color="auto" w:sz="4" w:space="0"/>
              <w:right w:val="single" w:color="auto" w:sz="4" w:space="0"/>
            </w:tcBorders>
            <w:shd w:val="clear" w:color="auto" w:fill="auto"/>
            <w:noWrap/>
            <w:vAlign w:val="center"/>
          </w:tcPr>
          <w:p w14:paraId="6DF77C2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指标值（包含数字及文字描述）</w:t>
            </w:r>
          </w:p>
        </w:tc>
      </w:tr>
      <w:tr w14:paraId="5A2E88AC">
        <w:tblPrEx>
          <w:tblCellMar>
            <w:top w:w="0" w:type="dxa"/>
            <w:left w:w="108" w:type="dxa"/>
            <w:bottom w:w="0" w:type="dxa"/>
            <w:right w:w="108" w:type="dxa"/>
          </w:tblCellMar>
        </w:tblPrEx>
        <w:trPr>
          <w:trHeight w:val="765" w:hRule="atLeast"/>
        </w:trPr>
        <w:tc>
          <w:tcPr>
            <w:tcW w:w="13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E33166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产出指标</w:t>
            </w:r>
          </w:p>
        </w:tc>
        <w:tc>
          <w:tcPr>
            <w:tcW w:w="1220" w:type="dxa"/>
            <w:tcBorders>
              <w:top w:val="single" w:color="auto" w:sz="4" w:space="0"/>
              <w:left w:val="nil"/>
              <w:bottom w:val="nil"/>
              <w:right w:val="single" w:color="auto" w:sz="4" w:space="0"/>
            </w:tcBorders>
            <w:shd w:val="clear" w:color="auto" w:fill="auto"/>
            <w:vAlign w:val="center"/>
          </w:tcPr>
          <w:p w14:paraId="680C34A4">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vAlign w:val="center"/>
          </w:tcPr>
          <w:p w14:paraId="1627D25A">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会计核算及财务公开</w:t>
            </w:r>
          </w:p>
        </w:tc>
        <w:tc>
          <w:tcPr>
            <w:tcW w:w="3569" w:type="dxa"/>
            <w:tcBorders>
              <w:top w:val="nil"/>
              <w:left w:val="nil"/>
              <w:bottom w:val="single" w:color="auto" w:sz="4" w:space="0"/>
              <w:right w:val="single" w:color="auto" w:sz="4" w:space="0"/>
            </w:tcBorders>
            <w:shd w:val="clear" w:color="auto" w:fill="auto"/>
            <w:vAlign w:val="center"/>
          </w:tcPr>
          <w:p w14:paraId="0405A18D">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每1个季度完成162个单位会计核算、凭证打印装订、报表编制</w:t>
            </w:r>
          </w:p>
        </w:tc>
      </w:tr>
      <w:tr w14:paraId="5CB2CC9E">
        <w:tblPrEx>
          <w:tblCellMar>
            <w:top w:w="0" w:type="dxa"/>
            <w:left w:w="108" w:type="dxa"/>
            <w:bottom w:w="0" w:type="dxa"/>
            <w:right w:w="108" w:type="dxa"/>
          </w:tblCellMar>
        </w:tblPrEx>
        <w:trPr>
          <w:trHeight w:val="642" w:hRule="atLeast"/>
        </w:trPr>
        <w:tc>
          <w:tcPr>
            <w:tcW w:w="1300" w:type="dxa"/>
            <w:vMerge w:val="continue"/>
            <w:tcBorders>
              <w:top w:val="single" w:color="auto" w:sz="4" w:space="0"/>
              <w:left w:val="single" w:color="auto" w:sz="4" w:space="0"/>
              <w:bottom w:val="single" w:color="000000" w:sz="4" w:space="0"/>
              <w:right w:val="single" w:color="auto" w:sz="4" w:space="0"/>
            </w:tcBorders>
            <w:vAlign w:val="center"/>
          </w:tcPr>
          <w:p w14:paraId="7EDD05AE">
            <w:pPr>
              <w:widowControl/>
              <w:jc w:val="left"/>
              <w:rPr>
                <w:rFonts w:ascii="仿宋_GB2312" w:hAnsi="宋体" w:eastAsia="仿宋_GB2312" w:cs="宋体"/>
                <w:kern w:val="0"/>
                <w:sz w:val="32"/>
                <w:szCs w:val="32"/>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70C234E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质量指标</w:t>
            </w:r>
          </w:p>
        </w:tc>
        <w:tc>
          <w:tcPr>
            <w:tcW w:w="3140" w:type="dxa"/>
            <w:tcBorders>
              <w:top w:val="nil"/>
              <w:left w:val="nil"/>
              <w:bottom w:val="single" w:color="auto" w:sz="4" w:space="0"/>
              <w:right w:val="single" w:color="auto" w:sz="4" w:space="0"/>
            </w:tcBorders>
            <w:shd w:val="clear" w:color="auto" w:fill="auto"/>
            <w:vAlign w:val="center"/>
          </w:tcPr>
          <w:p w14:paraId="2A70046A">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核算准确、账目清晰、装订完整、管理规范</w:t>
            </w:r>
          </w:p>
        </w:tc>
        <w:tc>
          <w:tcPr>
            <w:tcW w:w="3569" w:type="dxa"/>
            <w:tcBorders>
              <w:top w:val="nil"/>
              <w:left w:val="nil"/>
              <w:bottom w:val="single" w:color="auto" w:sz="4" w:space="0"/>
              <w:right w:val="single" w:color="auto" w:sz="4" w:space="0"/>
            </w:tcBorders>
            <w:shd w:val="clear" w:color="auto" w:fill="auto"/>
            <w:vAlign w:val="center"/>
          </w:tcPr>
          <w:p w14:paraId="45BAC208">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r>
      <w:tr w14:paraId="1301CB81">
        <w:tblPrEx>
          <w:tblCellMar>
            <w:top w:w="0" w:type="dxa"/>
            <w:left w:w="108" w:type="dxa"/>
            <w:bottom w:w="0" w:type="dxa"/>
            <w:right w:w="108" w:type="dxa"/>
          </w:tblCellMar>
        </w:tblPrEx>
        <w:trPr>
          <w:trHeight w:val="642" w:hRule="atLeast"/>
        </w:trPr>
        <w:tc>
          <w:tcPr>
            <w:tcW w:w="1300" w:type="dxa"/>
            <w:vMerge w:val="continue"/>
            <w:tcBorders>
              <w:top w:val="single" w:color="auto" w:sz="4" w:space="0"/>
              <w:left w:val="single" w:color="auto" w:sz="4" w:space="0"/>
              <w:bottom w:val="single" w:color="000000" w:sz="4" w:space="0"/>
              <w:right w:val="single" w:color="auto" w:sz="4" w:space="0"/>
            </w:tcBorders>
            <w:vAlign w:val="center"/>
          </w:tcPr>
          <w:p w14:paraId="2BB81997">
            <w:pPr>
              <w:widowControl/>
              <w:jc w:val="left"/>
              <w:rPr>
                <w:rFonts w:ascii="仿宋_GB2312" w:hAnsi="宋体" w:eastAsia="仿宋_GB2312" w:cs="宋体"/>
                <w:kern w:val="0"/>
                <w:sz w:val="32"/>
                <w:szCs w:val="32"/>
              </w:rPr>
            </w:pPr>
          </w:p>
        </w:tc>
        <w:tc>
          <w:tcPr>
            <w:tcW w:w="1220" w:type="dxa"/>
            <w:tcBorders>
              <w:top w:val="nil"/>
              <w:left w:val="single" w:color="auto" w:sz="4" w:space="0"/>
              <w:bottom w:val="single" w:color="auto" w:sz="4" w:space="0"/>
              <w:right w:val="single" w:color="auto" w:sz="4" w:space="0"/>
            </w:tcBorders>
            <w:shd w:val="clear" w:color="auto" w:fill="auto"/>
            <w:vAlign w:val="center"/>
          </w:tcPr>
          <w:p w14:paraId="2098DB3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时效指标</w:t>
            </w:r>
          </w:p>
        </w:tc>
        <w:tc>
          <w:tcPr>
            <w:tcW w:w="3140" w:type="dxa"/>
            <w:tcBorders>
              <w:top w:val="nil"/>
              <w:left w:val="nil"/>
              <w:bottom w:val="single" w:color="auto" w:sz="4" w:space="0"/>
              <w:right w:val="single" w:color="auto" w:sz="4" w:space="0"/>
            </w:tcBorders>
            <w:shd w:val="clear" w:color="auto" w:fill="auto"/>
            <w:vAlign w:val="center"/>
          </w:tcPr>
          <w:p w14:paraId="41A044A1">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完成时间</w:t>
            </w:r>
          </w:p>
        </w:tc>
        <w:tc>
          <w:tcPr>
            <w:tcW w:w="3569" w:type="dxa"/>
            <w:tcBorders>
              <w:top w:val="nil"/>
              <w:left w:val="nil"/>
              <w:bottom w:val="single" w:color="auto" w:sz="4" w:space="0"/>
              <w:right w:val="single" w:color="auto" w:sz="4" w:space="0"/>
            </w:tcBorders>
            <w:shd w:val="clear" w:color="auto" w:fill="auto"/>
            <w:vAlign w:val="center"/>
          </w:tcPr>
          <w:p w14:paraId="4F0E8876">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2020年12月31日前</w:t>
            </w:r>
          </w:p>
        </w:tc>
      </w:tr>
      <w:tr w14:paraId="202B5D90">
        <w:tblPrEx>
          <w:tblCellMar>
            <w:top w:w="0" w:type="dxa"/>
            <w:left w:w="108" w:type="dxa"/>
            <w:bottom w:w="0" w:type="dxa"/>
            <w:right w:w="108" w:type="dxa"/>
          </w:tblCellMar>
        </w:tblPrEx>
        <w:trPr>
          <w:trHeight w:val="642" w:hRule="atLeast"/>
        </w:trPr>
        <w:tc>
          <w:tcPr>
            <w:tcW w:w="1300" w:type="dxa"/>
            <w:vMerge w:val="continue"/>
            <w:tcBorders>
              <w:top w:val="single" w:color="auto" w:sz="4" w:space="0"/>
              <w:left w:val="single" w:color="auto" w:sz="4" w:space="0"/>
              <w:bottom w:val="single" w:color="000000" w:sz="4" w:space="0"/>
              <w:right w:val="single" w:color="auto" w:sz="4" w:space="0"/>
            </w:tcBorders>
            <w:vAlign w:val="center"/>
          </w:tcPr>
          <w:p w14:paraId="2C847A93">
            <w:pPr>
              <w:widowControl/>
              <w:jc w:val="left"/>
              <w:rPr>
                <w:rFonts w:ascii="仿宋_GB2312" w:hAnsi="宋体" w:eastAsia="仿宋_GB2312" w:cs="宋体"/>
                <w:kern w:val="0"/>
                <w:sz w:val="32"/>
                <w:szCs w:val="32"/>
              </w:rPr>
            </w:pPr>
          </w:p>
        </w:tc>
        <w:tc>
          <w:tcPr>
            <w:tcW w:w="1220" w:type="dxa"/>
            <w:tcBorders>
              <w:top w:val="nil"/>
              <w:left w:val="single" w:color="auto" w:sz="4" w:space="0"/>
              <w:bottom w:val="single" w:color="auto" w:sz="4" w:space="0"/>
              <w:right w:val="single" w:color="auto" w:sz="4" w:space="0"/>
            </w:tcBorders>
            <w:shd w:val="clear" w:color="auto" w:fill="auto"/>
            <w:vAlign w:val="center"/>
          </w:tcPr>
          <w:p w14:paraId="75261CD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成本指标</w:t>
            </w:r>
          </w:p>
        </w:tc>
        <w:tc>
          <w:tcPr>
            <w:tcW w:w="3140" w:type="dxa"/>
            <w:tcBorders>
              <w:top w:val="nil"/>
              <w:left w:val="nil"/>
              <w:bottom w:val="single" w:color="auto" w:sz="4" w:space="0"/>
              <w:right w:val="single" w:color="auto" w:sz="4" w:space="0"/>
            </w:tcBorders>
            <w:shd w:val="clear" w:color="auto" w:fill="auto"/>
            <w:vAlign w:val="center"/>
          </w:tcPr>
          <w:p w14:paraId="38433373">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人员补助，设备维护及办公耗材</w:t>
            </w:r>
          </w:p>
        </w:tc>
        <w:tc>
          <w:tcPr>
            <w:tcW w:w="3569" w:type="dxa"/>
            <w:tcBorders>
              <w:top w:val="nil"/>
              <w:left w:val="nil"/>
              <w:bottom w:val="single" w:color="auto" w:sz="4" w:space="0"/>
              <w:right w:val="single" w:color="auto" w:sz="4" w:space="0"/>
            </w:tcBorders>
            <w:shd w:val="clear" w:color="auto" w:fill="auto"/>
            <w:vAlign w:val="center"/>
          </w:tcPr>
          <w:p w14:paraId="402D1954">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人员补助7200元/年；办公设备运行维护及耗材费200元/月；其他办公费用400元/年</w:t>
            </w:r>
          </w:p>
        </w:tc>
      </w:tr>
      <w:tr w14:paraId="72BDBAC6">
        <w:tblPrEx>
          <w:tblCellMar>
            <w:top w:w="0" w:type="dxa"/>
            <w:left w:w="108" w:type="dxa"/>
            <w:bottom w:w="0" w:type="dxa"/>
            <w:right w:w="108" w:type="dxa"/>
          </w:tblCellMar>
        </w:tblPrEx>
        <w:trPr>
          <w:trHeight w:val="720" w:hRule="atLeast"/>
        </w:trPr>
        <w:tc>
          <w:tcPr>
            <w:tcW w:w="1300" w:type="dxa"/>
            <w:vMerge w:val="restart"/>
            <w:tcBorders>
              <w:top w:val="nil"/>
              <w:left w:val="single" w:color="auto" w:sz="4" w:space="0"/>
              <w:bottom w:val="single" w:color="000000" w:sz="4" w:space="0"/>
              <w:right w:val="single" w:color="auto" w:sz="4" w:space="0"/>
            </w:tcBorders>
            <w:shd w:val="clear" w:color="auto" w:fill="auto"/>
            <w:noWrap/>
            <w:vAlign w:val="center"/>
          </w:tcPr>
          <w:p w14:paraId="4D53DE59">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效益指标</w:t>
            </w:r>
          </w:p>
        </w:tc>
        <w:tc>
          <w:tcPr>
            <w:tcW w:w="1220" w:type="dxa"/>
            <w:tcBorders>
              <w:top w:val="single" w:color="auto" w:sz="4" w:space="0"/>
              <w:left w:val="nil"/>
              <w:bottom w:val="nil"/>
              <w:right w:val="single" w:color="auto" w:sz="4" w:space="0"/>
            </w:tcBorders>
            <w:shd w:val="clear" w:color="auto" w:fill="auto"/>
            <w:vAlign w:val="center"/>
          </w:tcPr>
          <w:p w14:paraId="44F81A78">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vAlign w:val="center"/>
          </w:tcPr>
          <w:p w14:paraId="2FE4A4A8">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促进工作，规范监督</w:t>
            </w:r>
          </w:p>
        </w:tc>
        <w:tc>
          <w:tcPr>
            <w:tcW w:w="3569" w:type="dxa"/>
            <w:tcBorders>
              <w:top w:val="nil"/>
              <w:left w:val="nil"/>
              <w:bottom w:val="single" w:color="auto" w:sz="4" w:space="0"/>
              <w:right w:val="single" w:color="auto" w:sz="4" w:space="0"/>
            </w:tcBorders>
            <w:shd w:val="clear" w:color="auto" w:fill="auto"/>
            <w:vAlign w:val="center"/>
          </w:tcPr>
          <w:p w14:paraId="526F3036">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会计档案规范管理，方便查询，通过财务公开，接受群众监督</w:t>
            </w:r>
          </w:p>
        </w:tc>
      </w:tr>
      <w:tr w14:paraId="6DC6E2B0">
        <w:tblPrEx>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14:paraId="57A7944D">
            <w:pPr>
              <w:widowControl/>
              <w:jc w:val="left"/>
              <w:rPr>
                <w:rFonts w:ascii="仿宋_GB2312" w:hAnsi="宋体" w:eastAsia="仿宋_GB2312" w:cs="宋体"/>
                <w:kern w:val="0"/>
                <w:sz w:val="32"/>
                <w:szCs w:val="32"/>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636B9E25">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可持续影响指标</w:t>
            </w:r>
          </w:p>
        </w:tc>
        <w:tc>
          <w:tcPr>
            <w:tcW w:w="3140" w:type="dxa"/>
            <w:tcBorders>
              <w:top w:val="nil"/>
              <w:left w:val="nil"/>
              <w:bottom w:val="single" w:color="auto" w:sz="4" w:space="0"/>
              <w:right w:val="single" w:color="auto" w:sz="4" w:space="0"/>
            </w:tcBorders>
            <w:shd w:val="clear" w:color="auto" w:fill="auto"/>
            <w:vAlign w:val="center"/>
          </w:tcPr>
          <w:p w14:paraId="7AF2042C">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会计凭证、账簿、报表等会计档规范管理</w:t>
            </w:r>
          </w:p>
        </w:tc>
        <w:tc>
          <w:tcPr>
            <w:tcW w:w="3569" w:type="dxa"/>
            <w:tcBorders>
              <w:top w:val="nil"/>
              <w:left w:val="nil"/>
              <w:bottom w:val="single" w:color="auto" w:sz="4" w:space="0"/>
              <w:right w:val="single" w:color="auto" w:sz="4" w:space="0"/>
            </w:tcBorders>
            <w:shd w:val="clear" w:color="auto" w:fill="auto"/>
            <w:vAlign w:val="center"/>
          </w:tcPr>
          <w:p w14:paraId="0E650C1C">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长期</w:t>
            </w:r>
          </w:p>
        </w:tc>
      </w:tr>
      <w:tr w14:paraId="3BCDB136">
        <w:tblPrEx>
          <w:tblCellMar>
            <w:top w:w="0" w:type="dxa"/>
            <w:left w:w="108" w:type="dxa"/>
            <w:bottom w:w="0" w:type="dxa"/>
            <w:right w:w="108" w:type="dxa"/>
          </w:tblCellMar>
        </w:tblPrEx>
        <w:trPr>
          <w:trHeight w:val="720"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6A1F5">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满意度指标</w:t>
            </w:r>
          </w:p>
        </w:tc>
        <w:tc>
          <w:tcPr>
            <w:tcW w:w="1220" w:type="dxa"/>
            <w:tcBorders>
              <w:top w:val="nil"/>
              <w:left w:val="nil"/>
              <w:bottom w:val="single" w:color="auto" w:sz="4" w:space="0"/>
              <w:right w:val="single" w:color="auto" w:sz="4" w:space="0"/>
            </w:tcBorders>
            <w:shd w:val="clear" w:color="auto" w:fill="auto"/>
            <w:vAlign w:val="center"/>
          </w:tcPr>
          <w:p w14:paraId="5AAFFF89">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服务对象满意度指标</w:t>
            </w:r>
          </w:p>
        </w:tc>
        <w:tc>
          <w:tcPr>
            <w:tcW w:w="3140" w:type="dxa"/>
            <w:tcBorders>
              <w:top w:val="nil"/>
              <w:left w:val="nil"/>
              <w:bottom w:val="single" w:color="auto" w:sz="4" w:space="0"/>
              <w:right w:val="single" w:color="auto" w:sz="4" w:space="0"/>
            </w:tcBorders>
            <w:shd w:val="clear" w:color="auto" w:fill="auto"/>
            <w:vAlign w:val="center"/>
          </w:tcPr>
          <w:p w14:paraId="3B51B4B4">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主管部门满意度，群众满意度</w:t>
            </w:r>
          </w:p>
        </w:tc>
        <w:tc>
          <w:tcPr>
            <w:tcW w:w="3569" w:type="dxa"/>
            <w:tcBorders>
              <w:top w:val="nil"/>
              <w:left w:val="nil"/>
              <w:bottom w:val="single" w:color="auto" w:sz="4" w:space="0"/>
              <w:right w:val="single" w:color="auto" w:sz="4" w:space="0"/>
            </w:tcBorders>
            <w:shd w:val="clear" w:color="auto" w:fill="auto"/>
            <w:vAlign w:val="center"/>
          </w:tcPr>
          <w:p w14:paraId="21393A6E">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分别达到</w:t>
            </w:r>
            <w:r>
              <w:rPr>
                <w:rFonts w:hint="eastAsia" w:ascii="仿宋_GB2312" w:hAnsi="宋体" w:cs="宋体"/>
                <w:kern w:val="0"/>
                <w:sz w:val="32"/>
                <w:szCs w:val="32"/>
              </w:rPr>
              <w:t>≧</w:t>
            </w:r>
            <w:r>
              <w:rPr>
                <w:rFonts w:hint="eastAsia" w:ascii="仿宋_GB2312" w:hAnsi="宋体" w:eastAsia="仿宋_GB2312" w:cs="宋体"/>
                <w:kern w:val="0"/>
                <w:sz w:val="32"/>
                <w:szCs w:val="32"/>
              </w:rPr>
              <w:t>95%</w:t>
            </w:r>
          </w:p>
        </w:tc>
      </w:tr>
    </w:tbl>
    <w:p w14:paraId="018FA04E">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（4）“老协、关工委等群众团体工作经费”项目</w:t>
      </w:r>
    </w:p>
    <w:p w14:paraId="40E45286">
      <w:pPr>
        <w:adjustRightInd w:val="0"/>
        <w:snapToGrid w:val="0"/>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sz w:val="32"/>
          <w:szCs w:val="32"/>
          <w:lang w:val="zh-CN"/>
        </w:rPr>
        <w:t>总体目标是：</w:t>
      </w:r>
      <w:r>
        <w:rPr>
          <w:rFonts w:hint="eastAsia" w:ascii="仿宋_GB2312" w:hAnsi="宋体" w:eastAsia="仿宋_GB2312"/>
          <w:sz w:val="32"/>
          <w:szCs w:val="32"/>
          <w:lang w:val="zh-CN"/>
        </w:rPr>
        <w:t>保障镇老年协会开展必要的文娱宣传活动，丰富老年人业余生活；确保镇关工委开展走访慰问贫困（留守）儿童所需费用，促进少年儿童健康成长。</w:t>
      </w:r>
    </w:p>
    <w:p w14:paraId="3FB888B8">
      <w:pPr>
        <w:adjustRightInd w:val="0"/>
        <w:snapToGrid w:val="0"/>
        <w:spacing w:line="560" w:lineRule="exact"/>
        <w:ind w:left="105" w:leftChars="50"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9229" w:type="dxa"/>
        <w:tblInd w:w="93" w:type="dxa"/>
        <w:tblLayout w:type="autofit"/>
        <w:tblCellMar>
          <w:top w:w="0" w:type="dxa"/>
          <w:left w:w="108" w:type="dxa"/>
          <w:bottom w:w="0" w:type="dxa"/>
          <w:right w:w="108" w:type="dxa"/>
        </w:tblCellMar>
      </w:tblPr>
      <w:tblGrid>
        <w:gridCol w:w="1300"/>
        <w:gridCol w:w="1220"/>
        <w:gridCol w:w="3140"/>
        <w:gridCol w:w="3569"/>
      </w:tblGrid>
      <w:tr w14:paraId="16820FC1">
        <w:tblPrEx>
          <w:tblCellMar>
            <w:top w:w="0" w:type="dxa"/>
            <w:left w:w="108" w:type="dxa"/>
            <w:bottom w:w="0" w:type="dxa"/>
            <w:right w:w="108" w:type="dxa"/>
          </w:tblCellMar>
        </w:tblPrEx>
        <w:trPr>
          <w:trHeight w:val="559"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BBB4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一级指标</w:t>
            </w:r>
          </w:p>
        </w:tc>
        <w:tc>
          <w:tcPr>
            <w:tcW w:w="1220" w:type="dxa"/>
            <w:tcBorders>
              <w:top w:val="single" w:color="auto" w:sz="4" w:space="0"/>
              <w:left w:val="nil"/>
              <w:bottom w:val="single" w:color="auto" w:sz="4" w:space="0"/>
              <w:right w:val="single" w:color="auto" w:sz="4" w:space="0"/>
            </w:tcBorders>
            <w:shd w:val="clear" w:color="auto" w:fill="auto"/>
            <w:vAlign w:val="center"/>
          </w:tcPr>
          <w:p w14:paraId="7A08F730">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vAlign w:val="center"/>
          </w:tcPr>
          <w:p w14:paraId="329F7151">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三级指标</w:t>
            </w:r>
          </w:p>
        </w:tc>
        <w:tc>
          <w:tcPr>
            <w:tcW w:w="3569" w:type="dxa"/>
            <w:tcBorders>
              <w:top w:val="single" w:color="auto" w:sz="4" w:space="0"/>
              <w:left w:val="nil"/>
              <w:bottom w:val="single" w:color="auto" w:sz="4" w:space="0"/>
              <w:right w:val="single" w:color="auto" w:sz="4" w:space="0"/>
            </w:tcBorders>
            <w:shd w:val="clear" w:color="auto" w:fill="auto"/>
            <w:noWrap/>
            <w:vAlign w:val="center"/>
          </w:tcPr>
          <w:p w14:paraId="5B6F56E8">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指标值（包含数字及文字描述）</w:t>
            </w:r>
          </w:p>
        </w:tc>
      </w:tr>
      <w:tr w14:paraId="381E26E5">
        <w:tblPrEx>
          <w:tblCellMar>
            <w:top w:w="0" w:type="dxa"/>
            <w:left w:w="108" w:type="dxa"/>
            <w:bottom w:w="0" w:type="dxa"/>
            <w:right w:w="108" w:type="dxa"/>
          </w:tblCellMar>
        </w:tblPrEx>
        <w:trPr>
          <w:trHeight w:val="642" w:hRule="atLeast"/>
        </w:trPr>
        <w:tc>
          <w:tcPr>
            <w:tcW w:w="13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42CE84F">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产出指标</w:t>
            </w:r>
          </w:p>
        </w:tc>
        <w:tc>
          <w:tcPr>
            <w:tcW w:w="1220" w:type="dxa"/>
            <w:tcBorders>
              <w:top w:val="single" w:color="auto" w:sz="4" w:space="0"/>
              <w:left w:val="nil"/>
              <w:bottom w:val="nil"/>
              <w:right w:val="single" w:color="auto" w:sz="4" w:space="0"/>
            </w:tcBorders>
            <w:shd w:val="clear" w:color="auto" w:fill="auto"/>
            <w:vAlign w:val="center"/>
          </w:tcPr>
          <w:p w14:paraId="740F91E6">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vAlign w:val="center"/>
          </w:tcPr>
          <w:p w14:paraId="65F9A61C">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走访慰问贫困（留守）儿童，文娱、宣传活动</w:t>
            </w:r>
          </w:p>
        </w:tc>
        <w:tc>
          <w:tcPr>
            <w:tcW w:w="3569" w:type="dxa"/>
            <w:tcBorders>
              <w:top w:val="nil"/>
              <w:left w:val="nil"/>
              <w:bottom w:val="single" w:color="auto" w:sz="4" w:space="0"/>
              <w:right w:val="single" w:color="auto" w:sz="4" w:space="0"/>
            </w:tcBorders>
            <w:shd w:val="clear" w:color="auto" w:fill="auto"/>
            <w:vAlign w:val="center"/>
          </w:tcPr>
          <w:p w14:paraId="29E9968F">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6人次/年；文娱等活动4次/年</w:t>
            </w:r>
          </w:p>
        </w:tc>
      </w:tr>
      <w:tr w14:paraId="592DF846">
        <w:tblPrEx>
          <w:tblCellMar>
            <w:top w:w="0" w:type="dxa"/>
            <w:left w:w="108" w:type="dxa"/>
            <w:bottom w:w="0" w:type="dxa"/>
            <w:right w:w="108" w:type="dxa"/>
          </w:tblCellMar>
        </w:tblPrEx>
        <w:trPr>
          <w:trHeight w:val="642" w:hRule="atLeast"/>
        </w:trPr>
        <w:tc>
          <w:tcPr>
            <w:tcW w:w="1300" w:type="dxa"/>
            <w:vMerge w:val="continue"/>
            <w:tcBorders>
              <w:top w:val="single" w:color="auto" w:sz="4" w:space="0"/>
              <w:left w:val="single" w:color="auto" w:sz="4" w:space="0"/>
              <w:bottom w:val="single" w:color="000000" w:sz="4" w:space="0"/>
              <w:right w:val="single" w:color="auto" w:sz="4" w:space="0"/>
            </w:tcBorders>
            <w:vAlign w:val="center"/>
          </w:tcPr>
          <w:p w14:paraId="1655491A">
            <w:pPr>
              <w:widowControl/>
              <w:jc w:val="left"/>
              <w:rPr>
                <w:rFonts w:ascii="仿宋_GB2312" w:hAnsi="宋体" w:eastAsia="仿宋_GB2312" w:cs="宋体"/>
                <w:kern w:val="0"/>
                <w:sz w:val="32"/>
                <w:szCs w:val="32"/>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7CCF32D9">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质量指标</w:t>
            </w:r>
          </w:p>
        </w:tc>
        <w:tc>
          <w:tcPr>
            <w:tcW w:w="3140" w:type="dxa"/>
            <w:tcBorders>
              <w:top w:val="nil"/>
              <w:left w:val="nil"/>
              <w:bottom w:val="single" w:color="auto" w:sz="4" w:space="0"/>
              <w:right w:val="single" w:color="auto" w:sz="4" w:space="0"/>
            </w:tcBorders>
            <w:shd w:val="clear" w:color="auto" w:fill="auto"/>
            <w:vAlign w:val="center"/>
          </w:tcPr>
          <w:p w14:paraId="3C30FD9B">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走访贫困（留守）儿童，丰富老年生活，宣传方针政策</w:t>
            </w:r>
          </w:p>
        </w:tc>
        <w:tc>
          <w:tcPr>
            <w:tcW w:w="3569" w:type="dxa"/>
            <w:tcBorders>
              <w:top w:val="nil"/>
              <w:left w:val="nil"/>
              <w:bottom w:val="single" w:color="auto" w:sz="4" w:space="0"/>
              <w:right w:val="single" w:color="auto" w:sz="4" w:space="0"/>
            </w:tcBorders>
            <w:shd w:val="clear" w:color="auto" w:fill="auto"/>
            <w:vAlign w:val="center"/>
          </w:tcPr>
          <w:p w14:paraId="6B8563AF">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r>
      <w:tr w14:paraId="5EB10D23">
        <w:tblPrEx>
          <w:tblCellMar>
            <w:top w:w="0" w:type="dxa"/>
            <w:left w:w="108" w:type="dxa"/>
            <w:bottom w:w="0" w:type="dxa"/>
            <w:right w:w="108" w:type="dxa"/>
          </w:tblCellMar>
        </w:tblPrEx>
        <w:trPr>
          <w:trHeight w:val="642" w:hRule="atLeast"/>
        </w:trPr>
        <w:tc>
          <w:tcPr>
            <w:tcW w:w="1300" w:type="dxa"/>
            <w:vMerge w:val="continue"/>
            <w:tcBorders>
              <w:top w:val="single" w:color="auto" w:sz="4" w:space="0"/>
              <w:left w:val="single" w:color="auto" w:sz="4" w:space="0"/>
              <w:bottom w:val="single" w:color="000000" w:sz="4" w:space="0"/>
              <w:right w:val="single" w:color="auto" w:sz="4" w:space="0"/>
            </w:tcBorders>
            <w:vAlign w:val="center"/>
          </w:tcPr>
          <w:p w14:paraId="20E1EEEA">
            <w:pPr>
              <w:widowControl/>
              <w:jc w:val="left"/>
              <w:rPr>
                <w:rFonts w:ascii="仿宋_GB2312" w:hAnsi="宋体" w:eastAsia="仿宋_GB2312" w:cs="宋体"/>
                <w:kern w:val="0"/>
                <w:sz w:val="32"/>
                <w:szCs w:val="32"/>
              </w:rPr>
            </w:pPr>
          </w:p>
        </w:tc>
        <w:tc>
          <w:tcPr>
            <w:tcW w:w="1220" w:type="dxa"/>
            <w:tcBorders>
              <w:top w:val="nil"/>
              <w:left w:val="single" w:color="auto" w:sz="4" w:space="0"/>
              <w:bottom w:val="single" w:color="auto" w:sz="4" w:space="0"/>
              <w:right w:val="single" w:color="auto" w:sz="4" w:space="0"/>
            </w:tcBorders>
            <w:shd w:val="clear" w:color="auto" w:fill="auto"/>
            <w:vAlign w:val="center"/>
          </w:tcPr>
          <w:p w14:paraId="648DDA9F">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时效指标</w:t>
            </w:r>
          </w:p>
        </w:tc>
        <w:tc>
          <w:tcPr>
            <w:tcW w:w="3140" w:type="dxa"/>
            <w:tcBorders>
              <w:top w:val="nil"/>
              <w:left w:val="nil"/>
              <w:bottom w:val="single" w:color="auto" w:sz="4" w:space="0"/>
              <w:right w:val="single" w:color="auto" w:sz="4" w:space="0"/>
            </w:tcBorders>
            <w:shd w:val="clear" w:color="auto" w:fill="auto"/>
            <w:vAlign w:val="center"/>
          </w:tcPr>
          <w:p w14:paraId="423ED992">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完成时间</w:t>
            </w:r>
          </w:p>
        </w:tc>
        <w:tc>
          <w:tcPr>
            <w:tcW w:w="3569" w:type="dxa"/>
            <w:tcBorders>
              <w:top w:val="nil"/>
              <w:left w:val="nil"/>
              <w:bottom w:val="single" w:color="auto" w:sz="4" w:space="0"/>
              <w:right w:val="single" w:color="auto" w:sz="4" w:space="0"/>
            </w:tcBorders>
            <w:shd w:val="clear" w:color="auto" w:fill="auto"/>
            <w:vAlign w:val="center"/>
          </w:tcPr>
          <w:p w14:paraId="7889DC02">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2020年12月31日前及重大节日期间</w:t>
            </w:r>
          </w:p>
        </w:tc>
      </w:tr>
      <w:tr w14:paraId="0097806C">
        <w:tblPrEx>
          <w:tblCellMar>
            <w:top w:w="0" w:type="dxa"/>
            <w:left w:w="108" w:type="dxa"/>
            <w:bottom w:w="0" w:type="dxa"/>
            <w:right w:w="108" w:type="dxa"/>
          </w:tblCellMar>
        </w:tblPrEx>
        <w:trPr>
          <w:trHeight w:val="642" w:hRule="atLeast"/>
        </w:trPr>
        <w:tc>
          <w:tcPr>
            <w:tcW w:w="1300" w:type="dxa"/>
            <w:vMerge w:val="continue"/>
            <w:tcBorders>
              <w:top w:val="single" w:color="auto" w:sz="4" w:space="0"/>
              <w:left w:val="single" w:color="auto" w:sz="4" w:space="0"/>
              <w:bottom w:val="single" w:color="000000" w:sz="4" w:space="0"/>
              <w:right w:val="single" w:color="auto" w:sz="4" w:space="0"/>
            </w:tcBorders>
            <w:vAlign w:val="center"/>
          </w:tcPr>
          <w:p w14:paraId="075BD4A2">
            <w:pPr>
              <w:widowControl/>
              <w:jc w:val="left"/>
              <w:rPr>
                <w:rFonts w:ascii="仿宋_GB2312" w:hAnsi="宋体" w:eastAsia="仿宋_GB2312" w:cs="宋体"/>
                <w:kern w:val="0"/>
                <w:sz w:val="32"/>
                <w:szCs w:val="32"/>
              </w:rPr>
            </w:pPr>
          </w:p>
        </w:tc>
        <w:tc>
          <w:tcPr>
            <w:tcW w:w="1220" w:type="dxa"/>
            <w:tcBorders>
              <w:top w:val="nil"/>
              <w:left w:val="single" w:color="auto" w:sz="4" w:space="0"/>
              <w:bottom w:val="single" w:color="auto" w:sz="4" w:space="0"/>
              <w:right w:val="single" w:color="auto" w:sz="4" w:space="0"/>
            </w:tcBorders>
            <w:shd w:val="clear" w:color="auto" w:fill="auto"/>
            <w:vAlign w:val="center"/>
          </w:tcPr>
          <w:p w14:paraId="0E613061">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成本指标</w:t>
            </w:r>
          </w:p>
        </w:tc>
        <w:tc>
          <w:tcPr>
            <w:tcW w:w="3140" w:type="dxa"/>
            <w:tcBorders>
              <w:top w:val="nil"/>
              <w:left w:val="nil"/>
              <w:bottom w:val="single" w:color="auto" w:sz="4" w:space="0"/>
              <w:right w:val="single" w:color="auto" w:sz="4" w:space="0"/>
            </w:tcBorders>
            <w:shd w:val="clear" w:color="auto" w:fill="auto"/>
            <w:vAlign w:val="center"/>
          </w:tcPr>
          <w:p w14:paraId="6A1C45CE">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贫困（留守）儿童慰问金或学习用品，老协文娱、宣传活动费</w:t>
            </w:r>
          </w:p>
        </w:tc>
        <w:tc>
          <w:tcPr>
            <w:tcW w:w="3569" w:type="dxa"/>
            <w:tcBorders>
              <w:top w:val="nil"/>
              <w:left w:val="nil"/>
              <w:bottom w:val="single" w:color="auto" w:sz="4" w:space="0"/>
              <w:right w:val="single" w:color="auto" w:sz="4" w:space="0"/>
            </w:tcBorders>
            <w:shd w:val="clear" w:color="auto" w:fill="auto"/>
            <w:vAlign w:val="center"/>
          </w:tcPr>
          <w:p w14:paraId="44ABC70A">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贫困（留守）儿童慰问</w:t>
            </w:r>
            <w:r>
              <w:rPr>
                <w:rFonts w:hint="eastAsia" w:ascii="仿宋_GB2312" w:hAnsi="宋体" w:cs="宋体"/>
                <w:kern w:val="0"/>
                <w:sz w:val="32"/>
                <w:szCs w:val="32"/>
              </w:rPr>
              <w:t>≦</w:t>
            </w:r>
            <w:r>
              <w:rPr>
                <w:rFonts w:hint="eastAsia" w:ascii="仿宋_GB2312" w:hAnsi="宋体" w:eastAsia="仿宋_GB2312" w:cs="宋体"/>
                <w:kern w:val="0"/>
                <w:sz w:val="32"/>
                <w:szCs w:val="32"/>
              </w:rPr>
              <w:t>300元/人·次；老协活动经费</w:t>
            </w:r>
            <w:r>
              <w:rPr>
                <w:rFonts w:hint="eastAsia" w:ascii="仿宋_GB2312" w:hAnsi="宋体" w:cs="宋体"/>
                <w:kern w:val="0"/>
                <w:sz w:val="32"/>
                <w:szCs w:val="32"/>
              </w:rPr>
              <w:t>≦</w:t>
            </w:r>
            <w:r>
              <w:rPr>
                <w:rFonts w:hint="eastAsia" w:ascii="仿宋_GB2312" w:hAnsi="宋体" w:eastAsia="仿宋_GB2312" w:cs="宋体"/>
                <w:kern w:val="0"/>
                <w:sz w:val="32"/>
                <w:szCs w:val="32"/>
              </w:rPr>
              <w:t>3000元/年</w:t>
            </w:r>
          </w:p>
        </w:tc>
      </w:tr>
      <w:tr w14:paraId="48C0C330">
        <w:tblPrEx>
          <w:tblCellMar>
            <w:top w:w="0" w:type="dxa"/>
            <w:left w:w="108" w:type="dxa"/>
            <w:bottom w:w="0" w:type="dxa"/>
            <w:right w:w="108" w:type="dxa"/>
          </w:tblCellMar>
        </w:tblPrEx>
        <w:trPr>
          <w:trHeight w:val="720" w:hRule="atLeast"/>
        </w:trPr>
        <w:tc>
          <w:tcPr>
            <w:tcW w:w="1300" w:type="dxa"/>
            <w:vMerge w:val="restart"/>
            <w:tcBorders>
              <w:top w:val="nil"/>
              <w:left w:val="single" w:color="auto" w:sz="4" w:space="0"/>
              <w:bottom w:val="single" w:color="000000" w:sz="4" w:space="0"/>
              <w:right w:val="single" w:color="auto" w:sz="4" w:space="0"/>
            </w:tcBorders>
            <w:shd w:val="clear" w:color="auto" w:fill="auto"/>
            <w:noWrap/>
            <w:vAlign w:val="center"/>
          </w:tcPr>
          <w:p w14:paraId="4A98B7C6">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效益指标</w:t>
            </w:r>
          </w:p>
        </w:tc>
        <w:tc>
          <w:tcPr>
            <w:tcW w:w="1220" w:type="dxa"/>
            <w:tcBorders>
              <w:top w:val="single" w:color="auto" w:sz="4" w:space="0"/>
              <w:left w:val="nil"/>
              <w:bottom w:val="nil"/>
              <w:right w:val="single" w:color="auto" w:sz="4" w:space="0"/>
            </w:tcBorders>
            <w:shd w:val="clear" w:color="auto" w:fill="auto"/>
            <w:vAlign w:val="center"/>
          </w:tcPr>
          <w:p w14:paraId="1F59F93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vAlign w:val="center"/>
          </w:tcPr>
          <w:p w14:paraId="5A5E9909">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促进下一代健康成长，丰富老年人文化生活</w:t>
            </w:r>
          </w:p>
        </w:tc>
        <w:tc>
          <w:tcPr>
            <w:tcW w:w="3569" w:type="dxa"/>
            <w:tcBorders>
              <w:top w:val="nil"/>
              <w:left w:val="nil"/>
              <w:bottom w:val="single" w:color="auto" w:sz="4" w:space="0"/>
              <w:right w:val="single" w:color="auto" w:sz="4" w:space="0"/>
            </w:tcBorders>
            <w:shd w:val="clear" w:color="auto" w:fill="auto"/>
            <w:vAlign w:val="center"/>
          </w:tcPr>
          <w:p w14:paraId="38536F89">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促进儿童身心健康，树立良好的“三观”；丰富老年人文化生活，增强获得感、幸福感</w:t>
            </w:r>
          </w:p>
        </w:tc>
      </w:tr>
      <w:tr w14:paraId="6159BBA5">
        <w:tblPrEx>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14:paraId="5F2549CA">
            <w:pPr>
              <w:widowControl/>
              <w:jc w:val="left"/>
              <w:rPr>
                <w:rFonts w:ascii="仿宋_GB2312" w:hAnsi="宋体" w:eastAsia="仿宋_GB2312" w:cs="宋体"/>
                <w:kern w:val="0"/>
                <w:sz w:val="32"/>
                <w:szCs w:val="32"/>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2D30D61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可持续影响指标</w:t>
            </w:r>
          </w:p>
        </w:tc>
        <w:tc>
          <w:tcPr>
            <w:tcW w:w="3140" w:type="dxa"/>
            <w:tcBorders>
              <w:top w:val="nil"/>
              <w:left w:val="nil"/>
              <w:bottom w:val="single" w:color="auto" w:sz="4" w:space="0"/>
              <w:right w:val="single" w:color="auto" w:sz="4" w:space="0"/>
            </w:tcBorders>
            <w:shd w:val="clear" w:color="auto" w:fill="auto"/>
            <w:vAlign w:val="center"/>
          </w:tcPr>
          <w:p w14:paraId="4962DD7B">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促进儿童健康成长；丰富老年人生活，推进政府重点工作</w:t>
            </w:r>
          </w:p>
        </w:tc>
        <w:tc>
          <w:tcPr>
            <w:tcW w:w="3569" w:type="dxa"/>
            <w:tcBorders>
              <w:top w:val="nil"/>
              <w:left w:val="nil"/>
              <w:bottom w:val="single" w:color="auto" w:sz="4" w:space="0"/>
              <w:right w:val="single" w:color="auto" w:sz="4" w:space="0"/>
            </w:tcBorders>
            <w:shd w:val="clear" w:color="auto" w:fill="auto"/>
            <w:vAlign w:val="center"/>
          </w:tcPr>
          <w:p w14:paraId="3D8C2278">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长期</w:t>
            </w:r>
          </w:p>
        </w:tc>
      </w:tr>
      <w:tr w14:paraId="582EEC56">
        <w:tblPrEx>
          <w:tblCellMar>
            <w:top w:w="0" w:type="dxa"/>
            <w:left w:w="108" w:type="dxa"/>
            <w:bottom w:w="0" w:type="dxa"/>
            <w:right w:w="108" w:type="dxa"/>
          </w:tblCellMar>
        </w:tblPrEx>
        <w:trPr>
          <w:trHeight w:val="720"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C2B5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满意度指标</w:t>
            </w:r>
          </w:p>
        </w:tc>
        <w:tc>
          <w:tcPr>
            <w:tcW w:w="1220" w:type="dxa"/>
            <w:tcBorders>
              <w:top w:val="nil"/>
              <w:left w:val="nil"/>
              <w:bottom w:val="single" w:color="auto" w:sz="4" w:space="0"/>
              <w:right w:val="single" w:color="auto" w:sz="4" w:space="0"/>
            </w:tcBorders>
            <w:shd w:val="clear" w:color="auto" w:fill="auto"/>
            <w:vAlign w:val="center"/>
          </w:tcPr>
          <w:p w14:paraId="25B8033C">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服务对象满意度指标</w:t>
            </w:r>
          </w:p>
        </w:tc>
        <w:tc>
          <w:tcPr>
            <w:tcW w:w="3140" w:type="dxa"/>
            <w:tcBorders>
              <w:top w:val="nil"/>
              <w:left w:val="nil"/>
              <w:bottom w:val="single" w:color="auto" w:sz="4" w:space="0"/>
              <w:right w:val="single" w:color="auto" w:sz="4" w:space="0"/>
            </w:tcBorders>
            <w:shd w:val="clear" w:color="auto" w:fill="auto"/>
            <w:vAlign w:val="center"/>
          </w:tcPr>
          <w:p w14:paraId="228BC329">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受益对象满意度，群众满意度</w:t>
            </w:r>
          </w:p>
        </w:tc>
        <w:tc>
          <w:tcPr>
            <w:tcW w:w="3569" w:type="dxa"/>
            <w:tcBorders>
              <w:top w:val="nil"/>
              <w:left w:val="nil"/>
              <w:bottom w:val="single" w:color="auto" w:sz="4" w:space="0"/>
              <w:right w:val="single" w:color="auto" w:sz="4" w:space="0"/>
            </w:tcBorders>
            <w:shd w:val="clear" w:color="auto" w:fill="auto"/>
            <w:vAlign w:val="center"/>
          </w:tcPr>
          <w:p w14:paraId="0BFF59CB">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分别达到</w:t>
            </w:r>
            <w:r>
              <w:rPr>
                <w:rFonts w:hint="eastAsia" w:ascii="仿宋_GB2312" w:hAnsi="宋体" w:cs="宋体"/>
                <w:kern w:val="0"/>
                <w:sz w:val="32"/>
                <w:szCs w:val="32"/>
              </w:rPr>
              <w:t>≧</w:t>
            </w:r>
            <w:r>
              <w:rPr>
                <w:rFonts w:hint="eastAsia" w:ascii="仿宋_GB2312" w:hAnsi="宋体" w:eastAsia="仿宋_GB2312" w:cs="宋体"/>
                <w:kern w:val="0"/>
                <w:sz w:val="32"/>
                <w:szCs w:val="32"/>
              </w:rPr>
              <w:t>98%和</w:t>
            </w:r>
            <w:r>
              <w:rPr>
                <w:rFonts w:hint="eastAsia" w:ascii="仿宋_GB2312" w:hAnsi="宋体" w:cs="宋体"/>
                <w:kern w:val="0"/>
                <w:sz w:val="32"/>
                <w:szCs w:val="32"/>
              </w:rPr>
              <w:t>≧</w:t>
            </w:r>
            <w:r>
              <w:rPr>
                <w:rFonts w:hint="eastAsia" w:ascii="仿宋_GB2312" w:hAnsi="宋体" w:eastAsia="仿宋_GB2312" w:cs="宋体"/>
                <w:kern w:val="0"/>
                <w:sz w:val="32"/>
                <w:szCs w:val="32"/>
              </w:rPr>
              <w:t>95%</w:t>
            </w:r>
          </w:p>
        </w:tc>
      </w:tr>
    </w:tbl>
    <w:p w14:paraId="0584E3A1">
      <w:pPr>
        <w:adjustRightInd w:val="0"/>
        <w:snapToGrid w:val="0"/>
        <w:spacing w:line="560" w:lineRule="exact"/>
        <w:ind w:left="105" w:leftChars="50" w:firstLine="480" w:firstLineChars="150"/>
        <w:rPr>
          <w:rFonts w:ascii="仿宋_GB2312" w:hAnsi="宋体" w:eastAsia="仿宋_GB2312"/>
          <w:sz w:val="32"/>
          <w:szCs w:val="32"/>
          <w:lang w:val="zh-CN"/>
        </w:rPr>
      </w:pPr>
      <w:r>
        <w:rPr>
          <w:rFonts w:hint="eastAsia" w:ascii="仿宋_GB2312" w:hAnsi="宋体" w:eastAsia="仿宋_GB2312"/>
          <w:sz w:val="32"/>
          <w:szCs w:val="32"/>
        </w:rPr>
        <w:t>（5）</w:t>
      </w:r>
      <w:r>
        <w:rPr>
          <w:rFonts w:hint="eastAsia" w:ascii="仿宋_GB2312" w:hAnsi="宋体" w:eastAsia="仿宋_GB2312"/>
          <w:sz w:val="32"/>
          <w:szCs w:val="32"/>
          <w:lang w:val="zh-CN"/>
        </w:rPr>
        <w:t>“惠农补贴‘一卡通’发放专项工作经费”项目</w:t>
      </w:r>
    </w:p>
    <w:p w14:paraId="1332C199">
      <w:pPr>
        <w:adjustRightInd w:val="0"/>
        <w:snapToGrid w:val="0"/>
        <w:spacing w:line="560" w:lineRule="exact"/>
        <w:ind w:left="105" w:leftChars="50" w:firstLine="480" w:firstLineChars="150"/>
        <w:rPr>
          <w:rFonts w:ascii="仿宋_GB2312" w:hAnsi="宋体" w:eastAsia="仿宋_GB2312"/>
          <w:sz w:val="32"/>
          <w:szCs w:val="32"/>
        </w:rPr>
      </w:pPr>
      <w:r>
        <w:rPr>
          <w:rFonts w:hint="eastAsia" w:ascii="仿宋_GB2312" w:hAnsi="宋体" w:eastAsia="仿宋_GB2312"/>
          <w:sz w:val="32"/>
          <w:szCs w:val="32"/>
          <w:lang w:val="zh-CN"/>
        </w:rPr>
        <w:t xml:space="preserve"> </w:t>
      </w:r>
      <w:r>
        <w:rPr>
          <w:rFonts w:hint="eastAsia" w:ascii="仿宋_GB2312" w:hAnsi="宋体" w:eastAsia="仿宋_GB2312"/>
          <w:b/>
          <w:sz w:val="32"/>
          <w:szCs w:val="32"/>
          <w:lang w:val="zh-CN"/>
        </w:rPr>
        <w:t xml:space="preserve"> 总体目标是：</w:t>
      </w:r>
      <w:r>
        <w:rPr>
          <w:rFonts w:hint="eastAsia" w:ascii="仿宋_GB2312" w:hAnsi="宋体" w:eastAsia="仿宋_GB2312"/>
          <w:sz w:val="32"/>
          <w:szCs w:val="32"/>
          <w:lang w:val="zh-CN"/>
        </w:rPr>
        <w:t>保证各项惠农补贴及时、准确发放，通过“一卡通”直达农户手中。</w:t>
      </w:r>
    </w:p>
    <w:p w14:paraId="39DFEB15">
      <w:pPr>
        <w:adjustRightInd w:val="0"/>
        <w:snapToGrid w:val="0"/>
        <w:spacing w:line="560" w:lineRule="exact"/>
        <w:ind w:firstLine="964" w:firstLineChars="300"/>
        <w:rPr>
          <w:rFonts w:ascii="仿宋_GB2312" w:hAnsi="宋体" w:eastAsia="仿宋_GB2312"/>
          <w:b/>
          <w:sz w:val="32"/>
          <w:szCs w:val="32"/>
          <w:lang w:val="zh-CN"/>
        </w:rPr>
      </w:pPr>
      <w:r>
        <w:rPr>
          <w:rFonts w:hint="eastAsia" w:ascii="仿宋_GB2312" w:hAnsi="宋体" w:eastAsia="仿宋_GB2312"/>
          <w:b/>
          <w:sz w:val="32"/>
          <w:szCs w:val="32"/>
          <w:lang w:val="zh-CN"/>
        </w:rPr>
        <w:t>绩效目标是：</w:t>
      </w:r>
    </w:p>
    <w:tbl>
      <w:tblPr>
        <w:tblStyle w:val="13"/>
        <w:tblW w:w="8946" w:type="dxa"/>
        <w:tblInd w:w="0" w:type="dxa"/>
        <w:tblLayout w:type="autofit"/>
        <w:tblCellMar>
          <w:top w:w="0" w:type="dxa"/>
          <w:left w:w="0" w:type="dxa"/>
          <w:bottom w:w="0" w:type="dxa"/>
          <w:right w:w="0" w:type="dxa"/>
        </w:tblCellMar>
      </w:tblPr>
      <w:tblGrid>
        <w:gridCol w:w="1630"/>
        <w:gridCol w:w="890"/>
        <w:gridCol w:w="3140"/>
        <w:gridCol w:w="3286"/>
      </w:tblGrid>
      <w:tr w14:paraId="44E90066">
        <w:tblPrEx>
          <w:tblCellMar>
            <w:top w:w="0" w:type="dxa"/>
            <w:left w:w="0" w:type="dxa"/>
            <w:bottom w:w="0" w:type="dxa"/>
            <w:right w:w="0" w:type="dxa"/>
          </w:tblCellMar>
        </w:tblPrEx>
        <w:trPr>
          <w:trHeight w:val="559" w:hRule="atLeast"/>
        </w:trPr>
        <w:tc>
          <w:tcPr>
            <w:tcW w:w="1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70D4E3">
            <w:pPr>
              <w:jc w:val="center"/>
              <w:rPr>
                <w:rFonts w:ascii="仿宋_GB2312" w:hAnsi="宋体" w:eastAsia="仿宋_GB2312" w:cs="宋体"/>
                <w:sz w:val="32"/>
                <w:szCs w:val="32"/>
              </w:rPr>
            </w:pPr>
            <w:r>
              <w:rPr>
                <w:rFonts w:hint="eastAsia" w:ascii="仿宋_GB2312" w:eastAsia="仿宋_GB2312"/>
                <w:sz w:val="32"/>
                <w:szCs w:val="32"/>
              </w:rPr>
              <w:t>一级指标</w:t>
            </w:r>
          </w:p>
        </w:tc>
        <w:tc>
          <w:tcPr>
            <w:tcW w:w="89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27BAAA">
            <w:pPr>
              <w:jc w:val="center"/>
              <w:rPr>
                <w:rFonts w:ascii="仿宋_GB2312" w:hAnsi="宋体" w:eastAsia="仿宋_GB2312" w:cs="宋体"/>
                <w:sz w:val="32"/>
                <w:szCs w:val="32"/>
              </w:rPr>
            </w:pPr>
            <w:r>
              <w:rPr>
                <w:rFonts w:hint="eastAsia" w:ascii="仿宋_GB2312" w:eastAsia="仿宋_GB2312"/>
                <w:sz w:val="32"/>
                <w:szCs w:val="32"/>
              </w:rPr>
              <w:t>二级指标</w:t>
            </w:r>
          </w:p>
        </w:tc>
        <w:tc>
          <w:tcPr>
            <w:tcW w:w="31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FAD53">
            <w:pPr>
              <w:jc w:val="center"/>
              <w:rPr>
                <w:rFonts w:ascii="仿宋_GB2312" w:hAnsi="宋体" w:eastAsia="仿宋_GB2312" w:cs="宋体"/>
                <w:sz w:val="32"/>
                <w:szCs w:val="32"/>
              </w:rPr>
            </w:pPr>
            <w:r>
              <w:rPr>
                <w:rFonts w:hint="eastAsia" w:ascii="仿宋_GB2312" w:eastAsia="仿宋_GB2312"/>
                <w:sz w:val="32"/>
                <w:szCs w:val="32"/>
              </w:rPr>
              <w:t>三级指标</w:t>
            </w:r>
          </w:p>
        </w:tc>
        <w:tc>
          <w:tcPr>
            <w:tcW w:w="328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D17187">
            <w:pPr>
              <w:jc w:val="center"/>
              <w:rPr>
                <w:rFonts w:ascii="仿宋_GB2312" w:hAnsi="宋体" w:eastAsia="仿宋_GB2312" w:cs="宋体"/>
                <w:sz w:val="32"/>
                <w:szCs w:val="32"/>
              </w:rPr>
            </w:pPr>
            <w:r>
              <w:rPr>
                <w:rFonts w:hint="eastAsia" w:ascii="仿宋_GB2312" w:eastAsia="仿宋_GB2312"/>
                <w:sz w:val="32"/>
                <w:szCs w:val="32"/>
              </w:rPr>
              <w:t>指标值（包含数字及文字描述）</w:t>
            </w:r>
          </w:p>
        </w:tc>
      </w:tr>
      <w:tr w14:paraId="55CBDC4A">
        <w:tblPrEx>
          <w:tblCellMar>
            <w:top w:w="0" w:type="dxa"/>
            <w:left w:w="0" w:type="dxa"/>
            <w:bottom w:w="0" w:type="dxa"/>
            <w:right w:w="0" w:type="dxa"/>
          </w:tblCellMar>
        </w:tblPrEx>
        <w:trPr>
          <w:trHeight w:val="642"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318FA08E">
            <w:pPr>
              <w:jc w:val="center"/>
              <w:rPr>
                <w:rFonts w:ascii="仿宋_GB2312" w:hAnsi="宋体" w:eastAsia="仿宋_GB2312" w:cs="宋体"/>
                <w:sz w:val="32"/>
                <w:szCs w:val="32"/>
              </w:rPr>
            </w:pPr>
            <w:r>
              <w:rPr>
                <w:rFonts w:hint="eastAsia" w:ascii="仿宋_GB2312" w:eastAsia="仿宋_GB2312"/>
                <w:sz w:val="32"/>
                <w:szCs w:val="32"/>
              </w:rPr>
              <w:t>产出指标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708010DB">
            <w:pPr>
              <w:jc w:val="center"/>
              <w:rPr>
                <w:rFonts w:ascii="仿宋_GB2312" w:hAnsi="宋体" w:eastAsia="仿宋_GB2312" w:cs="宋体"/>
                <w:sz w:val="32"/>
                <w:szCs w:val="32"/>
              </w:rPr>
            </w:pPr>
            <w:r>
              <w:rPr>
                <w:rFonts w:hint="eastAsia" w:ascii="仿宋_GB2312" w:eastAsia="仿宋_GB2312"/>
                <w:sz w:val="32"/>
                <w:szCs w:val="32"/>
              </w:rPr>
              <w:t>数量指标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D740DD">
            <w:pPr>
              <w:rPr>
                <w:rFonts w:ascii="仿宋_GB2312" w:hAnsi="宋体" w:eastAsia="仿宋_GB2312" w:cs="宋体"/>
                <w:sz w:val="32"/>
                <w:szCs w:val="32"/>
              </w:rPr>
            </w:pPr>
            <w:r>
              <w:rPr>
                <w:rFonts w:hint="eastAsia" w:ascii="仿宋_GB2312" w:eastAsia="仿宋_GB2312"/>
                <w:sz w:val="32"/>
                <w:szCs w:val="32"/>
              </w:rPr>
              <w:t>各项补贴通过“一卡通”发放到户</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B07F51A">
            <w:pPr>
              <w:rPr>
                <w:rFonts w:ascii="仿宋_GB2312" w:hAnsi="宋体" w:eastAsia="仿宋_GB2312" w:cs="宋体"/>
                <w:sz w:val="32"/>
                <w:szCs w:val="32"/>
              </w:rPr>
            </w:pPr>
            <w:r>
              <w:rPr>
                <w:rFonts w:hint="eastAsia" w:ascii="仿宋_GB2312" w:eastAsia="仿宋_GB2312"/>
                <w:sz w:val="32"/>
                <w:szCs w:val="32"/>
              </w:rPr>
              <w:t>完成数据计算、审核、打印上报、公示等工作</w:t>
            </w:r>
          </w:p>
        </w:tc>
      </w:tr>
      <w:tr w14:paraId="47D37E9B">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5FFBEE6B">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48FEC7">
            <w:pPr>
              <w:jc w:val="center"/>
              <w:rPr>
                <w:rFonts w:ascii="仿宋_GB2312" w:hAnsi="宋体" w:eastAsia="仿宋_GB2312" w:cs="宋体"/>
                <w:sz w:val="32"/>
                <w:szCs w:val="32"/>
              </w:rPr>
            </w:pPr>
            <w:r>
              <w:rPr>
                <w:rFonts w:hint="eastAsia" w:ascii="仿宋_GB2312" w:eastAsia="仿宋_GB2312"/>
                <w:sz w:val="32"/>
                <w:szCs w:val="32"/>
              </w:rPr>
              <w:t>质量指标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1FC330">
            <w:pPr>
              <w:rPr>
                <w:rFonts w:ascii="仿宋_GB2312" w:hAnsi="宋体" w:eastAsia="仿宋_GB2312" w:cs="宋体"/>
                <w:sz w:val="32"/>
                <w:szCs w:val="32"/>
              </w:rPr>
            </w:pPr>
            <w:r>
              <w:rPr>
                <w:rFonts w:hint="eastAsia" w:ascii="仿宋_GB2312" w:eastAsia="仿宋_GB2312"/>
                <w:sz w:val="32"/>
                <w:szCs w:val="32"/>
              </w:rPr>
              <w:t>计算准确，发放及时</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947123A">
            <w:pPr>
              <w:rPr>
                <w:rFonts w:ascii="仿宋_GB2312" w:hAnsi="宋体" w:eastAsia="仿宋_GB2312" w:cs="宋体"/>
                <w:sz w:val="32"/>
                <w:szCs w:val="32"/>
              </w:rPr>
            </w:pPr>
            <w:r>
              <w:rPr>
                <w:rFonts w:hint="eastAsia" w:ascii="仿宋_GB2312" w:eastAsia="仿宋_GB2312"/>
                <w:sz w:val="32"/>
                <w:szCs w:val="32"/>
              </w:rPr>
              <w:t>准确率</w:t>
            </w:r>
            <w:r>
              <w:rPr>
                <w:rFonts w:hint="eastAsia" w:ascii="仿宋_GB2312" w:hAnsi="宋体" w:cs="宋体"/>
                <w:sz w:val="32"/>
                <w:szCs w:val="32"/>
              </w:rPr>
              <w:t>≧</w:t>
            </w:r>
            <w:r>
              <w:rPr>
                <w:rFonts w:hint="eastAsia" w:ascii="仿宋_GB2312" w:eastAsia="仿宋_GB2312"/>
                <w:sz w:val="32"/>
                <w:szCs w:val="32"/>
              </w:rPr>
              <w:t>100%</w:t>
            </w:r>
          </w:p>
        </w:tc>
      </w:tr>
      <w:tr w14:paraId="3BD8ECD5">
        <w:tblPrEx>
          <w:tblCellMar>
            <w:top w:w="0" w:type="dxa"/>
            <w:left w:w="0" w:type="dxa"/>
            <w:bottom w:w="0" w:type="dxa"/>
            <w:right w:w="0" w:type="dxa"/>
          </w:tblCellMar>
        </w:tblPrEx>
        <w:trPr>
          <w:trHeight w:val="642"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41FAA32E">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42456C3">
            <w:pPr>
              <w:jc w:val="center"/>
              <w:rPr>
                <w:rFonts w:ascii="仿宋_GB2312" w:hAnsi="宋体" w:eastAsia="仿宋_GB2312" w:cs="宋体"/>
                <w:sz w:val="32"/>
                <w:szCs w:val="32"/>
              </w:rPr>
            </w:pPr>
            <w:r>
              <w:rPr>
                <w:rFonts w:hint="eastAsia" w:ascii="仿宋_GB2312" w:eastAsia="仿宋_GB2312"/>
                <w:sz w:val="32"/>
                <w:szCs w:val="32"/>
              </w:rPr>
              <w:t>时效指标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625DA6F">
            <w:pPr>
              <w:rPr>
                <w:rFonts w:ascii="仿宋_GB2312" w:hAnsi="宋体" w:eastAsia="仿宋_GB2312" w:cs="宋体"/>
                <w:sz w:val="32"/>
                <w:szCs w:val="32"/>
              </w:rPr>
            </w:pPr>
            <w:r>
              <w:rPr>
                <w:rFonts w:hint="eastAsia" w:ascii="仿宋_GB2312" w:eastAsia="仿宋_GB2312"/>
                <w:sz w:val="32"/>
                <w:szCs w:val="32"/>
              </w:rPr>
              <w:t>完成时间</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9EE4D1">
            <w:pPr>
              <w:rPr>
                <w:rFonts w:ascii="仿宋_GB2312" w:hAnsi="宋体" w:eastAsia="仿宋_GB2312" w:cs="宋体"/>
                <w:sz w:val="32"/>
                <w:szCs w:val="32"/>
              </w:rPr>
            </w:pPr>
            <w:r>
              <w:rPr>
                <w:rFonts w:hint="eastAsia" w:ascii="仿宋_GB2312" w:eastAsia="仿宋_GB2312"/>
                <w:sz w:val="32"/>
                <w:szCs w:val="32"/>
              </w:rPr>
              <w:t>2020年12月31日</w:t>
            </w:r>
          </w:p>
        </w:tc>
      </w:tr>
      <w:tr w14:paraId="15ABBBE5">
        <w:tblPrEx>
          <w:tblCellMar>
            <w:top w:w="0" w:type="dxa"/>
            <w:left w:w="0" w:type="dxa"/>
            <w:bottom w:w="0" w:type="dxa"/>
            <w:right w:w="0" w:type="dxa"/>
          </w:tblCellMar>
        </w:tblPrEx>
        <w:trPr>
          <w:trHeight w:val="76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5FD6F105">
            <w:pPr>
              <w:rPr>
                <w:rFonts w:ascii="仿宋_GB2312" w:hAnsi="宋体" w:eastAsia="仿宋_GB2312" w:cs="宋体"/>
                <w:sz w:val="32"/>
                <w:szCs w:val="32"/>
              </w:rPr>
            </w:pPr>
          </w:p>
        </w:tc>
        <w:tc>
          <w:tcPr>
            <w:tcW w:w="89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39BD1B">
            <w:pPr>
              <w:jc w:val="center"/>
              <w:rPr>
                <w:rFonts w:ascii="仿宋_GB2312" w:hAnsi="宋体" w:eastAsia="仿宋_GB2312" w:cs="宋体"/>
                <w:sz w:val="32"/>
                <w:szCs w:val="32"/>
              </w:rPr>
            </w:pPr>
            <w:r>
              <w:rPr>
                <w:rFonts w:hint="eastAsia" w:ascii="仿宋_GB2312" w:eastAsia="仿宋_GB2312"/>
                <w:sz w:val="32"/>
                <w:szCs w:val="32"/>
              </w:rPr>
              <w:t>成本指标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F0F70F">
            <w:pPr>
              <w:rPr>
                <w:rFonts w:ascii="仿宋_GB2312" w:hAnsi="宋体" w:eastAsia="仿宋_GB2312" w:cs="宋体"/>
                <w:sz w:val="32"/>
                <w:szCs w:val="32"/>
              </w:rPr>
            </w:pPr>
            <w:r>
              <w:rPr>
                <w:rFonts w:hint="eastAsia" w:ascii="仿宋_GB2312" w:eastAsia="仿宋_GB2312"/>
                <w:sz w:val="32"/>
                <w:szCs w:val="32"/>
              </w:rPr>
              <w:t>设备购置及维护费、办公耗材费及其他</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46775FC">
            <w:pPr>
              <w:rPr>
                <w:rFonts w:ascii="仿宋_GB2312" w:hAnsi="宋体" w:eastAsia="仿宋_GB2312" w:cs="宋体"/>
                <w:sz w:val="32"/>
                <w:szCs w:val="32"/>
              </w:rPr>
            </w:pPr>
            <w:r>
              <w:rPr>
                <w:rFonts w:hint="eastAsia" w:ascii="仿宋_GB2312" w:eastAsia="仿宋_GB2312"/>
                <w:sz w:val="32"/>
                <w:szCs w:val="32"/>
              </w:rPr>
              <w:t>打印设备购置费</w:t>
            </w:r>
            <w:r>
              <w:rPr>
                <w:rFonts w:hint="eastAsia" w:ascii="仿宋_GB2312" w:hAnsi="宋体" w:cs="宋体"/>
                <w:sz w:val="32"/>
                <w:szCs w:val="32"/>
              </w:rPr>
              <w:t>≦</w:t>
            </w:r>
            <w:r>
              <w:rPr>
                <w:rFonts w:hint="eastAsia" w:ascii="仿宋_GB2312" w:eastAsia="仿宋_GB2312"/>
                <w:sz w:val="32"/>
                <w:szCs w:val="32"/>
              </w:rPr>
              <w:t>1800元/台；设备维护费</w:t>
            </w:r>
            <w:r>
              <w:rPr>
                <w:rFonts w:hint="eastAsia" w:ascii="仿宋_GB2312" w:hAnsi="宋体" w:cs="宋体"/>
                <w:sz w:val="32"/>
                <w:szCs w:val="32"/>
              </w:rPr>
              <w:t>≦</w:t>
            </w:r>
            <w:r>
              <w:rPr>
                <w:rFonts w:hint="eastAsia" w:ascii="仿宋_GB2312" w:eastAsia="仿宋_GB2312"/>
                <w:sz w:val="32"/>
                <w:szCs w:val="32"/>
              </w:rPr>
              <w:t>1200元/年；办公耗材费</w:t>
            </w:r>
            <w:r>
              <w:rPr>
                <w:rFonts w:hint="eastAsia" w:ascii="仿宋_GB2312" w:hAnsi="宋体" w:cs="宋体"/>
                <w:sz w:val="32"/>
                <w:szCs w:val="32"/>
              </w:rPr>
              <w:t>≦</w:t>
            </w:r>
            <w:r>
              <w:rPr>
                <w:rFonts w:hint="eastAsia" w:ascii="仿宋_GB2312" w:eastAsia="仿宋_GB2312"/>
                <w:sz w:val="32"/>
                <w:szCs w:val="32"/>
              </w:rPr>
              <w:t>1500元/年；其他</w:t>
            </w:r>
            <w:r>
              <w:rPr>
                <w:rFonts w:hint="eastAsia" w:ascii="仿宋_GB2312" w:hAnsi="宋体" w:cs="宋体"/>
                <w:sz w:val="32"/>
                <w:szCs w:val="32"/>
              </w:rPr>
              <w:t>≦</w:t>
            </w:r>
            <w:r>
              <w:rPr>
                <w:rFonts w:hint="eastAsia" w:ascii="仿宋_GB2312" w:eastAsia="仿宋_GB2312"/>
                <w:sz w:val="32"/>
                <w:szCs w:val="32"/>
              </w:rPr>
              <w:t>500元/年</w:t>
            </w:r>
          </w:p>
        </w:tc>
      </w:tr>
      <w:tr w14:paraId="4983EC4D">
        <w:tblPrEx>
          <w:tblCellMar>
            <w:top w:w="0" w:type="dxa"/>
            <w:left w:w="0" w:type="dxa"/>
            <w:bottom w:w="0" w:type="dxa"/>
            <w:right w:w="0" w:type="dxa"/>
          </w:tblCellMar>
        </w:tblPrEx>
        <w:trPr>
          <w:trHeight w:val="720" w:hRule="atLeast"/>
        </w:trPr>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tcPr>
          <w:p w14:paraId="1155C85F">
            <w:pPr>
              <w:jc w:val="center"/>
              <w:rPr>
                <w:rFonts w:ascii="仿宋_GB2312" w:hAnsi="宋体" w:eastAsia="仿宋_GB2312" w:cs="宋体"/>
                <w:sz w:val="32"/>
                <w:szCs w:val="32"/>
              </w:rPr>
            </w:pPr>
            <w:r>
              <w:rPr>
                <w:rFonts w:hint="eastAsia" w:ascii="仿宋_GB2312" w:eastAsia="仿宋_GB2312"/>
                <w:sz w:val="32"/>
                <w:szCs w:val="32"/>
              </w:rPr>
              <w:t>效益指标</w:t>
            </w:r>
          </w:p>
        </w:tc>
        <w:tc>
          <w:tcPr>
            <w:tcW w:w="89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tcPr>
          <w:p w14:paraId="016F8808">
            <w:pPr>
              <w:jc w:val="center"/>
              <w:rPr>
                <w:rFonts w:ascii="仿宋_GB2312" w:hAnsi="宋体" w:eastAsia="仿宋_GB2312" w:cs="宋体"/>
                <w:sz w:val="32"/>
                <w:szCs w:val="32"/>
              </w:rPr>
            </w:pPr>
            <w:r>
              <w:rPr>
                <w:rFonts w:hint="eastAsia" w:ascii="仿宋_GB2312" w:eastAsia="仿宋_GB2312"/>
                <w:sz w:val="32"/>
                <w:szCs w:val="32"/>
              </w:rPr>
              <w:t>社会效益指标</w:t>
            </w:r>
          </w:p>
        </w:tc>
        <w:tc>
          <w:tcPr>
            <w:tcW w:w="31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C7A5DB">
            <w:pPr>
              <w:rPr>
                <w:rFonts w:ascii="仿宋_GB2312" w:hAnsi="宋体" w:eastAsia="仿宋_GB2312" w:cs="宋体"/>
                <w:sz w:val="32"/>
                <w:szCs w:val="32"/>
              </w:rPr>
            </w:pPr>
            <w:r>
              <w:rPr>
                <w:rFonts w:hint="eastAsia" w:ascii="仿宋_GB2312" w:eastAsia="仿宋_GB2312"/>
                <w:sz w:val="32"/>
                <w:szCs w:val="32"/>
              </w:rPr>
              <w:t>资金安全率，发挥效益</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E89DA31">
            <w:pPr>
              <w:rPr>
                <w:rFonts w:ascii="仿宋_GB2312" w:hAnsi="宋体" w:eastAsia="仿宋_GB2312" w:cs="宋体"/>
                <w:sz w:val="32"/>
                <w:szCs w:val="32"/>
              </w:rPr>
            </w:pPr>
            <w:r>
              <w:rPr>
                <w:rFonts w:hint="eastAsia" w:ascii="仿宋_GB2312" w:eastAsia="仿宋_GB2312"/>
                <w:sz w:val="32"/>
                <w:szCs w:val="32"/>
              </w:rPr>
              <w:t>资金安全率达100%</w:t>
            </w:r>
          </w:p>
        </w:tc>
      </w:tr>
      <w:tr w14:paraId="49B7AB9F">
        <w:tblPrEx>
          <w:tblCellMar>
            <w:top w:w="0" w:type="dxa"/>
            <w:left w:w="0" w:type="dxa"/>
            <w:bottom w:w="0" w:type="dxa"/>
            <w:right w:w="0"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vAlign w:val="center"/>
          </w:tcPr>
          <w:p w14:paraId="05586D5E">
            <w:pPr>
              <w:rPr>
                <w:rFonts w:ascii="仿宋_GB2312" w:hAnsi="宋体" w:eastAsia="仿宋_GB2312" w:cs="宋体"/>
                <w:sz w:val="32"/>
                <w:szCs w:val="32"/>
              </w:rPr>
            </w:pP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5E4CAEE">
            <w:pPr>
              <w:jc w:val="center"/>
              <w:rPr>
                <w:rFonts w:ascii="仿宋_GB2312" w:hAnsi="宋体" w:eastAsia="仿宋_GB2312" w:cs="宋体"/>
                <w:sz w:val="32"/>
                <w:szCs w:val="32"/>
              </w:rPr>
            </w:pPr>
            <w:r>
              <w:rPr>
                <w:rFonts w:hint="eastAsia" w:ascii="仿宋_GB2312" w:eastAsia="仿宋_GB2312"/>
                <w:sz w:val="32"/>
                <w:szCs w:val="32"/>
              </w:rPr>
              <w:t>可持续影响指标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710CAF6">
            <w:pPr>
              <w:rPr>
                <w:rFonts w:ascii="仿宋_GB2312" w:hAnsi="宋体" w:eastAsia="仿宋_GB2312" w:cs="宋体"/>
                <w:sz w:val="32"/>
                <w:szCs w:val="32"/>
              </w:rPr>
            </w:pPr>
            <w:r>
              <w:rPr>
                <w:rFonts w:hint="eastAsia" w:ascii="仿宋_GB2312" w:eastAsia="仿宋_GB2312"/>
                <w:sz w:val="32"/>
                <w:szCs w:val="32"/>
              </w:rPr>
              <w:t>项目可持续发挥作用期限</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0C873C2">
            <w:pPr>
              <w:rPr>
                <w:rFonts w:ascii="仿宋_GB2312" w:hAnsi="宋体" w:eastAsia="仿宋_GB2312" w:cs="宋体"/>
                <w:sz w:val="32"/>
                <w:szCs w:val="32"/>
              </w:rPr>
            </w:pPr>
            <w:r>
              <w:rPr>
                <w:rFonts w:hint="eastAsia" w:ascii="仿宋_GB2312" w:eastAsia="仿宋_GB2312"/>
                <w:sz w:val="32"/>
                <w:szCs w:val="32"/>
              </w:rPr>
              <w:t>长期</w:t>
            </w:r>
          </w:p>
        </w:tc>
      </w:tr>
      <w:tr w14:paraId="7821A472">
        <w:tblPrEx>
          <w:tblCellMar>
            <w:top w:w="0" w:type="dxa"/>
            <w:left w:w="0" w:type="dxa"/>
            <w:bottom w:w="0" w:type="dxa"/>
            <w:right w:w="0" w:type="dxa"/>
          </w:tblCellMar>
        </w:tblPrEx>
        <w:trPr>
          <w:trHeight w:val="7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CD8D1A">
            <w:pPr>
              <w:jc w:val="center"/>
              <w:rPr>
                <w:rFonts w:ascii="仿宋_GB2312" w:hAnsi="宋体" w:eastAsia="仿宋_GB2312" w:cs="宋体"/>
                <w:sz w:val="32"/>
                <w:szCs w:val="32"/>
              </w:rPr>
            </w:pPr>
            <w:r>
              <w:rPr>
                <w:rFonts w:hint="eastAsia" w:ascii="仿宋_GB2312" w:eastAsia="仿宋_GB2312"/>
                <w:sz w:val="32"/>
                <w:szCs w:val="32"/>
              </w:rPr>
              <w:t>满意度指标</w:t>
            </w:r>
          </w:p>
        </w:tc>
        <w:tc>
          <w:tcPr>
            <w:tcW w:w="8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3E40DAA">
            <w:pPr>
              <w:jc w:val="center"/>
              <w:rPr>
                <w:rFonts w:ascii="仿宋_GB2312" w:hAnsi="宋体" w:eastAsia="仿宋_GB2312" w:cs="宋体"/>
                <w:sz w:val="32"/>
                <w:szCs w:val="32"/>
              </w:rPr>
            </w:pPr>
            <w:r>
              <w:rPr>
                <w:rFonts w:hint="eastAsia" w:ascii="仿宋_GB2312" w:eastAsia="仿宋_GB2312"/>
                <w:sz w:val="32"/>
                <w:szCs w:val="32"/>
              </w:rPr>
              <w:t>服务对象满意度指标</w:t>
            </w:r>
          </w:p>
        </w:tc>
        <w:tc>
          <w:tcPr>
            <w:tcW w:w="3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15DF92C">
            <w:pPr>
              <w:rPr>
                <w:rFonts w:ascii="仿宋_GB2312" w:hAnsi="宋体" w:eastAsia="仿宋_GB2312" w:cs="宋体"/>
                <w:sz w:val="32"/>
                <w:szCs w:val="32"/>
              </w:rPr>
            </w:pPr>
            <w:r>
              <w:rPr>
                <w:rFonts w:hint="eastAsia" w:ascii="仿宋_GB2312" w:eastAsia="仿宋_GB2312"/>
                <w:sz w:val="32"/>
                <w:szCs w:val="32"/>
              </w:rPr>
              <w:t>受益群众满意度</w:t>
            </w:r>
          </w:p>
        </w:tc>
        <w:tc>
          <w:tcPr>
            <w:tcW w:w="32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156E544">
            <w:pPr>
              <w:rPr>
                <w:rFonts w:ascii="仿宋_GB2312" w:hAnsi="宋体" w:eastAsia="仿宋_GB2312" w:cs="宋体"/>
                <w:sz w:val="32"/>
                <w:szCs w:val="32"/>
              </w:rPr>
            </w:pPr>
            <w:r>
              <w:rPr>
                <w:rFonts w:hint="eastAsia" w:ascii="仿宋_GB2312" w:hAnsi="宋体" w:cs="宋体"/>
                <w:sz w:val="32"/>
                <w:szCs w:val="32"/>
              </w:rPr>
              <w:t>≧</w:t>
            </w:r>
            <w:r>
              <w:rPr>
                <w:rFonts w:hint="eastAsia" w:ascii="仿宋_GB2312" w:eastAsia="仿宋_GB2312"/>
                <w:sz w:val="32"/>
                <w:szCs w:val="32"/>
              </w:rPr>
              <w:t>98%</w:t>
            </w:r>
          </w:p>
        </w:tc>
      </w:tr>
    </w:tbl>
    <w:p w14:paraId="05496CB3">
      <w:pPr>
        <w:adjustRightInd w:val="0"/>
        <w:snapToGrid w:val="0"/>
        <w:spacing w:line="560" w:lineRule="exact"/>
        <w:ind w:left="105" w:leftChars="50"/>
        <w:rPr>
          <w:rFonts w:ascii="仿宋_GB2312" w:hAnsi="宋体" w:eastAsia="仿宋_GB2312"/>
          <w:sz w:val="32"/>
          <w:szCs w:val="32"/>
          <w:lang w:val="zh-CN"/>
        </w:rPr>
      </w:pPr>
      <w:r>
        <w:rPr>
          <w:rFonts w:hint="eastAsia" w:ascii="仿宋_GB2312" w:hAnsi="宋体" w:eastAsia="仿宋_GB2312"/>
          <w:sz w:val="32"/>
          <w:szCs w:val="32"/>
          <w:lang w:val="zh-CN"/>
        </w:rPr>
        <w:t xml:space="preserve">     2．项目绩效目标实现情况</w:t>
      </w:r>
    </w:p>
    <w:p w14:paraId="02A28A90">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（1）“人大代表工作专项经费”项目绩效目标实现情况</w:t>
      </w:r>
    </w:p>
    <w:p w14:paraId="7CD7B4AB">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该项目年度内完成人大代表会议3次，组织代表考察、调研活动1次，采购办公设备1台（套），符合绩效目标。</w:t>
      </w:r>
    </w:p>
    <w:p w14:paraId="5B9BBF82">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（2）“乡镇财政所专项工作经费”项目绩效目标实现情况</w:t>
      </w:r>
    </w:p>
    <w:p w14:paraId="0277C44D">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“乡财政所专项工作经费”项目绩效目标主要是日常办公、设备维护。</w:t>
      </w:r>
    </w:p>
    <w:p w14:paraId="4741AC45">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（3）“‘三资’管理中心运转经费”项目绩效目标主要是临时聘用人员2人次劳务费、日常办公和设备运行维护。</w:t>
      </w:r>
    </w:p>
    <w:p w14:paraId="42C04BEF">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（4）“老协、关工委等群众团体工作经费”项目绩效目标实现走访慰问贫困（留守）儿童1人，老协开展疫情防控宣传活动3次。</w:t>
      </w:r>
    </w:p>
    <w:p w14:paraId="6EE45EBB">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（5）“惠农补贴‘一卡通’发放专项工作经费”项目绩效目标实现全年各项惠农补贴“一卡通”发放零差错，办公设备运转正常，资金发放及时准确。</w:t>
      </w:r>
    </w:p>
    <w:p w14:paraId="7579516E">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3．项目绩效目标编制质量评价</w:t>
      </w:r>
    </w:p>
    <w:p w14:paraId="0D5AE5E2">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该类项目绩效目标编制较为规范，符合各项目资金规定的开支范围，绩效目标重点突出，效益明显。绩效目标申报与绩效目标实现情况基本相符。</w:t>
      </w:r>
    </w:p>
    <w:p w14:paraId="0C52DC8B">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（三）项目绩效自评步骤及方法</w:t>
      </w:r>
    </w:p>
    <w:p w14:paraId="0E61B547">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项目绩效自评分三个阶段，即评价准备阶段、自评阶段和终评阶段。</w:t>
      </w:r>
    </w:p>
    <w:p w14:paraId="5271B199">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准备阶段</w:t>
      </w:r>
      <w:r>
        <w:rPr>
          <w:rFonts w:hint="eastAsia" w:ascii="仿宋_GB2312" w:hAnsi="宋体" w:eastAsia="仿宋_GB2312"/>
          <w:sz w:val="32"/>
          <w:szCs w:val="32"/>
        </w:rPr>
        <w:t xml:space="preserve">  由镇财政所提供项目财务会计资料，并组织相关职能部门收集项目绩效映衬资料，制定评价实施方案，确定评价指标细则等工作。</w:t>
      </w:r>
    </w:p>
    <w:p w14:paraId="1DACD0F8">
      <w:pPr>
        <w:spacing w:line="560" w:lineRule="exact"/>
        <w:ind w:firstLine="640"/>
        <w:rPr>
          <w:rFonts w:ascii="仿宋_GB2312" w:hAnsi="宋体" w:eastAsia="仿宋_GB2312"/>
          <w:sz w:val="32"/>
          <w:szCs w:val="32"/>
        </w:rPr>
      </w:pPr>
      <w:r>
        <w:rPr>
          <w:rFonts w:hint="eastAsia" w:ascii="仿宋_GB2312" w:hAnsi="宋体" w:eastAsia="仿宋_GB2312"/>
          <w:b/>
          <w:sz w:val="32"/>
          <w:szCs w:val="32"/>
        </w:rPr>
        <w:t>自评阶段</w:t>
      </w:r>
      <w:r>
        <w:rPr>
          <w:rFonts w:hint="eastAsia" w:ascii="仿宋_GB2312" w:hAnsi="宋体" w:eastAsia="仿宋_GB2312"/>
          <w:sz w:val="32"/>
          <w:szCs w:val="32"/>
        </w:rPr>
        <w:t xml:space="preserve">  按照财政资金运用方向，确定归口使用管理部门开展自评，按照绩效目标申报情况，从绩效目标设置和合理性、科学性开展评价，分析绩效目标申报与实现情况差异原因，分析绩效目标效益发挥情况，评价项目绩效目标质量控制情况，并对项目资金分配与使用管理，支付程序与审核审批，结算审查等方面开展自评，各职能部门自评情况交由镇财政所汇总。</w:t>
      </w:r>
    </w:p>
    <w:p w14:paraId="0A44BEF3">
      <w:pPr>
        <w:adjustRightInd w:val="0"/>
        <w:snapToGrid w:val="0"/>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sz w:val="32"/>
          <w:szCs w:val="32"/>
        </w:rPr>
        <w:t>终评阶段</w:t>
      </w:r>
      <w:r>
        <w:rPr>
          <w:rFonts w:hint="eastAsia" w:ascii="仿宋_GB2312" w:hAnsi="宋体" w:eastAsia="仿宋_GB2312"/>
          <w:sz w:val="32"/>
          <w:szCs w:val="32"/>
        </w:rPr>
        <w:t xml:space="preserve">  首先，组织相关职能部门召开终评会议，讨论各职能部门初评自评情况；其次，通过核查相关项目文件资料，查阅会计档案、会计凭证和会计报表，对各职能部门自评结果进行定量定性分析；最后，经综合评议形成评价结论。并依据综合评价结论编制各项目绩效评价报告。</w:t>
      </w:r>
    </w:p>
    <w:p w14:paraId="67042976">
      <w:pPr>
        <w:adjustRightInd w:val="0"/>
        <w:snapToGrid w:val="0"/>
        <w:spacing w:line="560" w:lineRule="exact"/>
        <w:ind w:left="105" w:leftChars="50" w:firstLine="643" w:firstLineChars="200"/>
        <w:rPr>
          <w:rFonts w:ascii="仿宋_GB2312" w:hAnsi="宋体" w:eastAsia="仿宋_GB2312"/>
          <w:b/>
          <w:sz w:val="32"/>
          <w:szCs w:val="32"/>
        </w:rPr>
      </w:pPr>
      <w:r>
        <w:rPr>
          <w:rFonts w:hint="eastAsia" w:ascii="仿宋_GB2312" w:hAnsi="宋体" w:eastAsia="仿宋_GB2312"/>
          <w:b/>
          <w:sz w:val="32"/>
          <w:szCs w:val="32"/>
        </w:rPr>
        <w:t>二、项目资金申报及使用情况</w:t>
      </w:r>
    </w:p>
    <w:p w14:paraId="71677142">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（一）项目资金申报及批复情况。</w:t>
      </w:r>
    </w:p>
    <w:p w14:paraId="0AFE195F">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该类项目2020年初财政预算安排项目资金6.00万元，本年度财政预算（含调整预算，）项目支出6.00万元。</w:t>
      </w:r>
    </w:p>
    <w:p w14:paraId="7A625AA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各项目资金申报及批复情况如下表：</w:t>
      </w:r>
    </w:p>
    <w:p w14:paraId="5673369F">
      <w:pPr>
        <w:adjustRightInd w:val="0"/>
        <w:snapToGrid w:val="0"/>
        <w:spacing w:line="560" w:lineRule="exact"/>
        <w:ind w:firstLine="643" w:firstLineChars="200"/>
        <w:rPr>
          <w:rFonts w:ascii="仿宋_GB2312" w:hAnsi="宋体" w:eastAsia="仿宋_GB2312" w:cs="宋体"/>
          <w:sz w:val="32"/>
          <w:szCs w:val="32"/>
          <w:lang w:val="zh-CN"/>
        </w:rPr>
      </w:pPr>
      <w:r>
        <w:rPr>
          <w:rFonts w:hint="eastAsia" w:ascii="仿宋_GB2312" w:hAnsi="宋体" w:eastAsia="仿宋_GB2312" w:cs="宋体"/>
          <w:b/>
          <w:sz w:val="32"/>
          <w:szCs w:val="32"/>
          <w:lang w:val="zh-CN"/>
        </w:rPr>
        <w:t xml:space="preserve">                                </w:t>
      </w:r>
      <w:r>
        <w:rPr>
          <w:rFonts w:hint="eastAsia" w:ascii="仿宋_GB2312" w:hAnsi="宋体" w:eastAsia="仿宋_GB2312" w:cs="宋体"/>
          <w:sz w:val="32"/>
          <w:szCs w:val="32"/>
          <w:lang w:val="zh-CN"/>
        </w:rPr>
        <w:t>金额单位：万元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3934"/>
        <w:gridCol w:w="1219"/>
        <w:gridCol w:w="1220"/>
        <w:gridCol w:w="1611"/>
      </w:tblGrid>
      <w:tr w14:paraId="7535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0" w:type="auto"/>
            <w:vAlign w:val="center"/>
          </w:tcPr>
          <w:p w14:paraId="1A708704">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序号</w:t>
            </w:r>
          </w:p>
        </w:tc>
        <w:tc>
          <w:tcPr>
            <w:tcW w:w="4418" w:type="dxa"/>
            <w:vAlign w:val="center"/>
          </w:tcPr>
          <w:p w14:paraId="13F70C1B">
            <w:pPr>
              <w:adjustRightInd w:val="0"/>
              <w:snapToGrid w:val="0"/>
              <w:spacing w:line="280" w:lineRule="exact"/>
              <w:jc w:val="center"/>
              <w:rPr>
                <w:rFonts w:ascii="仿宋_GB2312" w:hAnsi="宋体" w:eastAsia="仿宋_GB2312" w:cs="宋体"/>
                <w:b/>
                <w:sz w:val="32"/>
                <w:szCs w:val="32"/>
                <w:lang w:val="zh-CN"/>
              </w:rPr>
            </w:pPr>
          </w:p>
          <w:p w14:paraId="7F99C2C0">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项目名称</w:t>
            </w:r>
          </w:p>
          <w:p w14:paraId="38AEF84F">
            <w:pPr>
              <w:adjustRightInd w:val="0"/>
              <w:snapToGrid w:val="0"/>
              <w:spacing w:line="280" w:lineRule="exact"/>
              <w:jc w:val="center"/>
              <w:rPr>
                <w:rFonts w:ascii="仿宋_GB2312" w:hAnsi="宋体" w:eastAsia="仿宋_GB2312" w:cs="宋体"/>
                <w:b/>
                <w:sz w:val="32"/>
                <w:szCs w:val="32"/>
                <w:lang w:val="zh-CN"/>
              </w:rPr>
            </w:pPr>
          </w:p>
        </w:tc>
        <w:tc>
          <w:tcPr>
            <w:tcW w:w="1275" w:type="dxa"/>
            <w:vAlign w:val="center"/>
          </w:tcPr>
          <w:p w14:paraId="33A2D577">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年初</w:t>
            </w:r>
          </w:p>
          <w:p w14:paraId="5FB69F65">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预算</w:t>
            </w:r>
          </w:p>
          <w:p w14:paraId="1EE233B5">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支出</w:t>
            </w:r>
          </w:p>
        </w:tc>
        <w:tc>
          <w:tcPr>
            <w:tcW w:w="1276" w:type="dxa"/>
            <w:vAlign w:val="center"/>
          </w:tcPr>
          <w:p w14:paraId="6FAC43A5">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本年预算（含调整预算）</w:t>
            </w:r>
          </w:p>
          <w:p w14:paraId="51062FDF">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支出</w:t>
            </w:r>
          </w:p>
        </w:tc>
        <w:tc>
          <w:tcPr>
            <w:tcW w:w="1779" w:type="dxa"/>
            <w:vAlign w:val="center"/>
          </w:tcPr>
          <w:p w14:paraId="5E38BDE9">
            <w:pPr>
              <w:adjustRightInd w:val="0"/>
              <w:snapToGrid w:val="0"/>
              <w:spacing w:line="280" w:lineRule="exact"/>
              <w:jc w:val="center"/>
              <w:rPr>
                <w:rFonts w:ascii="仿宋_GB2312" w:hAnsi="宋体" w:eastAsia="仿宋_GB2312" w:cs="宋体"/>
                <w:b/>
                <w:sz w:val="32"/>
                <w:szCs w:val="32"/>
                <w:lang w:val="zh-CN"/>
              </w:rPr>
            </w:pPr>
          </w:p>
          <w:p w14:paraId="1138A33F">
            <w:pPr>
              <w:adjustRightInd w:val="0"/>
              <w:snapToGrid w:val="0"/>
              <w:spacing w:line="28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备注</w:t>
            </w:r>
          </w:p>
          <w:p w14:paraId="7F8E169F">
            <w:pPr>
              <w:adjustRightInd w:val="0"/>
              <w:snapToGrid w:val="0"/>
              <w:spacing w:line="280" w:lineRule="exact"/>
              <w:jc w:val="center"/>
              <w:rPr>
                <w:rFonts w:ascii="仿宋_GB2312" w:hAnsi="宋体" w:eastAsia="仿宋_GB2312" w:cs="宋体"/>
                <w:b/>
                <w:sz w:val="32"/>
                <w:szCs w:val="32"/>
                <w:lang w:val="zh-CN"/>
              </w:rPr>
            </w:pPr>
          </w:p>
        </w:tc>
      </w:tr>
      <w:tr w14:paraId="29C1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D9D524">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w:t>
            </w:r>
          </w:p>
        </w:tc>
        <w:tc>
          <w:tcPr>
            <w:tcW w:w="4418" w:type="dxa"/>
            <w:vAlign w:val="center"/>
          </w:tcPr>
          <w:p w14:paraId="76E4D340">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cs="宋体"/>
                <w:sz w:val="32"/>
                <w:szCs w:val="32"/>
                <w:lang w:val="zh-CN"/>
              </w:rPr>
              <w:t>人大代表专项工作经费</w:t>
            </w:r>
          </w:p>
        </w:tc>
        <w:tc>
          <w:tcPr>
            <w:tcW w:w="1275" w:type="dxa"/>
            <w:vAlign w:val="center"/>
          </w:tcPr>
          <w:p w14:paraId="14A834C0">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3.00</w:t>
            </w:r>
          </w:p>
        </w:tc>
        <w:tc>
          <w:tcPr>
            <w:tcW w:w="1276" w:type="dxa"/>
            <w:vAlign w:val="center"/>
          </w:tcPr>
          <w:p w14:paraId="50E58418">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3.00</w:t>
            </w:r>
          </w:p>
        </w:tc>
        <w:tc>
          <w:tcPr>
            <w:tcW w:w="1779" w:type="dxa"/>
            <w:vAlign w:val="center"/>
          </w:tcPr>
          <w:p w14:paraId="7DD3A8DA">
            <w:pPr>
              <w:adjustRightInd w:val="0"/>
              <w:snapToGrid w:val="0"/>
              <w:spacing w:line="400" w:lineRule="exact"/>
              <w:jc w:val="center"/>
              <w:rPr>
                <w:rFonts w:ascii="仿宋_GB2312" w:hAnsi="宋体" w:eastAsia="仿宋_GB2312" w:cs="宋体"/>
                <w:sz w:val="32"/>
                <w:szCs w:val="32"/>
                <w:lang w:val="zh-CN"/>
              </w:rPr>
            </w:pPr>
          </w:p>
        </w:tc>
      </w:tr>
      <w:tr w14:paraId="012F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AEA1EF7">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2</w:t>
            </w:r>
          </w:p>
        </w:tc>
        <w:tc>
          <w:tcPr>
            <w:tcW w:w="4418" w:type="dxa"/>
            <w:vAlign w:val="center"/>
          </w:tcPr>
          <w:p w14:paraId="65FF6731">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乡镇财政所专项工作经费</w:t>
            </w:r>
          </w:p>
        </w:tc>
        <w:tc>
          <w:tcPr>
            <w:tcW w:w="1275" w:type="dxa"/>
            <w:vAlign w:val="center"/>
          </w:tcPr>
          <w:p w14:paraId="7AE9ED50">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276" w:type="dxa"/>
            <w:vAlign w:val="center"/>
          </w:tcPr>
          <w:p w14:paraId="6DF9E3F3">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779" w:type="dxa"/>
            <w:vAlign w:val="center"/>
          </w:tcPr>
          <w:p w14:paraId="1EDA3CCF">
            <w:pPr>
              <w:adjustRightInd w:val="0"/>
              <w:snapToGrid w:val="0"/>
              <w:spacing w:line="400" w:lineRule="exact"/>
              <w:jc w:val="center"/>
              <w:rPr>
                <w:rFonts w:ascii="仿宋_GB2312" w:hAnsi="宋体" w:eastAsia="仿宋_GB2312" w:cs="宋体"/>
                <w:sz w:val="32"/>
                <w:szCs w:val="32"/>
                <w:lang w:val="zh-CN"/>
              </w:rPr>
            </w:pPr>
          </w:p>
        </w:tc>
      </w:tr>
      <w:tr w14:paraId="4380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558A80">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w:t>
            </w:r>
          </w:p>
        </w:tc>
        <w:tc>
          <w:tcPr>
            <w:tcW w:w="4418" w:type="dxa"/>
            <w:vAlign w:val="center"/>
          </w:tcPr>
          <w:p w14:paraId="64401194">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“三资”管理中心运转经费</w:t>
            </w:r>
          </w:p>
        </w:tc>
        <w:tc>
          <w:tcPr>
            <w:tcW w:w="1275" w:type="dxa"/>
            <w:vAlign w:val="center"/>
          </w:tcPr>
          <w:p w14:paraId="48EF50C5">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276" w:type="dxa"/>
            <w:vAlign w:val="center"/>
          </w:tcPr>
          <w:p w14:paraId="7382EDA7">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779" w:type="dxa"/>
            <w:vAlign w:val="center"/>
          </w:tcPr>
          <w:p w14:paraId="68F894FF">
            <w:pPr>
              <w:adjustRightInd w:val="0"/>
              <w:snapToGrid w:val="0"/>
              <w:spacing w:line="400" w:lineRule="exact"/>
              <w:jc w:val="center"/>
              <w:rPr>
                <w:rFonts w:ascii="仿宋_GB2312" w:hAnsi="宋体" w:eastAsia="仿宋_GB2312" w:cs="宋体"/>
                <w:sz w:val="32"/>
                <w:szCs w:val="32"/>
                <w:lang w:val="zh-CN"/>
              </w:rPr>
            </w:pPr>
          </w:p>
        </w:tc>
      </w:tr>
      <w:tr w14:paraId="28DB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D6F85E">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4</w:t>
            </w:r>
          </w:p>
        </w:tc>
        <w:tc>
          <w:tcPr>
            <w:tcW w:w="4418" w:type="dxa"/>
            <w:vAlign w:val="center"/>
          </w:tcPr>
          <w:p w14:paraId="41543485">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老协、关工委等群众团体工作经费</w:t>
            </w:r>
          </w:p>
        </w:tc>
        <w:tc>
          <w:tcPr>
            <w:tcW w:w="1275" w:type="dxa"/>
            <w:vAlign w:val="center"/>
          </w:tcPr>
          <w:p w14:paraId="366896E8">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276" w:type="dxa"/>
            <w:vAlign w:val="center"/>
          </w:tcPr>
          <w:p w14:paraId="68D13270">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779" w:type="dxa"/>
            <w:vAlign w:val="center"/>
          </w:tcPr>
          <w:p w14:paraId="3BB2672A">
            <w:pPr>
              <w:adjustRightInd w:val="0"/>
              <w:snapToGrid w:val="0"/>
              <w:spacing w:line="400" w:lineRule="exact"/>
              <w:jc w:val="center"/>
              <w:rPr>
                <w:rFonts w:ascii="仿宋_GB2312" w:hAnsi="宋体" w:eastAsia="仿宋_GB2312" w:cs="宋体"/>
                <w:sz w:val="32"/>
                <w:szCs w:val="32"/>
                <w:lang w:val="zh-CN"/>
              </w:rPr>
            </w:pPr>
          </w:p>
        </w:tc>
      </w:tr>
      <w:tr w14:paraId="1B6A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F746CD">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5</w:t>
            </w:r>
          </w:p>
        </w:tc>
        <w:tc>
          <w:tcPr>
            <w:tcW w:w="4418" w:type="dxa"/>
            <w:vAlign w:val="center"/>
          </w:tcPr>
          <w:p w14:paraId="7B00B223">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惠农补贴‘一卡通’发放专项工作经费</w:t>
            </w:r>
          </w:p>
        </w:tc>
        <w:tc>
          <w:tcPr>
            <w:tcW w:w="1275" w:type="dxa"/>
            <w:vAlign w:val="center"/>
          </w:tcPr>
          <w:p w14:paraId="420658B2">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276" w:type="dxa"/>
            <w:vAlign w:val="center"/>
          </w:tcPr>
          <w:p w14:paraId="5F843D9A">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779" w:type="dxa"/>
            <w:vAlign w:val="center"/>
          </w:tcPr>
          <w:p w14:paraId="0D35FC84">
            <w:pPr>
              <w:adjustRightInd w:val="0"/>
              <w:snapToGrid w:val="0"/>
              <w:spacing w:line="400" w:lineRule="exact"/>
              <w:jc w:val="center"/>
              <w:rPr>
                <w:rFonts w:ascii="仿宋_GB2312" w:hAnsi="宋体" w:eastAsia="仿宋_GB2312" w:cs="宋体"/>
                <w:sz w:val="32"/>
                <w:szCs w:val="32"/>
                <w:lang w:val="zh-CN"/>
              </w:rPr>
            </w:pPr>
          </w:p>
        </w:tc>
      </w:tr>
      <w:tr w14:paraId="6FD5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vAlign w:val="center"/>
          </w:tcPr>
          <w:p w14:paraId="51E5C658">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合 计</w:t>
            </w:r>
          </w:p>
        </w:tc>
        <w:tc>
          <w:tcPr>
            <w:tcW w:w="1275" w:type="dxa"/>
            <w:vAlign w:val="center"/>
          </w:tcPr>
          <w:p w14:paraId="3B99F463">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6.00</w:t>
            </w:r>
          </w:p>
        </w:tc>
        <w:tc>
          <w:tcPr>
            <w:tcW w:w="1276" w:type="dxa"/>
            <w:vAlign w:val="center"/>
          </w:tcPr>
          <w:p w14:paraId="79C6928C">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6.00</w:t>
            </w:r>
          </w:p>
        </w:tc>
        <w:tc>
          <w:tcPr>
            <w:tcW w:w="1779" w:type="dxa"/>
            <w:vAlign w:val="center"/>
          </w:tcPr>
          <w:p w14:paraId="6436F848">
            <w:pPr>
              <w:adjustRightInd w:val="0"/>
              <w:snapToGrid w:val="0"/>
              <w:spacing w:line="560" w:lineRule="exact"/>
              <w:jc w:val="center"/>
              <w:rPr>
                <w:rFonts w:ascii="仿宋_GB2312" w:hAnsi="宋体" w:eastAsia="仿宋_GB2312" w:cs="宋体"/>
                <w:sz w:val="32"/>
                <w:szCs w:val="32"/>
                <w:lang w:val="zh-CN"/>
              </w:rPr>
            </w:pPr>
          </w:p>
        </w:tc>
      </w:tr>
    </w:tbl>
    <w:p w14:paraId="05164878">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2020年，批复项目预算支出6.00万元。预算调整及预算执行符合相关项目资金管理规定。</w:t>
      </w:r>
    </w:p>
    <w:p w14:paraId="60BC1330">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（二）项目资金计划、到位及使用情况</w:t>
      </w:r>
    </w:p>
    <w:p w14:paraId="6173A26F">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2020年该类项目资金计划、到位及使用情况表：</w:t>
      </w:r>
    </w:p>
    <w:p w14:paraId="7B66533F">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 xml:space="preserve">                                   金额单位：万元</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0"/>
        <w:gridCol w:w="3410"/>
        <w:gridCol w:w="1085"/>
        <w:gridCol w:w="1085"/>
        <w:gridCol w:w="1085"/>
        <w:gridCol w:w="1207"/>
      </w:tblGrid>
      <w:tr w14:paraId="6AC6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23DA572B">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序</w:t>
            </w:r>
          </w:p>
          <w:p w14:paraId="6C60AC6A">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号</w:t>
            </w:r>
          </w:p>
        </w:tc>
        <w:tc>
          <w:tcPr>
            <w:tcW w:w="3969" w:type="dxa"/>
            <w:vAlign w:val="center"/>
          </w:tcPr>
          <w:p w14:paraId="24B2F58D">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项目名称</w:t>
            </w:r>
          </w:p>
        </w:tc>
        <w:tc>
          <w:tcPr>
            <w:tcW w:w="1134" w:type="dxa"/>
            <w:vAlign w:val="center"/>
          </w:tcPr>
          <w:p w14:paraId="73E59691">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资金</w:t>
            </w:r>
          </w:p>
          <w:p w14:paraId="52F60AB6">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计划</w:t>
            </w:r>
          </w:p>
        </w:tc>
        <w:tc>
          <w:tcPr>
            <w:tcW w:w="1134" w:type="dxa"/>
            <w:vAlign w:val="center"/>
          </w:tcPr>
          <w:p w14:paraId="00B47EE5">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到位</w:t>
            </w:r>
          </w:p>
          <w:p w14:paraId="3E12C192">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资金</w:t>
            </w:r>
          </w:p>
        </w:tc>
        <w:tc>
          <w:tcPr>
            <w:tcW w:w="1134" w:type="dxa"/>
            <w:vAlign w:val="center"/>
          </w:tcPr>
          <w:p w14:paraId="4BC3D953">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使用</w:t>
            </w:r>
          </w:p>
          <w:p w14:paraId="3A96D959">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资金</w:t>
            </w:r>
          </w:p>
        </w:tc>
        <w:tc>
          <w:tcPr>
            <w:tcW w:w="1354" w:type="dxa"/>
            <w:vAlign w:val="center"/>
          </w:tcPr>
          <w:p w14:paraId="2C56983E">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备</w:t>
            </w:r>
          </w:p>
          <w:p w14:paraId="5FECA79B">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注</w:t>
            </w:r>
          </w:p>
        </w:tc>
      </w:tr>
      <w:tr w14:paraId="6A807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299AF3A8">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w:t>
            </w:r>
          </w:p>
        </w:tc>
        <w:tc>
          <w:tcPr>
            <w:tcW w:w="3969" w:type="dxa"/>
            <w:vAlign w:val="center"/>
          </w:tcPr>
          <w:p w14:paraId="6E1123A3">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cs="宋体"/>
                <w:sz w:val="32"/>
                <w:szCs w:val="32"/>
                <w:lang w:val="zh-CN"/>
              </w:rPr>
              <w:t>人大代表专项工作经费</w:t>
            </w:r>
          </w:p>
        </w:tc>
        <w:tc>
          <w:tcPr>
            <w:tcW w:w="1134" w:type="dxa"/>
            <w:vAlign w:val="center"/>
          </w:tcPr>
          <w:p w14:paraId="2FB819E6">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3.00</w:t>
            </w:r>
          </w:p>
        </w:tc>
        <w:tc>
          <w:tcPr>
            <w:tcW w:w="1134" w:type="dxa"/>
            <w:vAlign w:val="center"/>
          </w:tcPr>
          <w:p w14:paraId="46E04CF3">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3.00</w:t>
            </w:r>
          </w:p>
        </w:tc>
        <w:tc>
          <w:tcPr>
            <w:tcW w:w="1134" w:type="dxa"/>
            <w:vAlign w:val="center"/>
          </w:tcPr>
          <w:p w14:paraId="3C3FA526">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3.00</w:t>
            </w:r>
          </w:p>
        </w:tc>
        <w:tc>
          <w:tcPr>
            <w:tcW w:w="1354" w:type="dxa"/>
            <w:vAlign w:val="center"/>
          </w:tcPr>
          <w:p w14:paraId="5CD2DC3C">
            <w:pPr>
              <w:adjustRightInd w:val="0"/>
              <w:snapToGrid w:val="0"/>
              <w:spacing w:line="560" w:lineRule="exact"/>
              <w:jc w:val="center"/>
              <w:rPr>
                <w:rFonts w:ascii="仿宋_GB2312" w:hAnsi="宋体" w:eastAsia="仿宋_GB2312"/>
                <w:sz w:val="32"/>
                <w:szCs w:val="32"/>
                <w:lang w:val="zh-CN"/>
              </w:rPr>
            </w:pPr>
          </w:p>
        </w:tc>
      </w:tr>
      <w:tr w14:paraId="73E10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1BF6C6A1">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2</w:t>
            </w:r>
          </w:p>
        </w:tc>
        <w:tc>
          <w:tcPr>
            <w:tcW w:w="3969" w:type="dxa"/>
            <w:vAlign w:val="center"/>
          </w:tcPr>
          <w:p w14:paraId="4B694998">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乡镇财政所专项工作经费</w:t>
            </w:r>
          </w:p>
        </w:tc>
        <w:tc>
          <w:tcPr>
            <w:tcW w:w="1134" w:type="dxa"/>
            <w:vAlign w:val="center"/>
          </w:tcPr>
          <w:p w14:paraId="02EB0A10">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134" w:type="dxa"/>
            <w:vAlign w:val="center"/>
          </w:tcPr>
          <w:p w14:paraId="56C7AF11">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134" w:type="dxa"/>
            <w:vAlign w:val="center"/>
          </w:tcPr>
          <w:p w14:paraId="505EF60C">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354" w:type="dxa"/>
            <w:vAlign w:val="center"/>
          </w:tcPr>
          <w:p w14:paraId="41BF36BD">
            <w:pPr>
              <w:adjustRightInd w:val="0"/>
              <w:snapToGrid w:val="0"/>
              <w:spacing w:line="560" w:lineRule="exact"/>
              <w:jc w:val="center"/>
              <w:rPr>
                <w:rFonts w:ascii="仿宋_GB2312" w:hAnsi="宋体" w:eastAsia="仿宋_GB2312"/>
                <w:sz w:val="32"/>
                <w:szCs w:val="32"/>
                <w:lang w:val="zh-CN"/>
              </w:rPr>
            </w:pPr>
          </w:p>
        </w:tc>
      </w:tr>
      <w:tr w14:paraId="7C791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F4E2CBB">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w:t>
            </w:r>
          </w:p>
        </w:tc>
        <w:tc>
          <w:tcPr>
            <w:tcW w:w="3969" w:type="dxa"/>
            <w:vAlign w:val="center"/>
          </w:tcPr>
          <w:p w14:paraId="5C5555B7">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“三资”管理中心运转经费</w:t>
            </w:r>
          </w:p>
        </w:tc>
        <w:tc>
          <w:tcPr>
            <w:tcW w:w="1134" w:type="dxa"/>
            <w:vAlign w:val="center"/>
          </w:tcPr>
          <w:p w14:paraId="1022D00A">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134" w:type="dxa"/>
            <w:vAlign w:val="center"/>
          </w:tcPr>
          <w:p w14:paraId="619E5BF1">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134" w:type="dxa"/>
            <w:vAlign w:val="center"/>
          </w:tcPr>
          <w:p w14:paraId="41635B11">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1.00</w:t>
            </w:r>
          </w:p>
        </w:tc>
        <w:tc>
          <w:tcPr>
            <w:tcW w:w="1354" w:type="dxa"/>
            <w:vAlign w:val="center"/>
          </w:tcPr>
          <w:p w14:paraId="20905DA4">
            <w:pPr>
              <w:adjustRightInd w:val="0"/>
              <w:snapToGrid w:val="0"/>
              <w:spacing w:line="560" w:lineRule="exact"/>
              <w:jc w:val="center"/>
              <w:rPr>
                <w:rFonts w:ascii="仿宋_GB2312" w:hAnsi="宋体" w:eastAsia="仿宋_GB2312"/>
                <w:sz w:val="32"/>
                <w:szCs w:val="32"/>
                <w:lang w:val="zh-CN"/>
              </w:rPr>
            </w:pPr>
          </w:p>
        </w:tc>
      </w:tr>
      <w:tr w14:paraId="66928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2387B9E2">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4</w:t>
            </w:r>
          </w:p>
        </w:tc>
        <w:tc>
          <w:tcPr>
            <w:tcW w:w="3969" w:type="dxa"/>
            <w:vAlign w:val="center"/>
          </w:tcPr>
          <w:p w14:paraId="658229BD">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老协、关工委等群众团体工作经费</w:t>
            </w:r>
          </w:p>
        </w:tc>
        <w:tc>
          <w:tcPr>
            <w:tcW w:w="1134" w:type="dxa"/>
            <w:vAlign w:val="center"/>
          </w:tcPr>
          <w:p w14:paraId="10B44264">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134" w:type="dxa"/>
            <w:vAlign w:val="center"/>
          </w:tcPr>
          <w:p w14:paraId="28C0E11D">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134" w:type="dxa"/>
            <w:vAlign w:val="center"/>
          </w:tcPr>
          <w:p w14:paraId="50A2708C">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354" w:type="dxa"/>
            <w:vAlign w:val="center"/>
          </w:tcPr>
          <w:p w14:paraId="4B6395F8">
            <w:pPr>
              <w:adjustRightInd w:val="0"/>
              <w:snapToGrid w:val="0"/>
              <w:spacing w:line="560" w:lineRule="exact"/>
              <w:jc w:val="center"/>
              <w:rPr>
                <w:rFonts w:ascii="仿宋_GB2312" w:hAnsi="宋体" w:eastAsia="仿宋_GB2312"/>
                <w:sz w:val="32"/>
                <w:szCs w:val="32"/>
                <w:lang w:val="zh-CN"/>
              </w:rPr>
            </w:pPr>
          </w:p>
        </w:tc>
      </w:tr>
      <w:tr w14:paraId="72B64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581E9B78">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5</w:t>
            </w:r>
          </w:p>
        </w:tc>
        <w:tc>
          <w:tcPr>
            <w:tcW w:w="3969" w:type="dxa"/>
            <w:vAlign w:val="center"/>
          </w:tcPr>
          <w:p w14:paraId="4908E354">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惠农补贴‘一卡通’发放专项工作经费</w:t>
            </w:r>
          </w:p>
        </w:tc>
        <w:tc>
          <w:tcPr>
            <w:tcW w:w="1134" w:type="dxa"/>
            <w:vAlign w:val="center"/>
          </w:tcPr>
          <w:p w14:paraId="33F0645A">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134" w:type="dxa"/>
            <w:vAlign w:val="center"/>
          </w:tcPr>
          <w:p w14:paraId="6455C2D6">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134" w:type="dxa"/>
            <w:vAlign w:val="center"/>
          </w:tcPr>
          <w:p w14:paraId="0C2F73D7">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0.50</w:t>
            </w:r>
          </w:p>
        </w:tc>
        <w:tc>
          <w:tcPr>
            <w:tcW w:w="1354" w:type="dxa"/>
            <w:vAlign w:val="center"/>
          </w:tcPr>
          <w:p w14:paraId="3A8FEDC6">
            <w:pPr>
              <w:adjustRightInd w:val="0"/>
              <w:snapToGrid w:val="0"/>
              <w:spacing w:line="560" w:lineRule="exact"/>
              <w:jc w:val="center"/>
              <w:rPr>
                <w:rFonts w:ascii="仿宋_GB2312" w:hAnsi="宋体" w:eastAsia="仿宋_GB2312"/>
                <w:sz w:val="32"/>
                <w:szCs w:val="32"/>
                <w:lang w:val="zh-CN"/>
              </w:rPr>
            </w:pPr>
          </w:p>
        </w:tc>
      </w:tr>
      <w:tr w14:paraId="63FB6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Align w:val="center"/>
          </w:tcPr>
          <w:p w14:paraId="7D08A074">
            <w:pPr>
              <w:adjustRightInd w:val="0"/>
              <w:snapToGrid w:val="0"/>
              <w:spacing w:line="560" w:lineRule="exact"/>
              <w:jc w:val="center"/>
              <w:rPr>
                <w:rFonts w:ascii="仿宋_GB2312" w:hAnsi="宋体" w:eastAsia="仿宋_GB2312"/>
                <w:b/>
                <w:sz w:val="32"/>
                <w:szCs w:val="32"/>
                <w:lang w:val="zh-CN"/>
              </w:rPr>
            </w:pPr>
            <w:r>
              <w:rPr>
                <w:rFonts w:hint="eastAsia" w:ascii="仿宋_GB2312" w:hAnsi="宋体" w:eastAsia="仿宋_GB2312"/>
                <w:b/>
                <w:sz w:val="32"/>
                <w:szCs w:val="32"/>
                <w:lang w:val="zh-CN"/>
              </w:rPr>
              <w:t>合 计</w:t>
            </w:r>
          </w:p>
        </w:tc>
        <w:tc>
          <w:tcPr>
            <w:tcW w:w="1134" w:type="dxa"/>
            <w:vAlign w:val="center"/>
          </w:tcPr>
          <w:p w14:paraId="0FDAA07B">
            <w:pPr>
              <w:adjustRightInd w:val="0"/>
              <w:snapToGrid w:val="0"/>
              <w:spacing w:line="560" w:lineRule="exact"/>
              <w:jc w:val="center"/>
              <w:rPr>
                <w:rFonts w:ascii="仿宋_GB2312" w:hAnsi="宋体" w:eastAsia="仿宋_GB2312"/>
                <w:b/>
                <w:sz w:val="32"/>
                <w:szCs w:val="32"/>
                <w:lang w:val="zh-CN"/>
              </w:rPr>
            </w:pPr>
            <w:r>
              <w:rPr>
                <w:rFonts w:hint="eastAsia" w:ascii="仿宋_GB2312" w:hAnsi="宋体" w:eastAsia="仿宋_GB2312"/>
                <w:b/>
                <w:sz w:val="32"/>
                <w:szCs w:val="32"/>
                <w:lang w:val="zh-CN"/>
              </w:rPr>
              <w:t>6.00</w:t>
            </w:r>
          </w:p>
        </w:tc>
        <w:tc>
          <w:tcPr>
            <w:tcW w:w="1134" w:type="dxa"/>
            <w:vAlign w:val="center"/>
          </w:tcPr>
          <w:p w14:paraId="023DD6AA">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6.00</w:t>
            </w:r>
          </w:p>
        </w:tc>
        <w:tc>
          <w:tcPr>
            <w:tcW w:w="1134" w:type="dxa"/>
            <w:vAlign w:val="center"/>
          </w:tcPr>
          <w:p w14:paraId="7A693950">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6.00</w:t>
            </w:r>
          </w:p>
        </w:tc>
        <w:tc>
          <w:tcPr>
            <w:tcW w:w="1354" w:type="dxa"/>
            <w:vAlign w:val="center"/>
          </w:tcPr>
          <w:p w14:paraId="68A10CAD">
            <w:pPr>
              <w:adjustRightInd w:val="0"/>
              <w:snapToGrid w:val="0"/>
              <w:spacing w:line="560" w:lineRule="exact"/>
              <w:jc w:val="center"/>
              <w:rPr>
                <w:rFonts w:ascii="仿宋_GB2312" w:hAnsi="宋体" w:eastAsia="仿宋_GB2312" w:cs="宋体"/>
                <w:b/>
                <w:sz w:val="32"/>
                <w:szCs w:val="32"/>
                <w:lang w:val="zh-CN"/>
              </w:rPr>
            </w:pPr>
          </w:p>
        </w:tc>
      </w:tr>
    </w:tbl>
    <w:p w14:paraId="5B9943A8">
      <w:pPr>
        <w:adjustRightInd w:val="0"/>
        <w:snapToGrid w:val="0"/>
        <w:spacing w:line="560" w:lineRule="exact"/>
        <w:rPr>
          <w:rFonts w:ascii="仿宋_GB2312" w:hAnsi="宋体" w:eastAsia="仿宋_GB2312"/>
          <w:sz w:val="32"/>
          <w:szCs w:val="32"/>
          <w:lang w:val="zh-CN"/>
        </w:rPr>
      </w:pPr>
    </w:p>
    <w:p w14:paraId="753FCEEF">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 1．项目资金计划情况</w:t>
      </w:r>
    </w:p>
    <w:p w14:paraId="2BFBEFDB">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该类项目资金计划按资金来源分类如下表</w:t>
      </w:r>
    </w:p>
    <w:p w14:paraId="24E5E05F">
      <w:pPr>
        <w:adjustRightInd w:val="0"/>
        <w:snapToGrid w:val="0"/>
        <w:spacing w:line="560" w:lineRule="exact"/>
        <w:ind w:firstLine="6400" w:firstLineChars="2000"/>
        <w:rPr>
          <w:rFonts w:ascii="仿宋_GB2312" w:hAnsi="宋体" w:eastAsia="仿宋_GB2312"/>
          <w:sz w:val="32"/>
          <w:szCs w:val="32"/>
          <w:lang w:val="zh-CN"/>
        </w:rPr>
      </w:pPr>
      <w:r>
        <w:rPr>
          <w:rFonts w:hint="eastAsia" w:ascii="仿宋_GB2312" w:hAnsi="宋体" w:eastAsia="仿宋_GB2312"/>
          <w:sz w:val="32"/>
          <w:szCs w:val="32"/>
          <w:lang w:val="zh-CN"/>
        </w:rPr>
        <w:t>金额单位：万元</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3723"/>
        <w:gridCol w:w="992"/>
        <w:gridCol w:w="992"/>
        <w:gridCol w:w="993"/>
        <w:gridCol w:w="992"/>
        <w:gridCol w:w="1070"/>
      </w:tblGrid>
      <w:tr w14:paraId="5EF12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vAlign w:val="center"/>
          </w:tcPr>
          <w:p w14:paraId="34BD616D">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序</w:t>
            </w:r>
          </w:p>
          <w:p w14:paraId="12F20AEA">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号</w:t>
            </w:r>
          </w:p>
        </w:tc>
        <w:tc>
          <w:tcPr>
            <w:tcW w:w="3723" w:type="dxa"/>
            <w:vAlign w:val="center"/>
          </w:tcPr>
          <w:p w14:paraId="423586E9">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项目名称</w:t>
            </w:r>
          </w:p>
        </w:tc>
        <w:tc>
          <w:tcPr>
            <w:tcW w:w="992" w:type="dxa"/>
            <w:vAlign w:val="center"/>
          </w:tcPr>
          <w:p w14:paraId="5212354E">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中央</w:t>
            </w:r>
          </w:p>
          <w:p w14:paraId="18FAFCCF">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资金</w:t>
            </w:r>
          </w:p>
        </w:tc>
        <w:tc>
          <w:tcPr>
            <w:tcW w:w="992" w:type="dxa"/>
            <w:vAlign w:val="center"/>
          </w:tcPr>
          <w:p w14:paraId="7240ECC1">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省级资金</w:t>
            </w:r>
          </w:p>
        </w:tc>
        <w:tc>
          <w:tcPr>
            <w:tcW w:w="993" w:type="dxa"/>
            <w:vAlign w:val="center"/>
          </w:tcPr>
          <w:p w14:paraId="492ADAAB">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市级资金</w:t>
            </w:r>
          </w:p>
        </w:tc>
        <w:tc>
          <w:tcPr>
            <w:tcW w:w="992" w:type="dxa"/>
          </w:tcPr>
          <w:p w14:paraId="7EE0FCFC">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区级资金</w:t>
            </w:r>
          </w:p>
        </w:tc>
        <w:tc>
          <w:tcPr>
            <w:tcW w:w="1070" w:type="dxa"/>
            <w:vAlign w:val="center"/>
          </w:tcPr>
          <w:p w14:paraId="50B4FFC3">
            <w:pPr>
              <w:adjustRightInd w:val="0"/>
              <w:snapToGrid w:val="0"/>
              <w:spacing w:line="4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自筹资金</w:t>
            </w:r>
          </w:p>
        </w:tc>
      </w:tr>
      <w:tr w14:paraId="746EA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tcPr>
          <w:p w14:paraId="19ACF493">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1</w:t>
            </w:r>
          </w:p>
        </w:tc>
        <w:tc>
          <w:tcPr>
            <w:tcW w:w="3723" w:type="dxa"/>
            <w:vAlign w:val="center"/>
          </w:tcPr>
          <w:p w14:paraId="2FAEDB69">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cs="宋体"/>
                <w:sz w:val="32"/>
                <w:szCs w:val="32"/>
                <w:lang w:val="zh-CN"/>
              </w:rPr>
              <w:t>人大代表专项工作经费</w:t>
            </w:r>
          </w:p>
        </w:tc>
        <w:tc>
          <w:tcPr>
            <w:tcW w:w="992" w:type="dxa"/>
            <w:vAlign w:val="center"/>
          </w:tcPr>
          <w:p w14:paraId="245025F9">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72408B47">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3" w:type="dxa"/>
            <w:vAlign w:val="center"/>
          </w:tcPr>
          <w:p w14:paraId="67FBB151">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16A6265D">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3.00</w:t>
            </w:r>
          </w:p>
        </w:tc>
        <w:tc>
          <w:tcPr>
            <w:tcW w:w="1070" w:type="dxa"/>
            <w:vAlign w:val="center"/>
          </w:tcPr>
          <w:p w14:paraId="2E9A1EC5">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0.00</w:t>
            </w:r>
          </w:p>
        </w:tc>
      </w:tr>
      <w:tr w14:paraId="19B2D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tcPr>
          <w:p w14:paraId="586AA2EA">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2</w:t>
            </w:r>
          </w:p>
        </w:tc>
        <w:tc>
          <w:tcPr>
            <w:tcW w:w="3723" w:type="dxa"/>
            <w:vAlign w:val="center"/>
          </w:tcPr>
          <w:p w14:paraId="062A15E1">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乡镇财政所专项工作经费</w:t>
            </w:r>
          </w:p>
        </w:tc>
        <w:tc>
          <w:tcPr>
            <w:tcW w:w="992" w:type="dxa"/>
            <w:vAlign w:val="center"/>
          </w:tcPr>
          <w:p w14:paraId="752A73FC">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42F0D9D6">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3" w:type="dxa"/>
            <w:vAlign w:val="center"/>
          </w:tcPr>
          <w:p w14:paraId="7BC60219">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tcPr>
          <w:p w14:paraId="529235B6">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1.00</w:t>
            </w:r>
          </w:p>
        </w:tc>
        <w:tc>
          <w:tcPr>
            <w:tcW w:w="1070" w:type="dxa"/>
            <w:vAlign w:val="center"/>
          </w:tcPr>
          <w:p w14:paraId="67B1B814">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0.00</w:t>
            </w:r>
          </w:p>
        </w:tc>
      </w:tr>
      <w:tr w14:paraId="2CFD2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tcPr>
          <w:p w14:paraId="1F4E7314">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3</w:t>
            </w:r>
          </w:p>
        </w:tc>
        <w:tc>
          <w:tcPr>
            <w:tcW w:w="3723" w:type="dxa"/>
            <w:vAlign w:val="center"/>
          </w:tcPr>
          <w:p w14:paraId="1000F950">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“三资”管理中心运转经费</w:t>
            </w:r>
          </w:p>
        </w:tc>
        <w:tc>
          <w:tcPr>
            <w:tcW w:w="992" w:type="dxa"/>
            <w:vAlign w:val="center"/>
          </w:tcPr>
          <w:p w14:paraId="4A97EBD0">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4BF96902">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3" w:type="dxa"/>
            <w:vAlign w:val="center"/>
          </w:tcPr>
          <w:p w14:paraId="3FCD70CB">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43B86EE6">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1.00</w:t>
            </w:r>
          </w:p>
        </w:tc>
        <w:tc>
          <w:tcPr>
            <w:tcW w:w="1070" w:type="dxa"/>
            <w:vAlign w:val="center"/>
          </w:tcPr>
          <w:p w14:paraId="3229F35B">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0.00</w:t>
            </w:r>
          </w:p>
        </w:tc>
      </w:tr>
      <w:tr w14:paraId="2BA06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tcPr>
          <w:p w14:paraId="31BAF536">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4</w:t>
            </w:r>
          </w:p>
        </w:tc>
        <w:tc>
          <w:tcPr>
            <w:tcW w:w="3723" w:type="dxa"/>
            <w:vAlign w:val="center"/>
          </w:tcPr>
          <w:p w14:paraId="15283778">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老协、关工委等群众团体工作经费</w:t>
            </w:r>
          </w:p>
        </w:tc>
        <w:tc>
          <w:tcPr>
            <w:tcW w:w="992" w:type="dxa"/>
            <w:vAlign w:val="center"/>
          </w:tcPr>
          <w:p w14:paraId="6FA2D051">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07BFA56C">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3" w:type="dxa"/>
            <w:vAlign w:val="center"/>
          </w:tcPr>
          <w:p w14:paraId="549E9C7D">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6FB0DFEC">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0.50</w:t>
            </w:r>
          </w:p>
        </w:tc>
        <w:tc>
          <w:tcPr>
            <w:tcW w:w="1070" w:type="dxa"/>
            <w:vAlign w:val="center"/>
          </w:tcPr>
          <w:p w14:paraId="4E1C42C2">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0.00</w:t>
            </w:r>
          </w:p>
        </w:tc>
      </w:tr>
      <w:tr w14:paraId="49F8D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8" w:type="dxa"/>
          </w:tcPr>
          <w:p w14:paraId="5391CA87">
            <w:pPr>
              <w:adjustRightInd w:val="0"/>
              <w:snapToGrid w:val="0"/>
              <w:spacing w:line="56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5</w:t>
            </w:r>
          </w:p>
        </w:tc>
        <w:tc>
          <w:tcPr>
            <w:tcW w:w="3723" w:type="dxa"/>
            <w:vAlign w:val="center"/>
          </w:tcPr>
          <w:p w14:paraId="0ECAE1D8">
            <w:pPr>
              <w:adjustRightInd w:val="0"/>
              <w:snapToGrid w:val="0"/>
              <w:spacing w:line="400" w:lineRule="exact"/>
              <w:rPr>
                <w:rFonts w:ascii="仿宋_GB2312" w:hAnsi="宋体" w:eastAsia="仿宋_GB2312" w:cs="宋体"/>
                <w:sz w:val="32"/>
                <w:szCs w:val="32"/>
                <w:lang w:val="zh-CN"/>
              </w:rPr>
            </w:pPr>
            <w:r>
              <w:rPr>
                <w:rFonts w:hint="eastAsia" w:ascii="仿宋_GB2312" w:hAnsi="宋体" w:eastAsia="仿宋_GB2312"/>
                <w:sz w:val="32"/>
                <w:szCs w:val="32"/>
                <w:lang w:val="zh-CN"/>
              </w:rPr>
              <w:t>惠农补贴‘一卡通’发放专项工作经费</w:t>
            </w:r>
          </w:p>
        </w:tc>
        <w:tc>
          <w:tcPr>
            <w:tcW w:w="992" w:type="dxa"/>
            <w:vAlign w:val="center"/>
          </w:tcPr>
          <w:p w14:paraId="38AAFAAA">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0092C514">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3" w:type="dxa"/>
            <w:vAlign w:val="center"/>
          </w:tcPr>
          <w:p w14:paraId="2088F8E8">
            <w:pPr>
              <w:adjustRightInd w:val="0"/>
              <w:snapToGrid w:val="0"/>
              <w:spacing w:line="400" w:lineRule="exact"/>
              <w:jc w:val="center"/>
              <w:rPr>
                <w:rFonts w:ascii="仿宋_GB2312" w:hAnsi="宋体" w:eastAsia="仿宋_GB2312" w:cs="宋体"/>
                <w:sz w:val="32"/>
                <w:szCs w:val="32"/>
                <w:lang w:val="zh-CN"/>
              </w:rPr>
            </w:pPr>
            <w:r>
              <w:rPr>
                <w:rFonts w:hint="eastAsia" w:ascii="仿宋_GB2312" w:hAnsi="宋体" w:eastAsia="仿宋_GB2312" w:cs="宋体"/>
                <w:sz w:val="32"/>
                <w:szCs w:val="32"/>
                <w:lang w:val="zh-CN"/>
              </w:rPr>
              <w:t>0.00</w:t>
            </w:r>
          </w:p>
        </w:tc>
        <w:tc>
          <w:tcPr>
            <w:tcW w:w="992" w:type="dxa"/>
            <w:vAlign w:val="center"/>
          </w:tcPr>
          <w:p w14:paraId="0B15CF3F">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0.50</w:t>
            </w:r>
          </w:p>
        </w:tc>
        <w:tc>
          <w:tcPr>
            <w:tcW w:w="1070" w:type="dxa"/>
            <w:vAlign w:val="center"/>
          </w:tcPr>
          <w:p w14:paraId="7A3208DD">
            <w:pPr>
              <w:adjustRightInd w:val="0"/>
              <w:snapToGrid w:val="0"/>
              <w:spacing w:line="56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0.00</w:t>
            </w:r>
          </w:p>
        </w:tc>
      </w:tr>
      <w:tr w14:paraId="2961F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2"/>
            <w:vAlign w:val="center"/>
          </w:tcPr>
          <w:p w14:paraId="135A2286">
            <w:pPr>
              <w:adjustRightInd w:val="0"/>
              <w:snapToGrid w:val="0"/>
              <w:spacing w:line="560" w:lineRule="exact"/>
              <w:jc w:val="center"/>
              <w:rPr>
                <w:rFonts w:ascii="仿宋_GB2312" w:hAnsi="宋体" w:eastAsia="仿宋_GB2312"/>
                <w:b/>
                <w:sz w:val="32"/>
                <w:szCs w:val="32"/>
                <w:lang w:val="zh-CN"/>
              </w:rPr>
            </w:pPr>
            <w:r>
              <w:rPr>
                <w:rFonts w:hint="eastAsia" w:ascii="仿宋_GB2312" w:hAnsi="宋体" w:eastAsia="仿宋_GB2312"/>
                <w:b/>
                <w:sz w:val="32"/>
                <w:szCs w:val="32"/>
                <w:lang w:val="zh-CN"/>
              </w:rPr>
              <w:t>合 计</w:t>
            </w:r>
          </w:p>
        </w:tc>
        <w:tc>
          <w:tcPr>
            <w:tcW w:w="992" w:type="dxa"/>
            <w:vAlign w:val="center"/>
          </w:tcPr>
          <w:p w14:paraId="7B9B79C4">
            <w:pPr>
              <w:adjustRightInd w:val="0"/>
              <w:snapToGrid w:val="0"/>
              <w:spacing w:line="560" w:lineRule="exact"/>
              <w:jc w:val="center"/>
              <w:rPr>
                <w:rFonts w:ascii="仿宋_GB2312" w:hAnsi="宋体" w:eastAsia="仿宋_GB2312"/>
                <w:b/>
                <w:sz w:val="32"/>
                <w:szCs w:val="32"/>
                <w:lang w:val="zh-CN"/>
              </w:rPr>
            </w:pPr>
            <w:r>
              <w:rPr>
                <w:rFonts w:hint="eastAsia" w:ascii="仿宋_GB2312" w:hAnsi="宋体" w:eastAsia="仿宋_GB2312"/>
                <w:b/>
                <w:sz w:val="32"/>
                <w:szCs w:val="32"/>
                <w:lang w:val="zh-CN"/>
              </w:rPr>
              <w:t>0.00</w:t>
            </w:r>
          </w:p>
        </w:tc>
        <w:tc>
          <w:tcPr>
            <w:tcW w:w="992" w:type="dxa"/>
            <w:vAlign w:val="center"/>
          </w:tcPr>
          <w:p w14:paraId="4DB8FAD0">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0.00</w:t>
            </w:r>
          </w:p>
        </w:tc>
        <w:tc>
          <w:tcPr>
            <w:tcW w:w="993" w:type="dxa"/>
            <w:vAlign w:val="center"/>
          </w:tcPr>
          <w:p w14:paraId="455F21A8">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0.00</w:t>
            </w:r>
          </w:p>
        </w:tc>
        <w:tc>
          <w:tcPr>
            <w:tcW w:w="992" w:type="dxa"/>
            <w:vAlign w:val="center"/>
          </w:tcPr>
          <w:p w14:paraId="4995F8AA">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6.00</w:t>
            </w:r>
          </w:p>
        </w:tc>
        <w:tc>
          <w:tcPr>
            <w:tcW w:w="1070" w:type="dxa"/>
            <w:vAlign w:val="center"/>
          </w:tcPr>
          <w:p w14:paraId="378833DD">
            <w:pPr>
              <w:adjustRightInd w:val="0"/>
              <w:snapToGrid w:val="0"/>
              <w:spacing w:line="560" w:lineRule="exact"/>
              <w:jc w:val="center"/>
              <w:rPr>
                <w:rFonts w:ascii="仿宋_GB2312" w:hAnsi="宋体" w:eastAsia="仿宋_GB2312" w:cs="宋体"/>
                <w:b/>
                <w:sz w:val="32"/>
                <w:szCs w:val="32"/>
                <w:lang w:val="zh-CN"/>
              </w:rPr>
            </w:pPr>
            <w:r>
              <w:rPr>
                <w:rFonts w:hint="eastAsia" w:ascii="仿宋_GB2312" w:hAnsi="宋体" w:eastAsia="仿宋_GB2312" w:cs="宋体"/>
                <w:b/>
                <w:sz w:val="32"/>
                <w:szCs w:val="32"/>
                <w:lang w:val="zh-CN"/>
              </w:rPr>
              <w:t>0.00</w:t>
            </w:r>
          </w:p>
        </w:tc>
      </w:tr>
    </w:tbl>
    <w:p w14:paraId="6D955944">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2．项目资金到位情况</w:t>
      </w:r>
    </w:p>
    <w:p w14:paraId="4CD257F4">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上表项目计划资金度内实际到位资金6.00万元。</w:t>
      </w:r>
    </w:p>
    <w:p w14:paraId="03E3D9BD">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3．项目资金使用情况</w:t>
      </w:r>
    </w:p>
    <w:p w14:paraId="29DF4DB7">
      <w:pPr>
        <w:adjustRightInd w:val="0"/>
        <w:snapToGrid w:val="0"/>
        <w:spacing w:line="560" w:lineRule="exact"/>
        <w:ind w:firstLine="803" w:firstLineChars="251"/>
        <w:rPr>
          <w:rFonts w:ascii="仿宋_GB2312" w:hAnsi="宋体" w:eastAsia="仿宋_GB2312"/>
          <w:sz w:val="32"/>
          <w:szCs w:val="32"/>
          <w:lang w:val="zh-CN"/>
        </w:rPr>
      </w:pPr>
      <w:r>
        <w:rPr>
          <w:rFonts w:hint="eastAsia" w:ascii="仿宋_GB2312" w:hAnsi="宋体" w:eastAsia="仿宋_GB2312"/>
          <w:sz w:val="32"/>
          <w:szCs w:val="32"/>
          <w:lang w:val="zh-CN"/>
        </w:rPr>
        <w:t>本年度到位项目资金6.00万元已于年度内全部安排使用。</w:t>
      </w:r>
    </w:p>
    <w:p w14:paraId="17018ECB">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（三）项目财务管理情况。</w:t>
      </w:r>
    </w:p>
    <w:p w14:paraId="11EE6FDA">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cs="宋体"/>
          <w:sz w:val="32"/>
          <w:szCs w:val="32"/>
          <w:lang w:val="zh-CN"/>
        </w:rPr>
        <w:t>各项目资金财务管理严格按照上级部门资金管理要求执行，同时，依据本部门财务管理制度和项目资金管理办法执行。严格项目资金申请程序和审批权限，严格执行国库集中支付。</w:t>
      </w:r>
    </w:p>
    <w:p w14:paraId="2EC96717">
      <w:pPr>
        <w:adjustRightInd w:val="0"/>
        <w:snapToGrid w:val="0"/>
        <w:spacing w:line="56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三、项目实施及管理情况</w:t>
      </w:r>
    </w:p>
    <w:p w14:paraId="44826CC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（一）项目组织架构及实施流程</w:t>
      </w:r>
    </w:p>
    <w:p w14:paraId="6B5AF5D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类项目由镇党委政府统筹管理，按照各项目的实施内容具体由本单位下设各职能部门具体负责实施。针对各项目资金情况，由本单位下设各职能部门拟定实施方案或管理细则，对项目实行全程监督、指导，项目完工后组织相关人员进行验收。</w:t>
      </w:r>
    </w:p>
    <w:p w14:paraId="209AB4C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（二）项目管理情况</w:t>
      </w:r>
    </w:p>
    <w:p w14:paraId="13EF5AE1">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项目管理由本单位各职能部门具体负责，镇纪委监委、内部审计机构和内控工作领导小组开展不定期督察检查，以确保各项目资金安全、高效使用。</w:t>
      </w:r>
    </w:p>
    <w:p w14:paraId="6837C57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（三）项目监管情况</w:t>
      </w:r>
    </w:p>
    <w:p w14:paraId="1A2C140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该项目资金监管主要是在开支范围、标准、审批程序和审批权限、支付方式等方面进行监管。项目监管主要由镇纪委监委牵头，部门内部审计机构、内部控制工作领导小组协助监管。</w:t>
      </w:r>
    </w:p>
    <w:p w14:paraId="16456559">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四、绩效目标情况</w:t>
      </w:r>
    </w:p>
    <w:p w14:paraId="7C85B221">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（一）项目完成情况</w:t>
      </w:r>
    </w:p>
    <w:p w14:paraId="5CA17C6D">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1．“人大代表工作专项经费”项目年度内完成人大代表会议3次，组织代表考察、调研活动1次，拓宽代表视野，增强履职能力和参政议政能力；通过政府采购购置办公设备1台（套），改善了办公条件，提高了工作效率。</w:t>
      </w:r>
    </w:p>
    <w:p w14:paraId="30E15FD4">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2．“乡镇财政所专项工作经费”项目绩效目标主要是日常办公、设备维护。</w:t>
      </w:r>
    </w:p>
    <w:p w14:paraId="5B44C12D">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3．“‘三资’管理中心运转经费”项目绩效目标主要是临时聘用人员2人次劳务费、日常办公和设备运行维护。</w:t>
      </w:r>
    </w:p>
    <w:p w14:paraId="6348BCB8">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4．“老协、关工委等群众团体工作经费”项目绩效目标实现“关工委”走访慰问贫困（留守）儿童1人，镇“老协”开展疫情防控宣传活动3次。</w:t>
      </w:r>
    </w:p>
    <w:p w14:paraId="090B3353">
      <w:pPr>
        <w:adjustRightInd w:val="0"/>
        <w:snapToGrid w:val="0"/>
        <w:spacing w:line="560" w:lineRule="exact"/>
        <w:ind w:left="105" w:leftChars="50"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5．“惠农补贴‘一卡通’发放专项工作经费”项目绩效目标实现全年各项惠农补贴“一卡通”发放零差错，办公设备运转正常，资金发放及时准确。</w:t>
      </w:r>
    </w:p>
    <w:p w14:paraId="3F7116A5">
      <w:pPr>
        <w:adjustRightInd w:val="0"/>
        <w:snapToGrid w:val="0"/>
        <w:spacing w:line="560" w:lineRule="exact"/>
        <w:ind w:left="105" w:leftChars="5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（二）项目效益情况</w:t>
      </w:r>
    </w:p>
    <w:p w14:paraId="7820A642">
      <w:pPr>
        <w:adjustRightInd w:val="0"/>
        <w:snapToGrid w:val="0"/>
        <w:spacing w:line="560" w:lineRule="exact"/>
        <w:ind w:firstLine="960" w:firstLineChars="300"/>
        <w:rPr>
          <w:rFonts w:ascii="仿宋_GB2312" w:hAnsi="宋体" w:eastAsia="仿宋_GB2312"/>
          <w:sz w:val="32"/>
          <w:szCs w:val="32"/>
          <w:lang w:val="zh-CN"/>
        </w:rPr>
      </w:pPr>
      <w:r>
        <w:rPr>
          <w:rFonts w:hint="eastAsia" w:ascii="仿宋_GB2312" w:hAnsi="宋体" w:eastAsia="仿宋_GB2312"/>
          <w:sz w:val="32"/>
          <w:szCs w:val="32"/>
          <w:lang w:val="zh-CN"/>
        </w:rPr>
        <w:t xml:space="preserve">该项目效益主要表现在提高了工作效率，增强了服务能力和水平，促进了服务型政府建设，增加了广大群众的获得感、幸福感和安全感等方面。 </w:t>
      </w:r>
    </w:p>
    <w:p w14:paraId="5D2AAB78">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经济效益：</w:t>
      </w:r>
      <w:r>
        <w:rPr>
          <w:rFonts w:hint="eastAsia" w:ascii="仿宋_GB2312" w:hAnsi="宋体" w:eastAsia="仿宋_GB2312"/>
          <w:sz w:val="32"/>
          <w:szCs w:val="32"/>
          <w:lang w:val="zh-CN"/>
        </w:rPr>
        <w:t>该类项目不产生直接经济效益。但是，通过项目实施，提高了政府部门工作效率，提升了服务质量，促进了区域经济社会发展，可产生间接经济效益。</w:t>
      </w:r>
    </w:p>
    <w:p w14:paraId="0C29E8CF">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社会效益：</w:t>
      </w:r>
      <w:r>
        <w:rPr>
          <w:rFonts w:hint="eastAsia" w:ascii="仿宋_GB2312" w:hAnsi="宋体" w:eastAsia="仿宋_GB2312"/>
          <w:sz w:val="32"/>
          <w:szCs w:val="32"/>
          <w:lang w:val="zh-CN"/>
        </w:rPr>
        <w:t>在提升政府形象，促进了少年儿童身心健康成长，丰富了老年人业余文化生活，增强了人民群众的获得感、幸福感等方面发挥了社会效益 。</w:t>
      </w:r>
    </w:p>
    <w:p w14:paraId="53B84026">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可持续效益：</w:t>
      </w:r>
      <w:r>
        <w:rPr>
          <w:rFonts w:hint="eastAsia" w:ascii="仿宋_GB2312" w:hAnsi="宋体" w:eastAsia="仿宋_GB2312"/>
          <w:sz w:val="32"/>
          <w:szCs w:val="32"/>
          <w:lang w:val="zh-CN"/>
        </w:rPr>
        <w:t>各项目具有长期发挥效益作用。</w:t>
      </w:r>
    </w:p>
    <w:p w14:paraId="505D96A3">
      <w:pPr>
        <w:adjustRightInd w:val="0"/>
        <w:snapToGrid w:val="0"/>
        <w:spacing w:line="56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群众满意度：</w:t>
      </w:r>
      <w:r>
        <w:rPr>
          <w:rFonts w:hint="eastAsia" w:ascii="仿宋_GB2312" w:hAnsi="宋体" w:eastAsia="仿宋_GB2312"/>
          <w:sz w:val="32"/>
          <w:szCs w:val="32"/>
          <w:lang w:val="zh-CN"/>
        </w:rPr>
        <w:t>群众满意度综合评价可达95%以上。</w:t>
      </w:r>
    </w:p>
    <w:p w14:paraId="078FE6AA">
      <w:pPr>
        <w:adjustRightInd w:val="0"/>
        <w:snapToGrid w:val="0"/>
        <w:spacing w:line="560" w:lineRule="exact"/>
        <w:ind w:firstLine="720"/>
        <w:rPr>
          <w:rFonts w:ascii="仿宋_GB2312" w:hAnsi="宋体" w:eastAsia="仿宋_GB2312"/>
          <w:b/>
          <w:sz w:val="32"/>
          <w:szCs w:val="32"/>
        </w:rPr>
      </w:pPr>
      <w:r>
        <w:rPr>
          <w:rFonts w:hint="eastAsia" w:ascii="仿宋_GB2312" w:hAnsi="宋体" w:eastAsia="仿宋_GB2312"/>
          <w:b/>
          <w:sz w:val="32"/>
          <w:szCs w:val="32"/>
        </w:rPr>
        <w:t>五、评价结论</w:t>
      </w:r>
    </w:p>
    <w:p w14:paraId="63794DBA">
      <w:pPr>
        <w:adjustRightInd w:val="0"/>
        <w:snapToGrid w:val="0"/>
        <w:spacing w:line="560" w:lineRule="exact"/>
        <w:ind w:firstLine="720"/>
        <w:rPr>
          <w:rFonts w:ascii="仿宋_GB2312" w:hAnsi="宋体" w:eastAsia="仿宋_GB2312" w:cs="宋体"/>
          <w:sz w:val="32"/>
          <w:szCs w:val="32"/>
          <w:lang w:val="zh-CN"/>
        </w:rPr>
      </w:pPr>
      <w:r>
        <w:rPr>
          <w:rFonts w:hint="eastAsia" w:ascii="仿宋_GB2312" w:hAnsi="宋体" w:eastAsia="仿宋_GB2312"/>
          <w:sz w:val="32"/>
          <w:szCs w:val="32"/>
        </w:rPr>
        <w:t>该类</w:t>
      </w:r>
      <w:r>
        <w:rPr>
          <w:rFonts w:hint="eastAsia" w:ascii="仿宋_GB2312" w:hAnsi="宋体" w:eastAsia="仿宋_GB2312"/>
          <w:sz w:val="32"/>
          <w:szCs w:val="32"/>
          <w:lang w:val="zh-CN"/>
        </w:rPr>
        <w:t>各项目总体评价结论是：项目申报重点明确，决策科学；项目管理规范，组织严密，流程清晰，监督有力；项目资金使用管理严格执行了相关财经法规、制度规定，符合本单位财务管理制度规定；绩效目标完成较好，达到预期效果。</w:t>
      </w:r>
    </w:p>
    <w:p w14:paraId="6ADFC850">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六、问题及建议</w:t>
      </w:r>
    </w:p>
    <w:p w14:paraId="278CC48B">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（一）存在的问题</w:t>
      </w:r>
    </w:p>
    <w:p w14:paraId="1DF7F30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需进一步加强项目资金会计核算管理。</w:t>
      </w:r>
    </w:p>
    <w:p w14:paraId="6AEC3C94">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（二）相关建议</w:t>
      </w:r>
    </w:p>
    <w:p w14:paraId="403AA59F">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14:paraId="141BB735">
      <w:pPr>
        <w:spacing w:line="600" w:lineRule="exact"/>
        <w:jc w:val="center"/>
        <w:outlineLvl w:val="0"/>
        <w:rPr>
          <w:rFonts w:ascii="黑体" w:hAnsi="黑体" w:eastAsia="黑体" w:cs="黑体"/>
          <w:sz w:val="44"/>
          <w:szCs w:val="44"/>
        </w:rPr>
      </w:pPr>
    </w:p>
    <w:p w14:paraId="388C9AB1">
      <w:pPr>
        <w:spacing w:line="600" w:lineRule="exact"/>
        <w:jc w:val="center"/>
        <w:outlineLvl w:val="0"/>
        <w:rPr>
          <w:rFonts w:ascii="黑体" w:hAnsi="黑体" w:eastAsia="黑体" w:cs="黑体"/>
          <w:sz w:val="44"/>
          <w:szCs w:val="44"/>
        </w:rPr>
      </w:pPr>
    </w:p>
    <w:p w14:paraId="00CAA5EB">
      <w:pPr>
        <w:spacing w:line="600" w:lineRule="exact"/>
        <w:jc w:val="center"/>
        <w:outlineLvl w:val="0"/>
        <w:rPr>
          <w:rStyle w:val="17"/>
          <w:rFonts w:ascii="黑体" w:hAnsi="黑体" w:eastAsia="黑体"/>
          <w:b w:val="0"/>
          <w:bCs w:val="0"/>
          <w:sz w:val="36"/>
          <w:szCs w:val="36"/>
        </w:rPr>
      </w:pPr>
      <w:r>
        <w:rPr>
          <w:rFonts w:hint="eastAsia" w:ascii="黑体" w:hAnsi="黑体" w:eastAsia="黑体" w:cs="黑体"/>
          <w:sz w:val="36"/>
          <w:szCs w:val="36"/>
        </w:rPr>
        <w:t>第</w:t>
      </w:r>
      <w:r>
        <w:rPr>
          <w:rStyle w:val="17"/>
          <w:rFonts w:hint="eastAsia" w:ascii="黑体" w:hAnsi="黑体" w:eastAsia="黑体" w:cs="黑体"/>
          <w:b w:val="0"/>
          <w:bCs w:val="0"/>
          <w:sz w:val="36"/>
          <w:szCs w:val="36"/>
        </w:rPr>
        <w:t>五部分</w:t>
      </w:r>
      <w:r>
        <w:rPr>
          <w:rStyle w:val="17"/>
          <w:rFonts w:ascii="黑体" w:hAnsi="黑体" w:eastAsia="黑体" w:cs="黑体"/>
          <w:b w:val="0"/>
          <w:bCs w:val="0"/>
          <w:sz w:val="36"/>
          <w:szCs w:val="36"/>
        </w:rPr>
        <w:t xml:space="preserve"> </w:t>
      </w:r>
      <w:r>
        <w:rPr>
          <w:rStyle w:val="17"/>
          <w:rFonts w:hint="eastAsia" w:ascii="黑体" w:hAnsi="黑体" w:eastAsia="黑体" w:cs="黑体"/>
          <w:b w:val="0"/>
          <w:bCs w:val="0"/>
          <w:sz w:val="36"/>
          <w:szCs w:val="36"/>
        </w:rPr>
        <w:t>附表</w:t>
      </w:r>
      <w:bookmarkEnd w:id="57"/>
      <w:bookmarkEnd w:id="61"/>
    </w:p>
    <w:p w14:paraId="2799B632">
      <w:pPr>
        <w:spacing w:line="600" w:lineRule="exact"/>
        <w:jc w:val="center"/>
        <w:outlineLvl w:val="0"/>
        <w:rPr>
          <w:rFonts w:ascii="仿宋" w:hAnsi="仿宋" w:eastAsia="仿宋"/>
          <w:b/>
          <w:bCs/>
          <w:sz w:val="44"/>
          <w:szCs w:val="44"/>
        </w:rPr>
      </w:pPr>
    </w:p>
    <w:p w14:paraId="2642AE53">
      <w:pPr>
        <w:pStyle w:val="3"/>
        <w:spacing w:before="0" w:after="0" w:line="620" w:lineRule="exact"/>
        <w:ind w:firstLine="640" w:firstLineChars="200"/>
        <w:rPr>
          <w:rFonts w:ascii="仿宋_GB2312" w:hAnsi="仿宋" w:eastAsia="仿宋_GB2312" w:cs="Times New Roman"/>
        </w:rPr>
      </w:pPr>
      <w:bookmarkStart w:id="62" w:name="_Toc15396619"/>
      <w:r>
        <w:rPr>
          <w:rFonts w:hint="eastAsia" w:ascii="仿宋_GB2312" w:hAnsi="仿宋" w:eastAsia="仿宋_GB2312" w:cs="仿宋"/>
          <w:b w:val="0"/>
          <w:bCs w:val="0"/>
        </w:rPr>
        <w:t>一、收</w:t>
      </w:r>
      <w:r>
        <w:rPr>
          <w:rStyle w:val="18"/>
          <w:rFonts w:hint="eastAsia" w:ascii="仿宋_GB2312" w:hAnsi="仿宋" w:eastAsia="仿宋_GB2312" w:cs="仿宋"/>
          <w:b w:val="0"/>
          <w:bCs w:val="0"/>
        </w:rPr>
        <w:t>入支出决算总表</w:t>
      </w:r>
      <w:bookmarkEnd w:id="62"/>
    </w:p>
    <w:p w14:paraId="58085C6A">
      <w:pPr>
        <w:pStyle w:val="3"/>
        <w:spacing w:before="0" w:after="0" w:line="620" w:lineRule="exact"/>
        <w:ind w:firstLine="640" w:firstLineChars="200"/>
        <w:rPr>
          <w:rFonts w:ascii="仿宋_GB2312" w:hAnsi="仿宋" w:eastAsia="仿宋_GB2312" w:cs="Times New Roman"/>
        </w:rPr>
      </w:pPr>
      <w:bookmarkStart w:id="63" w:name="_Toc15396620"/>
      <w:r>
        <w:rPr>
          <w:rFonts w:hint="eastAsia" w:ascii="仿宋_GB2312" w:hAnsi="仿宋" w:eastAsia="仿宋_GB2312" w:cs="仿宋"/>
          <w:b w:val="0"/>
          <w:bCs w:val="0"/>
        </w:rPr>
        <w:t>二、收</w:t>
      </w:r>
      <w:r>
        <w:rPr>
          <w:rStyle w:val="18"/>
          <w:rFonts w:hint="eastAsia" w:ascii="仿宋_GB2312" w:hAnsi="仿宋" w:eastAsia="仿宋_GB2312" w:cs="仿宋"/>
          <w:b w:val="0"/>
          <w:bCs w:val="0"/>
        </w:rPr>
        <w:t>入总表</w:t>
      </w:r>
      <w:bookmarkEnd w:id="63"/>
    </w:p>
    <w:p w14:paraId="5D0E92BD">
      <w:pPr>
        <w:pStyle w:val="3"/>
        <w:spacing w:before="0" w:after="0" w:line="620" w:lineRule="exact"/>
        <w:ind w:firstLine="640" w:firstLineChars="200"/>
        <w:rPr>
          <w:rFonts w:ascii="仿宋_GB2312" w:hAnsi="仿宋" w:eastAsia="仿宋_GB2312" w:cs="Times New Roman"/>
        </w:rPr>
      </w:pPr>
      <w:bookmarkStart w:id="64" w:name="_Toc15396621"/>
      <w:r>
        <w:rPr>
          <w:rStyle w:val="18"/>
          <w:rFonts w:hint="eastAsia" w:ascii="仿宋_GB2312" w:hAnsi="仿宋" w:eastAsia="仿宋_GB2312" w:cs="仿宋"/>
          <w:b w:val="0"/>
          <w:bCs w:val="0"/>
        </w:rPr>
        <w:t>三、</w:t>
      </w:r>
      <w:r>
        <w:rPr>
          <w:rFonts w:hint="eastAsia" w:ascii="仿宋_GB2312" w:hAnsi="仿宋" w:eastAsia="仿宋_GB2312" w:cs="仿宋"/>
          <w:b w:val="0"/>
          <w:bCs w:val="0"/>
        </w:rPr>
        <w:t>支</w:t>
      </w:r>
      <w:r>
        <w:rPr>
          <w:rStyle w:val="18"/>
          <w:rFonts w:hint="eastAsia" w:ascii="仿宋_GB2312" w:hAnsi="仿宋" w:eastAsia="仿宋_GB2312" w:cs="仿宋"/>
          <w:b w:val="0"/>
          <w:bCs w:val="0"/>
        </w:rPr>
        <w:t>出总表</w:t>
      </w:r>
      <w:bookmarkEnd w:id="64"/>
    </w:p>
    <w:p w14:paraId="1462B742">
      <w:pPr>
        <w:pStyle w:val="3"/>
        <w:spacing w:before="0" w:after="0" w:line="620" w:lineRule="exact"/>
        <w:ind w:firstLine="640" w:firstLineChars="200"/>
        <w:rPr>
          <w:rFonts w:ascii="仿宋_GB2312" w:hAnsi="仿宋" w:eastAsia="仿宋_GB2312" w:cs="Times New Roman"/>
          <w:b w:val="0"/>
          <w:bCs w:val="0"/>
        </w:rPr>
      </w:pPr>
      <w:bookmarkStart w:id="65" w:name="_Toc15396622"/>
      <w:r>
        <w:rPr>
          <w:rStyle w:val="18"/>
          <w:rFonts w:hint="eastAsia" w:ascii="仿宋_GB2312" w:hAnsi="仿宋" w:eastAsia="仿宋_GB2312" w:cs="仿宋"/>
          <w:b w:val="0"/>
          <w:bCs w:val="0"/>
        </w:rPr>
        <w:t>四、</w:t>
      </w:r>
      <w:r>
        <w:rPr>
          <w:rFonts w:hint="eastAsia" w:ascii="仿宋_GB2312" w:hAnsi="仿宋" w:eastAsia="仿宋_GB2312" w:cs="仿宋"/>
          <w:b w:val="0"/>
          <w:bCs w:val="0"/>
        </w:rPr>
        <w:t>财</w:t>
      </w:r>
      <w:r>
        <w:rPr>
          <w:rStyle w:val="18"/>
          <w:rFonts w:hint="eastAsia" w:ascii="仿宋_GB2312" w:hAnsi="仿宋" w:eastAsia="仿宋_GB2312" w:cs="仿宋"/>
          <w:b w:val="0"/>
          <w:bCs w:val="0"/>
        </w:rPr>
        <w:t>政拨款收入支出决算总表</w:t>
      </w:r>
      <w:bookmarkEnd w:id="65"/>
    </w:p>
    <w:p w14:paraId="535EADAC">
      <w:pPr>
        <w:pStyle w:val="3"/>
        <w:spacing w:before="0" w:after="0" w:line="620" w:lineRule="exact"/>
        <w:ind w:firstLine="640" w:firstLineChars="200"/>
        <w:rPr>
          <w:rFonts w:ascii="仿宋_GB2312" w:hAnsi="仿宋" w:eastAsia="仿宋_GB2312" w:cs="Times New Roman"/>
        </w:rPr>
      </w:pPr>
      <w:bookmarkStart w:id="66" w:name="_Toc15396623"/>
      <w:r>
        <w:rPr>
          <w:rStyle w:val="18"/>
          <w:rFonts w:hint="eastAsia" w:ascii="仿宋_GB2312" w:hAnsi="仿宋" w:eastAsia="仿宋_GB2312" w:cs="仿宋"/>
          <w:b w:val="0"/>
          <w:bCs w:val="0"/>
        </w:rPr>
        <w:t>五、</w:t>
      </w:r>
      <w:r>
        <w:rPr>
          <w:rFonts w:hint="eastAsia" w:ascii="仿宋_GB2312" w:hAnsi="仿宋" w:eastAsia="仿宋_GB2312" w:cs="仿宋"/>
          <w:b w:val="0"/>
          <w:bCs w:val="0"/>
        </w:rPr>
        <w:t>财</w:t>
      </w:r>
      <w:r>
        <w:rPr>
          <w:rStyle w:val="18"/>
          <w:rFonts w:hint="eastAsia" w:ascii="仿宋_GB2312" w:hAnsi="仿宋" w:eastAsia="仿宋_GB2312" w:cs="仿宋"/>
          <w:b w:val="0"/>
          <w:bCs w:val="0"/>
        </w:rPr>
        <w:t>政拨款支出决算明细表（政府经济分类科目）</w:t>
      </w:r>
      <w:bookmarkEnd w:id="66"/>
    </w:p>
    <w:p w14:paraId="2BA0CA30">
      <w:pPr>
        <w:pStyle w:val="3"/>
        <w:spacing w:before="0" w:after="0" w:line="620" w:lineRule="exact"/>
        <w:ind w:firstLine="640" w:firstLineChars="200"/>
        <w:rPr>
          <w:rFonts w:ascii="仿宋_GB2312" w:hAnsi="仿宋" w:eastAsia="仿宋_GB2312" w:cs="Times New Roman"/>
        </w:rPr>
      </w:pPr>
      <w:bookmarkStart w:id="67" w:name="_Toc15396624"/>
      <w:r>
        <w:rPr>
          <w:rStyle w:val="18"/>
          <w:rFonts w:hint="eastAsia" w:ascii="仿宋_GB2312" w:hAnsi="仿宋" w:eastAsia="仿宋_GB2312" w:cs="仿宋"/>
          <w:b w:val="0"/>
          <w:bCs w:val="0"/>
        </w:rPr>
        <w:t>六、</w:t>
      </w:r>
      <w:r>
        <w:rPr>
          <w:rFonts w:hint="eastAsia" w:ascii="仿宋_GB2312" w:hAnsi="仿宋" w:eastAsia="仿宋_GB2312" w:cs="仿宋"/>
          <w:b w:val="0"/>
          <w:bCs w:val="0"/>
        </w:rPr>
        <w:t>一</w:t>
      </w:r>
      <w:r>
        <w:rPr>
          <w:rStyle w:val="18"/>
          <w:rFonts w:hint="eastAsia" w:ascii="仿宋_GB2312" w:hAnsi="仿宋" w:eastAsia="仿宋_GB2312" w:cs="仿宋"/>
          <w:b w:val="0"/>
          <w:bCs w:val="0"/>
        </w:rPr>
        <w:t>般公共预算财政拨款支出决算表</w:t>
      </w:r>
      <w:bookmarkEnd w:id="67"/>
    </w:p>
    <w:p w14:paraId="1EFC5031">
      <w:pPr>
        <w:pStyle w:val="3"/>
        <w:spacing w:before="0" w:after="0" w:line="620" w:lineRule="exact"/>
        <w:ind w:firstLine="640" w:firstLineChars="200"/>
        <w:rPr>
          <w:rFonts w:ascii="仿宋_GB2312" w:hAnsi="仿宋" w:eastAsia="仿宋_GB2312" w:cs="Times New Roman"/>
        </w:rPr>
      </w:pPr>
      <w:bookmarkStart w:id="68" w:name="_Toc15396625"/>
      <w:r>
        <w:rPr>
          <w:rStyle w:val="18"/>
          <w:rFonts w:hint="eastAsia" w:ascii="仿宋_GB2312" w:hAnsi="仿宋" w:eastAsia="仿宋_GB2312" w:cs="仿宋"/>
          <w:b w:val="0"/>
          <w:bCs w:val="0"/>
        </w:rPr>
        <w:t>七、</w:t>
      </w:r>
      <w:r>
        <w:rPr>
          <w:rFonts w:hint="eastAsia" w:ascii="仿宋_GB2312" w:hAnsi="仿宋" w:eastAsia="仿宋_GB2312" w:cs="仿宋"/>
          <w:b w:val="0"/>
          <w:bCs w:val="0"/>
        </w:rPr>
        <w:t>一</w:t>
      </w:r>
      <w:r>
        <w:rPr>
          <w:rStyle w:val="18"/>
          <w:rFonts w:hint="eastAsia" w:ascii="仿宋_GB2312" w:hAnsi="仿宋" w:eastAsia="仿宋_GB2312" w:cs="仿宋"/>
          <w:b w:val="0"/>
          <w:bCs w:val="0"/>
        </w:rPr>
        <w:t>般公共预算财政拨款支出决算明细表</w:t>
      </w:r>
      <w:bookmarkEnd w:id="68"/>
    </w:p>
    <w:p w14:paraId="6BED3245">
      <w:pPr>
        <w:pStyle w:val="3"/>
        <w:spacing w:before="0" w:after="0" w:line="620" w:lineRule="exact"/>
        <w:ind w:firstLine="640" w:firstLineChars="200"/>
        <w:rPr>
          <w:rFonts w:ascii="仿宋_GB2312" w:hAnsi="仿宋" w:eastAsia="仿宋_GB2312" w:cs="Times New Roman"/>
        </w:rPr>
      </w:pPr>
      <w:bookmarkStart w:id="69" w:name="_Toc15396626"/>
      <w:r>
        <w:rPr>
          <w:rStyle w:val="18"/>
          <w:rFonts w:hint="eastAsia" w:ascii="仿宋_GB2312" w:hAnsi="仿宋" w:eastAsia="仿宋_GB2312" w:cs="仿宋"/>
          <w:b w:val="0"/>
          <w:bCs w:val="0"/>
        </w:rPr>
        <w:t>八、</w:t>
      </w:r>
      <w:r>
        <w:rPr>
          <w:rFonts w:hint="eastAsia" w:ascii="仿宋_GB2312" w:hAnsi="仿宋" w:eastAsia="仿宋_GB2312" w:cs="仿宋"/>
          <w:b w:val="0"/>
          <w:bCs w:val="0"/>
        </w:rPr>
        <w:t>一</w:t>
      </w:r>
      <w:r>
        <w:rPr>
          <w:rStyle w:val="18"/>
          <w:rFonts w:hint="eastAsia" w:ascii="仿宋_GB2312" w:hAnsi="仿宋" w:eastAsia="仿宋_GB2312" w:cs="仿宋"/>
          <w:b w:val="0"/>
          <w:bCs w:val="0"/>
        </w:rPr>
        <w:t>般公共预算财政拨款基本支出决算表</w:t>
      </w:r>
      <w:bookmarkEnd w:id="69"/>
    </w:p>
    <w:p w14:paraId="4307D8B4">
      <w:pPr>
        <w:pStyle w:val="3"/>
        <w:spacing w:before="0" w:after="0" w:line="620" w:lineRule="exact"/>
        <w:ind w:firstLine="640" w:firstLineChars="200"/>
        <w:rPr>
          <w:rFonts w:ascii="仿宋_GB2312" w:hAnsi="仿宋" w:eastAsia="仿宋_GB2312" w:cs="Times New Roman"/>
        </w:rPr>
      </w:pPr>
      <w:bookmarkStart w:id="70" w:name="_Toc15396627"/>
      <w:r>
        <w:rPr>
          <w:rStyle w:val="18"/>
          <w:rFonts w:hint="eastAsia" w:ascii="仿宋_GB2312" w:hAnsi="仿宋" w:eastAsia="仿宋_GB2312" w:cs="仿宋"/>
          <w:b w:val="0"/>
          <w:bCs w:val="0"/>
        </w:rPr>
        <w:t>九、</w:t>
      </w:r>
      <w:r>
        <w:rPr>
          <w:rFonts w:hint="eastAsia" w:ascii="仿宋_GB2312" w:hAnsi="仿宋" w:eastAsia="仿宋_GB2312" w:cs="仿宋"/>
          <w:b w:val="0"/>
          <w:bCs w:val="0"/>
        </w:rPr>
        <w:t>一</w:t>
      </w:r>
      <w:r>
        <w:rPr>
          <w:rStyle w:val="18"/>
          <w:rFonts w:hint="eastAsia" w:ascii="仿宋_GB2312" w:hAnsi="仿宋" w:eastAsia="仿宋_GB2312" w:cs="仿宋"/>
          <w:b w:val="0"/>
          <w:bCs w:val="0"/>
        </w:rPr>
        <w:t>般公共预算财政拨款项目支出决算表</w:t>
      </w:r>
      <w:bookmarkEnd w:id="70"/>
    </w:p>
    <w:p w14:paraId="538BE1B2">
      <w:pPr>
        <w:pStyle w:val="3"/>
        <w:spacing w:before="0" w:after="0" w:line="620" w:lineRule="exact"/>
        <w:ind w:firstLine="640" w:firstLineChars="200"/>
        <w:rPr>
          <w:rFonts w:ascii="仿宋_GB2312" w:hAnsi="仿宋" w:eastAsia="仿宋_GB2312" w:cs="Times New Roman"/>
        </w:rPr>
      </w:pPr>
      <w:bookmarkStart w:id="71" w:name="_Toc15396628"/>
      <w:r>
        <w:rPr>
          <w:rStyle w:val="18"/>
          <w:rFonts w:hint="eastAsia" w:ascii="仿宋_GB2312" w:hAnsi="仿宋" w:eastAsia="仿宋_GB2312" w:cs="仿宋"/>
          <w:b w:val="0"/>
          <w:bCs w:val="0"/>
        </w:rPr>
        <w:t>十、</w:t>
      </w:r>
      <w:r>
        <w:rPr>
          <w:rFonts w:hint="eastAsia" w:ascii="仿宋_GB2312" w:hAnsi="仿宋" w:eastAsia="仿宋_GB2312" w:cs="仿宋"/>
          <w:b w:val="0"/>
          <w:bCs w:val="0"/>
        </w:rPr>
        <w:t>一</w:t>
      </w:r>
      <w:r>
        <w:rPr>
          <w:rStyle w:val="18"/>
          <w:rFonts w:hint="eastAsia" w:ascii="仿宋_GB2312" w:hAnsi="仿宋" w:eastAsia="仿宋_GB2312" w:cs="仿宋"/>
          <w:b w:val="0"/>
          <w:bCs w:val="0"/>
        </w:rPr>
        <w:t>般公共预算财政拨款“三公”经费支出决算表</w:t>
      </w:r>
      <w:bookmarkEnd w:id="71"/>
    </w:p>
    <w:p w14:paraId="01AA8014">
      <w:pPr>
        <w:pStyle w:val="3"/>
        <w:spacing w:before="0" w:after="0" w:line="620" w:lineRule="exact"/>
        <w:ind w:firstLine="640" w:firstLineChars="200"/>
        <w:rPr>
          <w:rFonts w:ascii="仿宋_GB2312" w:hAnsi="仿宋" w:eastAsia="仿宋_GB2312" w:cs="Times New Roman"/>
        </w:rPr>
      </w:pPr>
      <w:bookmarkStart w:id="72" w:name="_Toc15396629"/>
      <w:r>
        <w:rPr>
          <w:rStyle w:val="18"/>
          <w:rFonts w:hint="eastAsia" w:ascii="仿宋_GB2312" w:hAnsi="仿宋" w:eastAsia="仿宋_GB2312" w:cs="仿宋"/>
          <w:b w:val="0"/>
          <w:bCs w:val="0"/>
        </w:rPr>
        <w:t>十一、</w:t>
      </w:r>
      <w:r>
        <w:rPr>
          <w:rFonts w:hint="eastAsia" w:ascii="仿宋_GB2312" w:hAnsi="仿宋" w:eastAsia="仿宋_GB2312" w:cs="仿宋"/>
          <w:b w:val="0"/>
          <w:bCs w:val="0"/>
        </w:rPr>
        <w:t>政</w:t>
      </w:r>
      <w:r>
        <w:rPr>
          <w:rStyle w:val="18"/>
          <w:rFonts w:hint="eastAsia" w:ascii="仿宋_GB2312" w:hAnsi="仿宋" w:eastAsia="仿宋_GB2312" w:cs="仿宋"/>
          <w:b w:val="0"/>
          <w:bCs w:val="0"/>
        </w:rPr>
        <w:t>府性基金预算财政拨款收入支出决算表</w:t>
      </w:r>
      <w:bookmarkEnd w:id="72"/>
    </w:p>
    <w:p w14:paraId="2ABB7DD6">
      <w:pPr>
        <w:pStyle w:val="3"/>
        <w:spacing w:before="0" w:after="0" w:line="620" w:lineRule="exact"/>
        <w:ind w:firstLine="640" w:firstLineChars="200"/>
        <w:rPr>
          <w:rStyle w:val="18"/>
          <w:rFonts w:ascii="仿宋_GB2312" w:hAnsi="仿宋" w:eastAsia="仿宋_GB2312" w:cs="仿宋"/>
          <w:b w:val="0"/>
          <w:bCs w:val="0"/>
          <w:spacing w:val="-20"/>
        </w:rPr>
      </w:pPr>
      <w:bookmarkStart w:id="73" w:name="_Toc15396630"/>
      <w:r>
        <w:rPr>
          <w:rStyle w:val="18"/>
          <w:rFonts w:hint="eastAsia" w:ascii="仿宋_GB2312" w:hAnsi="仿宋" w:eastAsia="仿宋_GB2312" w:cs="仿宋"/>
          <w:b w:val="0"/>
          <w:bCs w:val="0"/>
        </w:rPr>
        <w:t>十二、</w:t>
      </w:r>
      <w:r>
        <w:rPr>
          <w:rFonts w:hint="eastAsia" w:ascii="仿宋_GB2312" w:hAnsi="仿宋" w:eastAsia="仿宋_GB2312" w:cs="仿宋"/>
          <w:b w:val="0"/>
          <w:bCs w:val="0"/>
          <w:spacing w:val="-20"/>
        </w:rPr>
        <w:t>政</w:t>
      </w:r>
      <w:r>
        <w:rPr>
          <w:rStyle w:val="18"/>
          <w:rFonts w:hint="eastAsia" w:ascii="仿宋_GB2312" w:hAnsi="仿宋" w:eastAsia="仿宋_GB2312" w:cs="仿宋"/>
          <w:b w:val="0"/>
          <w:bCs w:val="0"/>
          <w:spacing w:val="-20"/>
        </w:rPr>
        <w:t>府性基金预算财政拨款“三公”经费支出决算表</w:t>
      </w:r>
      <w:bookmarkEnd w:id="73"/>
    </w:p>
    <w:p w14:paraId="70DAD94F">
      <w:pPr>
        <w:rPr>
          <w:rFonts w:ascii="仿宋_GB2312" w:eastAsia="仿宋_GB2312"/>
          <w:sz w:val="32"/>
          <w:szCs w:val="32"/>
        </w:rPr>
      </w:pPr>
      <w:r>
        <w:rPr>
          <w:rFonts w:hint="eastAsia"/>
        </w:rPr>
        <w:t xml:space="preserve">      </w:t>
      </w:r>
      <w:r>
        <w:rPr>
          <w:rFonts w:hint="eastAsia" w:ascii="仿宋_GB2312" w:eastAsia="仿宋_GB2312"/>
          <w:sz w:val="32"/>
          <w:szCs w:val="32"/>
        </w:rPr>
        <w:t>十三、</w:t>
      </w:r>
      <w:r>
        <w:rPr>
          <w:rFonts w:hint="eastAsia" w:asciiTheme="minorEastAsia" w:hAnsiTheme="minorEastAsia" w:eastAsiaTheme="minorEastAsia"/>
          <w:sz w:val="32"/>
          <w:szCs w:val="32"/>
        </w:rPr>
        <w:t>国有资本经营预算财政拨款收入支出决算表</w:t>
      </w:r>
    </w:p>
    <w:p w14:paraId="7CA07123">
      <w:pPr>
        <w:pStyle w:val="3"/>
        <w:spacing w:before="0" w:after="0" w:line="620" w:lineRule="exact"/>
        <w:ind w:firstLine="640" w:firstLineChars="200"/>
        <w:rPr>
          <w:rFonts w:ascii="仿宋_GB2312" w:hAnsi="仿宋" w:eastAsia="仿宋_GB2312" w:cs="Times New Roman"/>
        </w:rPr>
      </w:pPr>
      <w:bookmarkStart w:id="74" w:name="_Toc15396631"/>
      <w:r>
        <w:rPr>
          <w:rStyle w:val="18"/>
          <w:rFonts w:hint="eastAsia" w:ascii="仿宋_GB2312" w:hAnsi="仿宋" w:eastAsia="仿宋_GB2312" w:cs="仿宋"/>
          <w:b w:val="0"/>
          <w:bCs w:val="0"/>
        </w:rPr>
        <w:t>十四、</w:t>
      </w:r>
      <w:r>
        <w:rPr>
          <w:rFonts w:hint="eastAsia" w:ascii="仿宋_GB2312" w:hAnsi="仿宋" w:eastAsia="仿宋_GB2312" w:cs="仿宋"/>
          <w:b w:val="0"/>
          <w:bCs w:val="0"/>
        </w:rPr>
        <w:t>国</w:t>
      </w:r>
      <w:r>
        <w:rPr>
          <w:rStyle w:val="18"/>
          <w:rFonts w:hint="eastAsia" w:ascii="仿宋_GB2312" w:hAnsi="仿宋" w:eastAsia="仿宋_GB2312" w:cs="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B88B1">
    <w:pPr>
      <w:pStyle w:val="9"/>
      <w:jc w:val="center"/>
    </w:pPr>
    <w:r>
      <w:fldChar w:fldCharType="begin"/>
    </w:r>
    <w:r>
      <w:instrText xml:space="preserve">PAGE   \* MERGEFORMAT</w:instrText>
    </w:r>
    <w:r>
      <w:fldChar w:fldCharType="separate"/>
    </w:r>
    <w:r>
      <w:rPr>
        <w:lang w:val="zh-CN"/>
      </w:rPr>
      <w:t>2</w:t>
    </w:r>
    <w:r>
      <w:rPr>
        <w:lang w:val="zh-CN"/>
      </w:rPr>
      <w:fldChar w:fldCharType="end"/>
    </w:r>
  </w:p>
  <w:p w14:paraId="5B7BD89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512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3EBD2C68"/>
    <w:multiLevelType w:val="multilevel"/>
    <w:tmpl w:val="3EBD2C68"/>
    <w:lvl w:ilvl="0" w:tentative="0">
      <w:start w:val="2"/>
      <w:numFmt w:val="japaneseCounting"/>
      <w:lvlText w:val="%1、"/>
      <w:lvlJc w:val="left"/>
      <w:pPr>
        <w:tabs>
          <w:tab w:val="left" w:pos="1360"/>
        </w:tabs>
        <w:ind w:left="1360" w:hanging="720"/>
      </w:pPr>
      <w:rPr>
        <w:rFonts w:hint="default" w:cs="黑体"/>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00A9"/>
    <w:rsid w:val="0001790D"/>
    <w:rsid w:val="000222C6"/>
    <w:rsid w:val="0002549F"/>
    <w:rsid w:val="00042F40"/>
    <w:rsid w:val="000434F5"/>
    <w:rsid w:val="00051698"/>
    <w:rsid w:val="00053516"/>
    <w:rsid w:val="000629B6"/>
    <w:rsid w:val="0006487A"/>
    <w:rsid w:val="00065F8F"/>
    <w:rsid w:val="00071E68"/>
    <w:rsid w:val="00072D6B"/>
    <w:rsid w:val="000763FF"/>
    <w:rsid w:val="000768F2"/>
    <w:rsid w:val="00080F3D"/>
    <w:rsid w:val="00082D37"/>
    <w:rsid w:val="0008708B"/>
    <w:rsid w:val="0009184B"/>
    <w:rsid w:val="0009593C"/>
    <w:rsid w:val="000959C2"/>
    <w:rsid w:val="000A3707"/>
    <w:rsid w:val="000A3DD2"/>
    <w:rsid w:val="000B047F"/>
    <w:rsid w:val="000B1A55"/>
    <w:rsid w:val="000B5923"/>
    <w:rsid w:val="000B5A48"/>
    <w:rsid w:val="000B6FF3"/>
    <w:rsid w:val="000C181B"/>
    <w:rsid w:val="000C19E7"/>
    <w:rsid w:val="000C1E05"/>
    <w:rsid w:val="000C3467"/>
    <w:rsid w:val="000C3CA6"/>
    <w:rsid w:val="000C4F1D"/>
    <w:rsid w:val="000D1267"/>
    <w:rsid w:val="000D1D50"/>
    <w:rsid w:val="000D5782"/>
    <w:rsid w:val="000D771A"/>
    <w:rsid w:val="000E28F9"/>
    <w:rsid w:val="000E3115"/>
    <w:rsid w:val="000E6613"/>
    <w:rsid w:val="000E6706"/>
    <w:rsid w:val="000E7119"/>
    <w:rsid w:val="001062C6"/>
    <w:rsid w:val="001105DC"/>
    <w:rsid w:val="0011077A"/>
    <w:rsid w:val="00114E9B"/>
    <w:rsid w:val="00125B5E"/>
    <w:rsid w:val="0012712C"/>
    <w:rsid w:val="00130DA8"/>
    <w:rsid w:val="00133881"/>
    <w:rsid w:val="001341C9"/>
    <w:rsid w:val="0014729F"/>
    <w:rsid w:val="00147862"/>
    <w:rsid w:val="0014797A"/>
    <w:rsid w:val="0015198B"/>
    <w:rsid w:val="00152AFC"/>
    <w:rsid w:val="00157BAB"/>
    <w:rsid w:val="001630A2"/>
    <w:rsid w:val="001654D1"/>
    <w:rsid w:val="00173325"/>
    <w:rsid w:val="00174880"/>
    <w:rsid w:val="0017564A"/>
    <w:rsid w:val="0018106D"/>
    <w:rsid w:val="001877A7"/>
    <w:rsid w:val="00191536"/>
    <w:rsid w:val="00194CBF"/>
    <w:rsid w:val="0019548A"/>
    <w:rsid w:val="00196687"/>
    <w:rsid w:val="001A05F2"/>
    <w:rsid w:val="001A296B"/>
    <w:rsid w:val="001A4A9A"/>
    <w:rsid w:val="001B3E65"/>
    <w:rsid w:val="001B4A31"/>
    <w:rsid w:val="001B4AEF"/>
    <w:rsid w:val="001C0962"/>
    <w:rsid w:val="001D615D"/>
    <w:rsid w:val="001D73EC"/>
    <w:rsid w:val="001D7531"/>
    <w:rsid w:val="001E26A2"/>
    <w:rsid w:val="001E5E56"/>
    <w:rsid w:val="001E737D"/>
    <w:rsid w:val="001F0592"/>
    <w:rsid w:val="001F1D99"/>
    <w:rsid w:val="001F7506"/>
    <w:rsid w:val="002006CD"/>
    <w:rsid w:val="00202B36"/>
    <w:rsid w:val="00204B7A"/>
    <w:rsid w:val="0021101A"/>
    <w:rsid w:val="00220536"/>
    <w:rsid w:val="00223D0B"/>
    <w:rsid w:val="00231D63"/>
    <w:rsid w:val="00232408"/>
    <w:rsid w:val="00235629"/>
    <w:rsid w:val="002408FF"/>
    <w:rsid w:val="0024114C"/>
    <w:rsid w:val="00244D03"/>
    <w:rsid w:val="0024723C"/>
    <w:rsid w:val="0025528C"/>
    <w:rsid w:val="00260C38"/>
    <w:rsid w:val="00260ED6"/>
    <w:rsid w:val="002616C0"/>
    <w:rsid w:val="002662AA"/>
    <w:rsid w:val="00277217"/>
    <w:rsid w:val="00280496"/>
    <w:rsid w:val="00295495"/>
    <w:rsid w:val="002B2613"/>
    <w:rsid w:val="002B6BD3"/>
    <w:rsid w:val="002C21A8"/>
    <w:rsid w:val="002D52F6"/>
    <w:rsid w:val="002F1818"/>
    <w:rsid w:val="002F38A6"/>
    <w:rsid w:val="002F567B"/>
    <w:rsid w:val="003010A2"/>
    <w:rsid w:val="0030219C"/>
    <w:rsid w:val="003060FD"/>
    <w:rsid w:val="003121C7"/>
    <w:rsid w:val="003216A9"/>
    <w:rsid w:val="00325066"/>
    <w:rsid w:val="0033309C"/>
    <w:rsid w:val="00341CEC"/>
    <w:rsid w:val="003537F7"/>
    <w:rsid w:val="003561E4"/>
    <w:rsid w:val="00367AFB"/>
    <w:rsid w:val="00367B98"/>
    <w:rsid w:val="0037013F"/>
    <w:rsid w:val="00380C92"/>
    <w:rsid w:val="00392954"/>
    <w:rsid w:val="003A484F"/>
    <w:rsid w:val="003B0BE0"/>
    <w:rsid w:val="003B0C1B"/>
    <w:rsid w:val="003B11BC"/>
    <w:rsid w:val="003B392B"/>
    <w:rsid w:val="003B5ABD"/>
    <w:rsid w:val="003B688C"/>
    <w:rsid w:val="003B6EB5"/>
    <w:rsid w:val="003C0291"/>
    <w:rsid w:val="003C05A4"/>
    <w:rsid w:val="003C39AE"/>
    <w:rsid w:val="003C4E4D"/>
    <w:rsid w:val="003C53B7"/>
    <w:rsid w:val="003C7B60"/>
    <w:rsid w:val="003D1FB2"/>
    <w:rsid w:val="003D66DA"/>
    <w:rsid w:val="003E0156"/>
    <w:rsid w:val="003E1111"/>
    <w:rsid w:val="003E1310"/>
    <w:rsid w:val="003E6F55"/>
    <w:rsid w:val="003E7986"/>
    <w:rsid w:val="0040035F"/>
    <w:rsid w:val="00406254"/>
    <w:rsid w:val="0041201C"/>
    <w:rsid w:val="004147B4"/>
    <w:rsid w:val="004200FD"/>
    <w:rsid w:val="0042169F"/>
    <w:rsid w:val="004223DE"/>
    <w:rsid w:val="00423449"/>
    <w:rsid w:val="00426FE6"/>
    <w:rsid w:val="00427CE3"/>
    <w:rsid w:val="00427F72"/>
    <w:rsid w:val="00433186"/>
    <w:rsid w:val="00433633"/>
    <w:rsid w:val="00434489"/>
    <w:rsid w:val="00435CE5"/>
    <w:rsid w:val="00437085"/>
    <w:rsid w:val="00443880"/>
    <w:rsid w:val="004439B7"/>
    <w:rsid w:val="0044634B"/>
    <w:rsid w:val="004464F4"/>
    <w:rsid w:val="004528F0"/>
    <w:rsid w:val="00471401"/>
    <w:rsid w:val="00472553"/>
    <w:rsid w:val="00473F31"/>
    <w:rsid w:val="00481911"/>
    <w:rsid w:val="0048263A"/>
    <w:rsid w:val="00487503"/>
    <w:rsid w:val="00487E5D"/>
    <w:rsid w:val="004A00D5"/>
    <w:rsid w:val="004A5ADF"/>
    <w:rsid w:val="004A6AF4"/>
    <w:rsid w:val="004A711F"/>
    <w:rsid w:val="004B0B89"/>
    <w:rsid w:val="004B199D"/>
    <w:rsid w:val="004B4690"/>
    <w:rsid w:val="004B544D"/>
    <w:rsid w:val="004C3DBF"/>
    <w:rsid w:val="004E0A2D"/>
    <w:rsid w:val="004E1A37"/>
    <w:rsid w:val="004E206B"/>
    <w:rsid w:val="004E603D"/>
    <w:rsid w:val="004E6DF7"/>
    <w:rsid w:val="004F0FBD"/>
    <w:rsid w:val="004F2120"/>
    <w:rsid w:val="004F23E5"/>
    <w:rsid w:val="004F3A2D"/>
    <w:rsid w:val="004F7134"/>
    <w:rsid w:val="004F777D"/>
    <w:rsid w:val="0050134C"/>
    <w:rsid w:val="00505A47"/>
    <w:rsid w:val="00507C6D"/>
    <w:rsid w:val="00512FDA"/>
    <w:rsid w:val="00517A44"/>
    <w:rsid w:val="00520DA0"/>
    <w:rsid w:val="0052248A"/>
    <w:rsid w:val="00536498"/>
    <w:rsid w:val="0054324E"/>
    <w:rsid w:val="00543FB5"/>
    <w:rsid w:val="005621B5"/>
    <w:rsid w:val="00563BBE"/>
    <w:rsid w:val="005664BB"/>
    <w:rsid w:val="005672CB"/>
    <w:rsid w:val="005724F5"/>
    <w:rsid w:val="0057481D"/>
    <w:rsid w:val="00575936"/>
    <w:rsid w:val="0057766C"/>
    <w:rsid w:val="005824CF"/>
    <w:rsid w:val="0058486E"/>
    <w:rsid w:val="00593838"/>
    <w:rsid w:val="00593A8C"/>
    <w:rsid w:val="00596289"/>
    <w:rsid w:val="005A2421"/>
    <w:rsid w:val="005A77FC"/>
    <w:rsid w:val="005B0CAC"/>
    <w:rsid w:val="005B1A90"/>
    <w:rsid w:val="005B4E8F"/>
    <w:rsid w:val="005B5822"/>
    <w:rsid w:val="005D1C8B"/>
    <w:rsid w:val="005D5CED"/>
    <w:rsid w:val="005E48D6"/>
    <w:rsid w:val="005E6455"/>
    <w:rsid w:val="005F1A4C"/>
    <w:rsid w:val="00605688"/>
    <w:rsid w:val="006070AF"/>
    <w:rsid w:val="00607E6C"/>
    <w:rsid w:val="006101B1"/>
    <w:rsid w:val="0061025B"/>
    <w:rsid w:val="00614E44"/>
    <w:rsid w:val="006154A9"/>
    <w:rsid w:val="00620CA6"/>
    <w:rsid w:val="00622830"/>
    <w:rsid w:val="00625C27"/>
    <w:rsid w:val="00630AEF"/>
    <w:rsid w:val="006325F8"/>
    <w:rsid w:val="00634C9A"/>
    <w:rsid w:val="00641AFB"/>
    <w:rsid w:val="006440E4"/>
    <w:rsid w:val="0065119E"/>
    <w:rsid w:val="006604ED"/>
    <w:rsid w:val="0066343B"/>
    <w:rsid w:val="00664777"/>
    <w:rsid w:val="00664894"/>
    <w:rsid w:val="00670450"/>
    <w:rsid w:val="006748A4"/>
    <w:rsid w:val="00674C21"/>
    <w:rsid w:val="00683E73"/>
    <w:rsid w:val="0068716F"/>
    <w:rsid w:val="00696605"/>
    <w:rsid w:val="006A3141"/>
    <w:rsid w:val="006A34F1"/>
    <w:rsid w:val="006A5E34"/>
    <w:rsid w:val="006A7983"/>
    <w:rsid w:val="006B2422"/>
    <w:rsid w:val="006B2B9A"/>
    <w:rsid w:val="006B7369"/>
    <w:rsid w:val="006C1937"/>
    <w:rsid w:val="006D178A"/>
    <w:rsid w:val="006D7194"/>
    <w:rsid w:val="006E07B7"/>
    <w:rsid w:val="006E2402"/>
    <w:rsid w:val="006F020C"/>
    <w:rsid w:val="006F3BB5"/>
    <w:rsid w:val="00702225"/>
    <w:rsid w:val="007040AC"/>
    <w:rsid w:val="00705E24"/>
    <w:rsid w:val="00706BCB"/>
    <w:rsid w:val="00707464"/>
    <w:rsid w:val="007127B7"/>
    <w:rsid w:val="00722525"/>
    <w:rsid w:val="00727AE5"/>
    <w:rsid w:val="007416B6"/>
    <w:rsid w:val="00742837"/>
    <w:rsid w:val="007439D0"/>
    <w:rsid w:val="00746241"/>
    <w:rsid w:val="00746F48"/>
    <w:rsid w:val="0075404D"/>
    <w:rsid w:val="0076182A"/>
    <w:rsid w:val="007639B1"/>
    <w:rsid w:val="00767B7E"/>
    <w:rsid w:val="00771F36"/>
    <w:rsid w:val="007770C3"/>
    <w:rsid w:val="00784D24"/>
    <w:rsid w:val="00785FBA"/>
    <w:rsid w:val="00786458"/>
    <w:rsid w:val="00786E4A"/>
    <w:rsid w:val="007875EB"/>
    <w:rsid w:val="0079426B"/>
    <w:rsid w:val="007A798A"/>
    <w:rsid w:val="007B143C"/>
    <w:rsid w:val="007C12E7"/>
    <w:rsid w:val="007C12F6"/>
    <w:rsid w:val="007C599C"/>
    <w:rsid w:val="007C5A99"/>
    <w:rsid w:val="007D312A"/>
    <w:rsid w:val="007D3F19"/>
    <w:rsid w:val="007D5E1D"/>
    <w:rsid w:val="007E23B0"/>
    <w:rsid w:val="007E4EA3"/>
    <w:rsid w:val="007F1991"/>
    <w:rsid w:val="007F2C2F"/>
    <w:rsid w:val="007F55FC"/>
    <w:rsid w:val="007F5665"/>
    <w:rsid w:val="00800112"/>
    <w:rsid w:val="00800892"/>
    <w:rsid w:val="008051FF"/>
    <w:rsid w:val="008067F6"/>
    <w:rsid w:val="00806FBD"/>
    <w:rsid w:val="00811B0A"/>
    <w:rsid w:val="0082014E"/>
    <w:rsid w:val="008208D1"/>
    <w:rsid w:val="0082159D"/>
    <w:rsid w:val="008253BB"/>
    <w:rsid w:val="0083706E"/>
    <w:rsid w:val="008423A5"/>
    <w:rsid w:val="0084380F"/>
    <w:rsid w:val="0084441E"/>
    <w:rsid w:val="00850625"/>
    <w:rsid w:val="00853718"/>
    <w:rsid w:val="00855221"/>
    <w:rsid w:val="00856ABC"/>
    <w:rsid w:val="00860645"/>
    <w:rsid w:val="008624FE"/>
    <w:rsid w:val="00870531"/>
    <w:rsid w:val="00871F71"/>
    <w:rsid w:val="008741AD"/>
    <w:rsid w:val="008754F1"/>
    <w:rsid w:val="00885AF4"/>
    <w:rsid w:val="008939CD"/>
    <w:rsid w:val="008A4A70"/>
    <w:rsid w:val="008B5E3F"/>
    <w:rsid w:val="008B768C"/>
    <w:rsid w:val="008C0F07"/>
    <w:rsid w:val="008C4CFE"/>
    <w:rsid w:val="008C4DB1"/>
    <w:rsid w:val="008C4EAF"/>
    <w:rsid w:val="008C5176"/>
    <w:rsid w:val="008C6D80"/>
    <w:rsid w:val="008C7FD0"/>
    <w:rsid w:val="008E1151"/>
    <w:rsid w:val="008E1DE7"/>
    <w:rsid w:val="008E707C"/>
    <w:rsid w:val="008E7D9C"/>
    <w:rsid w:val="008F1F15"/>
    <w:rsid w:val="00900B08"/>
    <w:rsid w:val="00902155"/>
    <w:rsid w:val="00902FA3"/>
    <w:rsid w:val="00904F64"/>
    <w:rsid w:val="009124B5"/>
    <w:rsid w:val="00922C59"/>
    <w:rsid w:val="00923564"/>
    <w:rsid w:val="0092392E"/>
    <w:rsid w:val="00924C46"/>
    <w:rsid w:val="00925928"/>
    <w:rsid w:val="009315F9"/>
    <w:rsid w:val="00934B83"/>
    <w:rsid w:val="00940D06"/>
    <w:rsid w:val="00940E20"/>
    <w:rsid w:val="00942CD1"/>
    <w:rsid w:val="00944072"/>
    <w:rsid w:val="00946945"/>
    <w:rsid w:val="00946EBF"/>
    <w:rsid w:val="00947E0F"/>
    <w:rsid w:val="00951248"/>
    <w:rsid w:val="0095152F"/>
    <w:rsid w:val="00954251"/>
    <w:rsid w:val="00954C49"/>
    <w:rsid w:val="00955426"/>
    <w:rsid w:val="00955B19"/>
    <w:rsid w:val="00957367"/>
    <w:rsid w:val="0097099F"/>
    <w:rsid w:val="00971997"/>
    <w:rsid w:val="00971FFC"/>
    <w:rsid w:val="00977605"/>
    <w:rsid w:val="009806E3"/>
    <w:rsid w:val="00980DAE"/>
    <w:rsid w:val="0098240F"/>
    <w:rsid w:val="0098660A"/>
    <w:rsid w:val="0098708A"/>
    <w:rsid w:val="009931C3"/>
    <w:rsid w:val="009957AE"/>
    <w:rsid w:val="009A1B4F"/>
    <w:rsid w:val="009A2CAA"/>
    <w:rsid w:val="009A6776"/>
    <w:rsid w:val="009B2C43"/>
    <w:rsid w:val="009B4EAE"/>
    <w:rsid w:val="009B7573"/>
    <w:rsid w:val="009C22F4"/>
    <w:rsid w:val="009C2E98"/>
    <w:rsid w:val="009D2634"/>
    <w:rsid w:val="009D3447"/>
    <w:rsid w:val="009D3F7C"/>
    <w:rsid w:val="009D4711"/>
    <w:rsid w:val="009F1185"/>
    <w:rsid w:val="009F18CD"/>
    <w:rsid w:val="009F2A13"/>
    <w:rsid w:val="009F7563"/>
    <w:rsid w:val="00A04A75"/>
    <w:rsid w:val="00A04EB0"/>
    <w:rsid w:val="00A13CC1"/>
    <w:rsid w:val="00A16847"/>
    <w:rsid w:val="00A220C7"/>
    <w:rsid w:val="00A237D8"/>
    <w:rsid w:val="00A268C4"/>
    <w:rsid w:val="00A27449"/>
    <w:rsid w:val="00A307CD"/>
    <w:rsid w:val="00A35D2A"/>
    <w:rsid w:val="00A40A00"/>
    <w:rsid w:val="00A4142F"/>
    <w:rsid w:val="00A47BD2"/>
    <w:rsid w:val="00A51B6C"/>
    <w:rsid w:val="00A56DF2"/>
    <w:rsid w:val="00A65C6B"/>
    <w:rsid w:val="00A67AB5"/>
    <w:rsid w:val="00A70BA6"/>
    <w:rsid w:val="00A71F6C"/>
    <w:rsid w:val="00A742CF"/>
    <w:rsid w:val="00A82801"/>
    <w:rsid w:val="00A87DD1"/>
    <w:rsid w:val="00A91760"/>
    <w:rsid w:val="00A93B00"/>
    <w:rsid w:val="00A93C21"/>
    <w:rsid w:val="00A97C12"/>
    <w:rsid w:val="00AA40EE"/>
    <w:rsid w:val="00AC3C6A"/>
    <w:rsid w:val="00AC3DDA"/>
    <w:rsid w:val="00AC597D"/>
    <w:rsid w:val="00AC70A2"/>
    <w:rsid w:val="00AD1B8D"/>
    <w:rsid w:val="00AD2978"/>
    <w:rsid w:val="00AD5620"/>
    <w:rsid w:val="00AD7C1B"/>
    <w:rsid w:val="00AE16BA"/>
    <w:rsid w:val="00AE1813"/>
    <w:rsid w:val="00AE1EBE"/>
    <w:rsid w:val="00AE7686"/>
    <w:rsid w:val="00AF6AC8"/>
    <w:rsid w:val="00B02012"/>
    <w:rsid w:val="00B03C9D"/>
    <w:rsid w:val="00B060AE"/>
    <w:rsid w:val="00B10517"/>
    <w:rsid w:val="00B10ABE"/>
    <w:rsid w:val="00B11D4F"/>
    <w:rsid w:val="00B14E76"/>
    <w:rsid w:val="00B161B8"/>
    <w:rsid w:val="00B2048C"/>
    <w:rsid w:val="00B27B6E"/>
    <w:rsid w:val="00B310B9"/>
    <w:rsid w:val="00B3449E"/>
    <w:rsid w:val="00B35F3F"/>
    <w:rsid w:val="00B36CBB"/>
    <w:rsid w:val="00B36FF3"/>
    <w:rsid w:val="00B425E0"/>
    <w:rsid w:val="00B440AA"/>
    <w:rsid w:val="00B44B70"/>
    <w:rsid w:val="00B4757E"/>
    <w:rsid w:val="00B53C56"/>
    <w:rsid w:val="00B54472"/>
    <w:rsid w:val="00B601D1"/>
    <w:rsid w:val="00B624C1"/>
    <w:rsid w:val="00B6692A"/>
    <w:rsid w:val="00B6797E"/>
    <w:rsid w:val="00B70554"/>
    <w:rsid w:val="00B77EA6"/>
    <w:rsid w:val="00B81598"/>
    <w:rsid w:val="00B841F1"/>
    <w:rsid w:val="00B85C90"/>
    <w:rsid w:val="00B863D7"/>
    <w:rsid w:val="00B876BA"/>
    <w:rsid w:val="00B90141"/>
    <w:rsid w:val="00B930BA"/>
    <w:rsid w:val="00B944D6"/>
    <w:rsid w:val="00BB3BB7"/>
    <w:rsid w:val="00BB4DF0"/>
    <w:rsid w:val="00BC26A1"/>
    <w:rsid w:val="00BC289F"/>
    <w:rsid w:val="00BC5361"/>
    <w:rsid w:val="00BC5460"/>
    <w:rsid w:val="00BC5D1D"/>
    <w:rsid w:val="00BC6B50"/>
    <w:rsid w:val="00BD0E25"/>
    <w:rsid w:val="00BD1F92"/>
    <w:rsid w:val="00BD7FAB"/>
    <w:rsid w:val="00BE039A"/>
    <w:rsid w:val="00BE1746"/>
    <w:rsid w:val="00BE4385"/>
    <w:rsid w:val="00BF5BD6"/>
    <w:rsid w:val="00BF7E6D"/>
    <w:rsid w:val="00C03E31"/>
    <w:rsid w:val="00C04BA9"/>
    <w:rsid w:val="00C10C80"/>
    <w:rsid w:val="00C119F8"/>
    <w:rsid w:val="00C11C9A"/>
    <w:rsid w:val="00C158E2"/>
    <w:rsid w:val="00C15949"/>
    <w:rsid w:val="00C24176"/>
    <w:rsid w:val="00C33E72"/>
    <w:rsid w:val="00C354B2"/>
    <w:rsid w:val="00C35554"/>
    <w:rsid w:val="00C36EBD"/>
    <w:rsid w:val="00C41B1B"/>
    <w:rsid w:val="00C42709"/>
    <w:rsid w:val="00C533CC"/>
    <w:rsid w:val="00C5751C"/>
    <w:rsid w:val="00C61BFC"/>
    <w:rsid w:val="00C61FE0"/>
    <w:rsid w:val="00C62B85"/>
    <w:rsid w:val="00C65438"/>
    <w:rsid w:val="00C67E3B"/>
    <w:rsid w:val="00C73809"/>
    <w:rsid w:val="00C73B49"/>
    <w:rsid w:val="00C85149"/>
    <w:rsid w:val="00C916AF"/>
    <w:rsid w:val="00C91CBB"/>
    <w:rsid w:val="00C92560"/>
    <w:rsid w:val="00CA2DD4"/>
    <w:rsid w:val="00CA2F9A"/>
    <w:rsid w:val="00CB470C"/>
    <w:rsid w:val="00CB4EB8"/>
    <w:rsid w:val="00CC09B6"/>
    <w:rsid w:val="00CC5348"/>
    <w:rsid w:val="00CC666F"/>
    <w:rsid w:val="00CD1E3F"/>
    <w:rsid w:val="00CD1E5F"/>
    <w:rsid w:val="00CD255A"/>
    <w:rsid w:val="00CD7CAC"/>
    <w:rsid w:val="00CE44F6"/>
    <w:rsid w:val="00CE49DA"/>
    <w:rsid w:val="00CE7B61"/>
    <w:rsid w:val="00CF57A3"/>
    <w:rsid w:val="00D00095"/>
    <w:rsid w:val="00D035F5"/>
    <w:rsid w:val="00D14EDC"/>
    <w:rsid w:val="00D20620"/>
    <w:rsid w:val="00D208B6"/>
    <w:rsid w:val="00D24055"/>
    <w:rsid w:val="00D259D4"/>
    <w:rsid w:val="00D26091"/>
    <w:rsid w:val="00D34E7C"/>
    <w:rsid w:val="00D35489"/>
    <w:rsid w:val="00D4179F"/>
    <w:rsid w:val="00D51276"/>
    <w:rsid w:val="00D53FFC"/>
    <w:rsid w:val="00D56960"/>
    <w:rsid w:val="00D56AB0"/>
    <w:rsid w:val="00D6661C"/>
    <w:rsid w:val="00D7035F"/>
    <w:rsid w:val="00D746FE"/>
    <w:rsid w:val="00D811E5"/>
    <w:rsid w:val="00D84B0A"/>
    <w:rsid w:val="00D92649"/>
    <w:rsid w:val="00DA0E76"/>
    <w:rsid w:val="00DA2D35"/>
    <w:rsid w:val="00DA4EFB"/>
    <w:rsid w:val="00DA65AC"/>
    <w:rsid w:val="00DA7A4A"/>
    <w:rsid w:val="00DB0F51"/>
    <w:rsid w:val="00DB1913"/>
    <w:rsid w:val="00DC410D"/>
    <w:rsid w:val="00DC68CA"/>
    <w:rsid w:val="00DC7CBA"/>
    <w:rsid w:val="00DD2DA2"/>
    <w:rsid w:val="00DD73B7"/>
    <w:rsid w:val="00DE0BF9"/>
    <w:rsid w:val="00DE33BE"/>
    <w:rsid w:val="00DE6F85"/>
    <w:rsid w:val="00DF0128"/>
    <w:rsid w:val="00DF28BC"/>
    <w:rsid w:val="00DF34B9"/>
    <w:rsid w:val="00DF5AFC"/>
    <w:rsid w:val="00E01053"/>
    <w:rsid w:val="00E01D54"/>
    <w:rsid w:val="00E0491F"/>
    <w:rsid w:val="00E07ACF"/>
    <w:rsid w:val="00E20B46"/>
    <w:rsid w:val="00E22605"/>
    <w:rsid w:val="00E27472"/>
    <w:rsid w:val="00E331A1"/>
    <w:rsid w:val="00E33202"/>
    <w:rsid w:val="00E336A9"/>
    <w:rsid w:val="00E33BCC"/>
    <w:rsid w:val="00E347DF"/>
    <w:rsid w:val="00E40DBB"/>
    <w:rsid w:val="00E45108"/>
    <w:rsid w:val="00E46BD5"/>
    <w:rsid w:val="00E50624"/>
    <w:rsid w:val="00E53ECF"/>
    <w:rsid w:val="00E55403"/>
    <w:rsid w:val="00E568DF"/>
    <w:rsid w:val="00E60189"/>
    <w:rsid w:val="00E63D5B"/>
    <w:rsid w:val="00E64269"/>
    <w:rsid w:val="00E71D40"/>
    <w:rsid w:val="00E72FAC"/>
    <w:rsid w:val="00E80FDD"/>
    <w:rsid w:val="00E81583"/>
    <w:rsid w:val="00E8163E"/>
    <w:rsid w:val="00E82267"/>
    <w:rsid w:val="00E917A4"/>
    <w:rsid w:val="00E95BF3"/>
    <w:rsid w:val="00E97A2E"/>
    <w:rsid w:val="00EA010F"/>
    <w:rsid w:val="00EA129A"/>
    <w:rsid w:val="00EA248F"/>
    <w:rsid w:val="00EB371C"/>
    <w:rsid w:val="00EB4413"/>
    <w:rsid w:val="00EB47C1"/>
    <w:rsid w:val="00EC73BD"/>
    <w:rsid w:val="00EC76AB"/>
    <w:rsid w:val="00ED19BC"/>
    <w:rsid w:val="00ED1B63"/>
    <w:rsid w:val="00ED3434"/>
    <w:rsid w:val="00ED3C1F"/>
    <w:rsid w:val="00ED4085"/>
    <w:rsid w:val="00ED420E"/>
    <w:rsid w:val="00ED681E"/>
    <w:rsid w:val="00ED68C2"/>
    <w:rsid w:val="00EE2F57"/>
    <w:rsid w:val="00EE7E63"/>
    <w:rsid w:val="00EF4C34"/>
    <w:rsid w:val="00EF6802"/>
    <w:rsid w:val="00EF77C6"/>
    <w:rsid w:val="00F000BB"/>
    <w:rsid w:val="00F05438"/>
    <w:rsid w:val="00F10D60"/>
    <w:rsid w:val="00F115CD"/>
    <w:rsid w:val="00F11EA8"/>
    <w:rsid w:val="00F1361C"/>
    <w:rsid w:val="00F1390F"/>
    <w:rsid w:val="00F149ED"/>
    <w:rsid w:val="00F160C7"/>
    <w:rsid w:val="00F16B6A"/>
    <w:rsid w:val="00F24EDF"/>
    <w:rsid w:val="00F31307"/>
    <w:rsid w:val="00F36D8F"/>
    <w:rsid w:val="00F417B1"/>
    <w:rsid w:val="00F47514"/>
    <w:rsid w:val="00F602DF"/>
    <w:rsid w:val="00F74A78"/>
    <w:rsid w:val="00F81FD9"/>
    <w:rsid w:val="00F841AA"/>
    <w:rsid w:val="00F843D2"/>
    <w:rsid w:val="00F93E64"/>
    <w:rsid w:val="00FA16F4"/>
    <w:rsid w:val="00FA23E8"/>
    <w:rsid w:val="00FA2F3E"/>
    <w:rsid w:val="00FA4CBA"/>
    <w:rsid w:val="00FA5696"/>
    <w:rsid w:val="00FA569D"/>
    <w:rsid w:val="00FA60B1"/>
    <w:rsid w:val="00FA683C"/>
    <w:rsid w:val="00FC321C"/>
    <w:rsid w:val="00FC517F"/>
    <w:rsid w:val="00FC6319"/>
    <w:rsid w:val="00FC6D5A"/>
    <w:rsid w:val="00FD0A70"/>
    <w:rsid w:val="00FD3CC1"/>
    <w:rsid w:val="00FE11D4"/>
    <w:rsid w:val="00FF14A3"/>
    <w:rsid w:val="00FF1E02"/>
    <w:rsid w:val="00FF30B4"/>
    <w:rsid w:val="00FF410B"/>
    <w:rsid w:val="012E089C"/>
    <w:rsid w:val="08B45847"/>
    <w:rsid w:val="0D0C22C7"/>
    <w:rsid w:val="10C055FF"/>
    <w:rsid w:val="169052C8"/>
    <w:rsid w:val="16BB723D"/>
    <w:rsid w:val="19433251"/>
    <w:rsid w:val="1D4A3071"/>
    <w:rsid w:val="23A6382F"/>
    <w:rsid w:val="240371BF"/>
    <w:rsid w:val="29FD04D3"/>
    <w:rsid w:val="2AF70228"/>
    <w:rsid w:val="2CE26781"/>
    <w:rsid w:val="319F7F4E"/>
    <w:rsid w:val="399C7807"/>
    <w:rsid w:val="444751C3"/>
    <w:rsid w:val="49423F8F"/>
    <w:rsid w:val="526049F8"/>
    <w:rsid w:val="5B5D2D73"/>
    <w:rsid w:val="5DE45BA2"/>
    <w:rsid w:val="606A3B8C"/>
    <w:rsid w:val="62AF3B4C"/>
    <w:rsid w:val="6EE1556B"/>
    <w:rsid w:val="79573E8B"/>
    <w:rsid w:val="7B802F00"/>
    <w:rsid w:val="7D0A31DC"/>
    <w:rsid w:val="7D440D71"/>
    <w:rsid w:val="7E4E52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uiPriority w:val="99"/>
    <w:pPr>
      <w:spacing w:beforeLines="30"/>
    </w:pPr>
    <w:rPr>
      <w:rFonts w:ascii="仿宋_GB2312" w:eastAsia="仿宋_GB2312"/>
      <w:kern w:val="0"/>
      <w:sz w:val="24"/>
      <w:szCs w:val="20"/>
    </w:rPr>
  </w:style>
  <w:style w:type="paragraph" w:styleId="6">
    <w:name w:val="toc 3"/>
    <w:basedOn w:val="1"/>
    <w:next w:val="1"/>
    <w:semiHidden/>
    <w:uiPriority w:val="99"/>
    <w:pPr>
      <w:tabs>
        <w:tab w:val="right" w:leader="dot" w:pos="8296"/>
      </w:tabs>
      <w:ind w:left="840" w:leftChars="400"/>
    </w:pPr>
  </w:style>
  <w:style w:type="paragraph" w:styleId="7">
    <w:name w:val="Date"/>
    <w:basedOn w:val="1"/>
    <w:next w:val="1"/>
    <w:link w:val="32"/>
    <w:semiHidden/>
    <w:qFormat/>
    <w:uiPriority w:val="99"/>
    <w:pPr>
      <w:ind w:left="100" w:leftChars="2500"/>
    </w:pPr>
  </w:style>
  <w:style w:type="paragraph" w:styleId="8">
    <w:name w:val="Balloon Text"/>
    <w:basedOn w:val="1"/>
    <w:link w:val="21"/>
    <w:semiHidden/>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character" w:styleId="15">
    <w:name w:val="Strong"/>
    <w:basedOn w:val="14"/>
    <w:qFormat/>
    <w:uiPriority w:val="99"/>
    <w:rPr>
      <w:rFonts w:cs="Times New Roman"/>
      <w:b/>
      <w:bCs/>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locked/>
    <w:uiPriority w:val="99"/>
    <w:rPr>
      <w:rFonts w:ascii="Times New Roman" w:hAnsi="Times New Roman" w:cs="Times New Roman"/>
      <w:b/>
      <w:bCs/>
      <w:kern w:val="44"/>
      <w:sz w:val="44"/>
      <w:szCs w:val="44"/>
    </w:rPr>
  </w:style>
  <w:style w:type="character" w:customStyle="1" w:styleId="18">
    <w:name w:val="标题 2 Char"/>
    <w:basedOn w:val="14"/>
    <w:link w:val="3"/>
    <w:locked/>
    <w:uiPriority w:val="99"/>
    <w:rPr>
      <w:rFonts w:ascii="Cambria" w:hAnsi="Cambria" w:eastAsia="宋体" w:cs="Cambria"/>
      <w:b/>
      <w:bCs/>
      <w:kern w:val="2"/>
      <w:sz w:val="32"/>
      <w:szCs w:val="32"/>
    </w:rPr>
  </w:style>
  <w:style w:type="character" w:customStyle="1" w:styleId="19">
    <w:name w:val="标题 3 Char"/>
    <w:basedOn w:val="14"/>
    <w:link w:val="4"/>
    <w:locked/>
    <w:uiPriority w:val="99"/>
    <w:rPr>
      <w:rFonts w:ascii="Times New Roman" w:hAnsi="Times New Roman" w:cs="Times New Roman"/>
      <w:b/>
      <w:bCs/>
      <w:kern w:val="2"/>
      <w:sz w:val="32"/>
      <w:szCs w:val="32"/>
    </w:rPr>
  </w:style>
  <w:style w:type="character" w:customStyle="1" w:styleId="20">
    <w:name w:val="Body Text Char"/>
    <w:basedOn w:val="14"/>
    <w:link w:val="5"/>
    <w:semiHidden/>
    <w:locked/>
    <w:uiPriority w:val="99"/>
    <w:rPr>
      <w:rFonts w:ascii="Times New Roman" w:hAnsi="Times New Roman" w:cs="Times New Roman"/>
      <w:sz w:val="24"/>
      <w:szCs w:val="24"/>
    </w:rPr>
  </w:style>
  <w:style w:type="character" w:customStyle="1" w:styleId="21">
    <w:name w:val="批注框文本 Char"/>
    <w:basedOn w:val="14"/>
    <w:link w:val="8"/>
    <w:semiHidden/>
    <w:locked/>
    <w:uiPriority w:val="99"/>
    <w:rPr>
      <w:rFonts w:ascii="Times New Roman" w:hAnsi="Times New Roman" w:cs="Times New Roman"/>
      <w:kern w:val="2"/>
      <w:sz w:val="18"/>
      <w:szCs w:val="18"/>
    </w:rPr>
  </w:style>
  <w:style w:type="character" w:customStyle="1" w:styleId="22">
    <w:name w:val="Footer Char"/>
    <w:basedOn w:val="14"/>
    <w:link w:val="9"/>
    <w:semiHidden/>
    <w:qFormat/>
    <w:locked/>
    <w:uiPriority w:val="99"/>
    <w:rPr>
      <w:rFonts w:ascii="Times New Roman" w:hAnsi="Times New Roman" w:cs="Times New Roman"/>
      <w:sz w:val="18"/>
      <w:szCs w:val="18"/>
    </w:rPr>
  </w:style>
  <w:style w:type="character" w:customStyle="1" w:styleId="23">
    <w:name w:val="Header Char"/>
    <w:basedOn w:val="14"/>
    <w:link w:val="10"/>
    <w:semiHidden/>
    <w:qFormat/>
    <w:locked/>
    <w:uiPriority w:val="99"/>
    <w:rPr>
      <w:rFonts w:ascii="Times New Roman" w:hAnsi="Times New Roman" w:cs="Times New Roman"/>
      <w:sz w:val="18"/>
      <w:szCs w:val="18"/>
    </w:rPr>
  </w:style>
  <w:style w:type="character" w:customStyle="1" w:styleId="24">
    <w:name w:val="页眉 Char"/>
    <w:link w:val="10"/>
    <w:semiHidden/>
    <w:qFormat/>
    <w:locked/>
    <w:uiPriority w:val="99"/>
    <w:rPr>
      <w:sz w:val="18"/>
    </w:rPr>
  </w:style>
  <w:style w:type="character" w:customStyle="1" w:styleId="25">
    <w:name w:val="页脚 Char"/>
    <w:link w:val="9"/>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四号正文"/>
    <w:basedOn w:val="1"/>
    <w:link w:val="31"/>
    <w:qFormat/>
    <w:uiPriority w:val="0"/>
    <w:pPr>
      <w:spacing w:line="360" w:lineRule="auto"/>
    </w:pPr>
    <w:rPr>
      <w:rFonts w:ascii="??" w:hAnsi="??" w:cs="宋体"/>
      <w:color w:val="000000"/>
      <w:kern w:val="0"/>
      <w:sz w:val="28"/>
    </w:rPr>
  </w:style>
  <w:style w:type="character" w:customStyle="1" w:styleId="31">
    <w:name w:val="四号正文 Char"/>
    <w:basedOn w:val="14"/>
    <w:link w:val="30"/>
    <w:qFormat/>
    <w:locked/>
    <w:uiPriority w:val="0"/>
    <w:rPr>
      <w:rFonts w:ascii="??" w:hAnsi="??" w:cs="宋体"/>
      <w:color w:val="000000"/>
      <w:sz w:val="21"/>
      <w:szCs w:val="21"/>
    </w:rPr>
  </w:style>
  <w:style w:type="character" w:customStyle="1" w:styleId="32">
    <w:name w:val="日期 Char"/>
    <w:basedOn w:val="14"/>
    <w:link w:val="7"/>
    <w:semiHidden/>
    <w:qFormat/>
    <w:locked/>
    <w:uiPriority w:val="99"/>
    <w:rPr>
      <w:rFonts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119</Pages>
  <Words>31511</Words>
  <Characters>33775</Characters>
  <Lines>403</Lines>
  <Paragraphs>113</Paragraphs>
  <TotalTime>1746</TotalTime>
  <ScaleCrop>false</ScaleCrop>
  <LinksUpToDate>false</LinksUpToDate>
  <CharactersWithSpaces>34635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2020-10-26T01:32:00Z</dcterms:created>
  <dc:creator>张彬茜</dc:creator>
  <cp:lastModifiedBy>WPS_1668065007</cp:lastModifiedBy>
  <cp:lastPrinted>2021-10-28T09:28:00Z</cp:lastPrinted>
  <dcterms:modified xsi:type="dcterms:W3CDTF">2024-11-19T01:21:38Z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E987AD4E31784196BFBA2679FA728D55_12</vt:lpwstr>
  </property>
</Properties>
</file>