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cs="Times New Roman"/>
          <w:color w:val="auto"/>
          <w:sz w:val="52"/>
          <w:szCs w:val="52"/>
          <w:highlight w:val="none"/>
        </w:rPr>
      </w:pPr>
    </w:p>
    <w:p>
      <w:pPr>
        <w:spacing w:line="580" w:lineRule="exact"/>
        <w:ind w:firstLine="0" w:firstLineChars="0"/>
        <w:jc w:val="center"/>
        <w:rPr>
          <w:rFonts w:hint="default" w:ascii="Times New Roman" w:hAnsi="Times New Roman" w:eastAsia="楷体_GB2312" w:cs="Times New Roman"/>
          <w:b/>
          <w:bCs/>
          <w:color w:val="auto"/>
          <w:sz w:val="52"/>
          <w:szCs w:val="52"/>
          <w:highlight w:val="none"/>
        </w:rPr>
      </w:pPr>
      <w:r>
        <w:rPr>
          <w:rFonts w:hint="eastAsia" w:ascii="Times New Roman" w:hAnsi="Times New Roman" w:eastAsia="楷体_GB2312" w:cs="Times New Roman"/>
          <w:b/>
          <w:bCs/>
          <w:color w:val="auto"/>
          <w:sz w:val="52"/>
          <w:szCs w:val="52"/>
          <w:highlight w:val="none"/>
          <w:lang w:eastAsia="zh-CN"/>
        </w:rPr>
        <w:t>2022年</w:t>
      </w:r>
      <w:r>
        <w:rPr>
          <w:rFonts w:hint="eastAsia" w:ascii="Times New Roman" w:hAnsi="Times New Roman" w:eastAsia="楷体_GB2312" w:cs="Times New Roman"/>
          <w:b/>
          <w:bCs/>
          <w:color w:val="auto"/>
          <w:sz w:val="52"/>
          <w:szCs w:val="52"/>
          <w:highlight w:val="none"/>
          <w:lang w:val="en-US" w:eastAsia="zh-CN"/>
        </w:rPr>
        <w:t>度</w:t>
      </w:r>
      <w:r>
        <w:rPr>
          <w:rFonts w:hint="default" w:ascii="Times New Roman" w:hAnsi="Times New Roman" w:eastAsia="楷体_GB2312" w:cs="Times New Roman"/>
          <w:b/>
          <w:bCs/>
          <w:color w:val="auto"/>
          <w:sz w:val="52"/>
          <w:szCs w:val="52"/>
          <w:highlight w:val="none"/>
        </w:rPr>
        <w:t>德阳市罗江区</w:t>
      </w:r>
    </w:p>
    <w:p>
      <w:pPr>
        <w:spacing w:line="580" w:lineRule="exact"/>
        <w:ind w:firstLine="0" w:firstLineChars="0"/>
        <w:jc w:val="center"/>
        <w:rPr>
          <w:rFonts w:hint="default" w:ascii="Times New Roman" w:hAnsi="Times New Roman" w:eastAsia="楷体_GB2312" w:cs="Times New Roman"/>
          <w:b/>
          <w:bCs/>
          <w:color w:val="auto"/>
          <w:sz w:val="56"/>
          <w:szCs w:val="56"/>
          <w:highlight w:val="none"/>
        </w:rPr>
      </w:pPr>
      <w:r>
        <w:rPr>
          <w:rFonts w:hint="default" w:ascii="Times New Roman" w:hAnsi="Times New Roman" w:eastAsia="楷体_GB2312" w:cs="Times New Roman"/>
          <w:b/>
          <w:bCs/>
          <w:color w:val="auto"/>
          <w:sz w:val="56"/>
          <w:szCs w:val="56"/>
          <w:highlight w:val="none"/>
        </w:rPr>
        <w:t>财政项目</w:t>
      </w:r>
      <w:r>
        <w:rPr>
          <w:rFonts w:hint="eastAsia" w:ascii="Times New Roman" w:hAnsi="Times New Roman" w:eastAsia="楷体_GB2312" w:cs="Times New Roman"/>
          <w:b/>
          <w:bCs/>
          <w:color w:val="auto"/>
          <w:sz w:val="56"/>
          <w:szCs w:val="56"/>
          <w:highlight w:val="none"/>
          <w:lang w:eastAsia="zh-CN"/>
        </w:rPr>
        <w:t>（</w:t>
      </w:r>
      <w:r>
        <w:rPr>
          <w:rFonts w:hint="eastAsia" w:ascii="Times New Roman" w:hAnsi="Times New Roman" w:eastAsia="楷体_GB2312" w:cs="Times New Roman"/>
          <w:b/>
          <w:bCs/>
          <w:color w:val="auto"/>
          <w:sz w:val="56"/>
          <w:szCs w:val="56"/>
          <w:highlight w:val="none"/>
          <w:lang w:val="en-US" w:eastAsia="zh-CN"/>
        </w:rPr>
        <w:t>政策</w:t>
      </w:r>
      <w:r>
        <w:rPr>
          <w:rFonts w:hint="eastAsia" w:ascii="Times New Roman" w:hAnsi="Times New Roman" w:eastAsia="楷体_GB2312" w:cs="Times New Roman"/>
          <w:b/>
          <w:bCs/>
          <w:color w:val="auto"/>
          <w:sz w:val="56"/>
          <w:szCs w:val="56"/>
          <w:highlight w:val="none"/>
          <w:lang w:eastAsia="zh-CN"/>
        </w:rPr>
        <w:t>）</w:t>
      </w:r>
      <w:r>
        <w:rPr>
          <w:rFonts w:hint="default" w:ascii="Times New Roman" w:hAnsi="Times New Roman" w:eastAsia="楷体_GB2312" w:cs="Times New Roman"/>
          <w:b/>
          <w:bCs/>
          <w:color w:val="auto"/>
          <w:sz w:val="56"/>
          <w:szCs w:val="56"/>
          <w:highlight w:val="none"/>
        </w:rPr>
        <w:t>支出绩效评价报告</w:t>
      </w: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ind w:firstLine="643"/>
        <w:jc w:val="left"/>
        <w:rPr>
          <w:rFonts w:hint="default" w:ascii="Times New Roman" w:hAnsi="Times New Roman" w:eastAsia="楷体_GB2312" w:cs="Times New Roman"/>
          <w:b/>
          <w:bCs/>
          <w:color w:val="auto"/>
          <w:szCs w:val="32"/>
          <w:highlight w:val="none"/>
          <w:lang w:val="en-US" w:eastAsia="zh-CN"/>
        </w:rPr>
      </w:pPr>
      <w:r>
        <w:rPr>
          <w:rFonts w:hint="default" w:ascii="Times New Roman" w:hAnsi="Times New Roman" w:eastAsia="楷体_GB2312" w:cs="Times New Roman"/>
          <w:b/>
          <w:bCs/>
          <w:color w:val="auto"/>
          <w:szCs w:val="32"/>
          <w:highlight w:val="none"/>
        </w:rPr>
        <w:t>项目名称：</w:t>
      </w:r>
      <w:r>
        <w:rPr>
          <w:rFonts w:hint="eastAsia" w:ascii="Times New Roman" w:hAnsi="Times New Roman" w:eastAsia="楷体_GB2312" w:cs="Times New Roman"/>
          <w:b/>
          <w:bCs/>
          <w:color w:val="auto"/>
          <w:szCs w:val="32"/>
          <w:highlight w:val="none"/>
          <w:lang w:val="en-US" w:eastAsia="zh-CN"/>
        </w:rPr>
        <w:t>德阳市罗江区应急指挥运营服务采购项目</w:t>
      </w:r>
    </w:p>
    <w:p>
      <w:pPr>
        <w:spacing w:line="580" w:lineRule="exact"/>
        <w:ind w:firstLine="643"/>
        <w:jc w:val="left"/>
        <w:rPr>
          <w:rFonts w:hint="default" w:ascii="Times New Roman" w:hAnsi="Times New Roman" w:eastAsia="楷体_GB2312" w:cs="Times New Roman"/>
          <w:b/>
          <w:bCs/>
          <w:color w:val="auto"/>
          <w:szCs w:val="32"/>
          <w:highlight w:val="none"/>
          <w:lang w:val="en-US" w:eastAsia="zh-CN"/>
        </w:rPr>
      </w:pPr>
      <w:r>
        <w:rPr>
          <w:rFonts w:hint="default" w:ascii="Times New Roman" w:hAnsi="Times New Roman" w:eastAsia="楷体_GB2312" w:cs="Times New Roman"/>
          <w:b/>
          <w:bCs/>
          <w:color w:val="auto"/>
          <w:szCs w:val="32"/>
          <w:highlight w:val="none"/>
        </w:rPr>
        <w:t>项目单位：</w:t>
      </w:r>
      <w:r>
        <w:rPr>
          <w:rFonts w:hint="default" w:ascii="Times New Roman" w:hAnsi="Times New Roman" w:eastAsia="楷体_GB2312" w:cs="Times New Roman"/>
          <w:b/>
          <w:color w:val="auto"/>
          <w:spacing w:val="-2"/>
          <w:highlight w:val="none"/>
        </w:rPr>
        <w:t>德阳市罗江区</w:t>
      </w:r>
      <w:r>
        <w:rPr>
          <w:rFonts w:hint="eastAsia" w:ascii="Times New Roman" w:hAnsi="Times New Roman" w:eastAsia="楷体_GB2312" w:cs="Times New Roman"/>
          <w:b/>
          <w:color w:val="auto"/>
          <w:spacing w:val="-2"/>
          <w:highlight w:val="none"/>
          <w:lang w:val="en-US" w:eastAsia="zh-CN"/>
        </w:rPr>
        <w:t>行政审批局</w:t>
      </w:r>
    </w:p>
    <w:p>
      <w:pPr>
        <w:spacing w:line="580" w:lineRule="exact"/>
        <w:ind w:firstLine="643"/>
        <w:jc w:val="left"/>
        <w:rPr>
          <w:rFonts w:hint="default" w:ascii="Times New Roman" w:hAnsi="Times New Roman" w:eastAsia="楷体_GB2312" w:cs="Times New Roman"/>
          <w:b/>
          <w:bCs/>
          <w:color w:val="auto"/>
          <w:szCs w:val="32"/>
          <w:highlight w:val="none"/>
        </w:rPr>
      </w:pPr>
      <w:r>
        <w:rPr>
          <w:rFonts w:hint="default" w:ascii="Times New Roman" w:hAnsi="Times New Roman" w:eastAsia="楷体_GB2312" w:cs="Times New Roman"/>
          <w:b/>
          <w:bCs/>
          <w:color w:val="auto"/>
          <w:szCs w:val="32"/>
          <w:highlight w:val="none"/>
        </w:rPr>
        <w:t>委托单位：</w:t>
      </w:r>
      <w:r>
        <w:rPr>
          <w:rFonts w:hint="default" w:ascii="Times New Roman" w:hAnsi="Times New Roman" w:eastAsia="楷体_GB2312" w:cs="Times New Roman"/>
          <w:b/>
          <w:color w:val="auto"/>
          <w:spacing w:val="-2"/>
          <w:highlight w:val="none"/>
        </w:rPr>
        <w:t>德阳市罗江区财政</w:t>
      </w:r>
      <w:r>
        <w:rPr>
          <w:rFonts w:hint="default" w:ascii="Times New Roman" w:hAnsi="Times New Roman" w:eastAsia="楷体_GB2312" w:cs="Times New Roman"/>
          <w:b/>
          <w:color w:val="auto"/>
          <w:spacing w:val="-10"/>
          <w:highlight w:val="none"/>
        </w:rPr>
        <w:t>局</w:t>
      </w:r>
    </w:p>
    <w:p>
      <w:pPr>
        <w:spacing w:line="580" w:lineRule="exact"/>
        <w:ind w:firstLine="643"/>
        <w:jc w:val="left"/>
        <w:rPr>
          <w:rFonts w:hint="eastAsia" w:ascii="Times New Roman" w:hAnsi="Times New Roman" w:eastAsia="楷体_GB2312" w:cs="Times New Roman"/>
          <w:b/>
          <w:bCs/>
          <w:color w:val="auto"/>
          <w:szCs w:val="32"/>
          <w:highlight w:val="none"/>
          <w:lang w:eastAsia="zh-CN"/>
        </w:rPr>
      </w:pPr>
      <w:r>
        <w:rPr>
          <w:rFonts w:hint="default" w:ascii="Times New Roman" w:hAnsi="Times New Roman" w:eastAsia="楷体_GB2312" w:cs="Times New Roman"/>
          <w:b/>
          <w:bCs/>
          <w:color w:val="auto"/>
          <w:szCs w:val="32"/>
          <w:highlight w:val="none"/>
        </w:rPr>
        <w:t>评价机构：</w:t>
      </w:r>
      <w:r>
        <w:rPr>
          <w:rFonts w:hint="eastAsia" w:ascii="Times New Roman" w:hAnsi="Times New Roman" w:eastAsia="楷体_GB2312" w:cs="Times New Roman"/>
          <w:b/>
          <w:bCs/>
          <w:color w:val="auto"/>
          <w:szCs w:val="32"/>
          <w:highlight w:val="none"/>
          <w:lang w:eastAsia="zh-CN"/>
        </w:rPr>
        <w:t>四川瑞政商业管理有限公司</w:t>
      </w: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0" w:firstLineChars="0"/>
        <w:jc w:val="center"/>
        <w:rPr>
          <w:rFonts w:hint="default" w:ascii="Times New Roman" w:hAnsi="Times New Roman" w:eastAsia="楷体_GB2312" w:cs="Times New Roman"/>
          <w:b/>
          <w:bCs/>
          <w:color w:val="auto"/>
          <w:szCs w:val="32"/>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28" w:left="1587" w:header="851" w:footer="992" w:gutter="0"/>
          <w:cols w:space="425" w:num="1"/>
          <w:docGrid w:type="lines" w:linePitch="312" w:charSpace="0"/>
        </w:sectPr>
      </w:pPr>
      <w:r>
        <w:rPr>
          <w:rFonts w:hint="default" w:ascii="Times New Roman" w:hAnsi="Times New Roman" w:eastAsia="楷体_GB2312" w:cs="Times New Roman"/>
          <w:b/>
          <w:bCs/>
          <w:color w:val="auto"/>
          <w:szCs w:val="32"/>
          <w:highlight w:val="none"/>
        </w:rPr>
        <w:t>202</w:t>
      </w:r>
      <w:r>
        <w:rPr>
          <w:rFonts w:hint="eastAsia" w:ascii="Times New Roman" w:hAnsi="Times New Roman" w:eastAsia="楷体_GB2312" w:cs="Times New Roman"/>
          <w:b/>
          <w:bCs/>
          <w:color w:val="auto"/>
          <w:szCs w:val="32"/>
          <w:highlight w:val="none"/>
          <w:lang w:val="en-US" w:eastAsia="zh-CN"/>
        </w:rPr>
        <w:t>3</w:t>
      </w:r>
      <w:r>
        <w:rPr>
          <w:rFonts w:hint="default" w:ascii="Times New Roman" w:hAnsi="Times New Roman" w:eastAsia="楷体_GB2312" w:cs="Times New Roman"/>
          <w:b/>
          <w:bCs/>
          <w:color w:val="auto"/>
          <w:szCs w:val="32"/>
          <w:highlight w:val="none"/>
        </w:rPr>
        <w:t>年</w:t>
      </w:r>
      <w:r>
        <w:rPr>
          <w:rFonts w:hint="eastAsia" w:ascii="Times New Roman" w:hAnsi="Times New Roman" w:eastAsia="楷体_GB2312" w:cs="Times New Roman"/>
          <w:b/>
          <w:bCs/>
          <w:color w:val="auto"/>
          <w:szCs w:val="32"/>
          <w:highlight w:val="none"/>
          <w:lang w:val="en-US" w:eastAsia="zh-CN"/>
        </w:rPr>
        <w:t>9</w:t>
      </w:r>
      <w:r>
        <w:rPr>
          <w:rFonts w:hint="default" w:ascii="Times New Roman" w:hAnsi="Times New Roman" w:eastAsia="楷体_GB2312" w:cs="Times New Roman"/>
          <w:b/>
          <w:bCs/>
          <w:color w:val="auto"/>
          <w:szCs w:val="32"/>
          <w:highlight w:val="none"/>
        </w:rPr>
        <w:t>月</w:t>
      </w:r>
    </w:p>
    <w:sdt>
      <w:sdtPr>
        <w:rPr>
          <w:rFonts w:hint="default" w:ascii="Times New Roman" w:hAnsi="Times New Roman" w:cs="Times New Roman"/>
          <w:b/>
          <w:bCs/>
          <w:color w:val="auto"/>
          <w:szCs w:val="32"/>
          <w:highlight w:val="none"/>
        </w:rPr>
        <w:id w:val="147473090"/>
        <w15:color w:val="DBDBDB"/>
        <w:docPartObj>
          <w:docPartGallery w:val="Table of Contents"/>
          <w:docPartUnique/>
        </w:docPartObj>
      </w:sdtPr>
      <w:sdtEndPr>
        <w:rPr>
          <w:rFonts w:hint="default" w:ascii="Times New Roman" w:hAnsi="Times New Roman" w:cs="Times New Roman"/>
          <w:b/>
          <w:bCs/>
          <w:color w:val="auto"/>
          <w:sz w:val="21"/>
          <w:szCs w:val="32"/>
          <w:highlight w:val="none"/>
        </w:rPr>
      </w:sdtEndPr>
      <w:sdtContent>
        <w:p>
          <w:pPr>
            <w:spacing w:line="580" w:lineRule="exact"/>
            <w:ind w:firstLine="0" w:firstLineChars="0"/>
            <w:jc w:val="center"/>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目  录</w:t>
          </w:r>
        </w:p>
        <w:p>
          <w:pPr>
            <w:pStyle w:val="10"/>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
              <w:bCs/>
              <w:color w:val="auto"/>
              <w:szCs w:val="32"/>
              <w:highlight w:val="none"/>
            </w:rPr>
            <w:fldChar w:fldCharType="begin"/>
          </w:r>
          <w:r>
            <w:rPr>
              <w:rFonts w:hint="default" w:ascii="Times New Roman" w:hAnsi="Times New Roman" w:cs="Times New Roman"/>
              <w:b/>
              <w:bCs/>
              <w:color w:val="auto"/>
              <w:szCs w:val="32"/>
              <w:highlight w:val="none"/>
            </w:rPr>
            <w:instrText xml:space="preserve">TOC \o "1-2" \h \u </w:instrText>
          </w:r>
          <w:r>
            <w:rPr>
              <w:rFonts w:hint="default" w:ascii="Times New Roman" w:hAnsi="Times New Roman" w:cs="Times New Roman"/>
              <w:b/>
              <w:bCs/>
              <w:color w:val="auto"/>
              <w:szCs w:val="32"/>
              <w:highlight w:val="none"/>
            </w:rPr>
            <w:fldChar w:fldCharType="separate"/>
          </w: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_Toc14531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一、基本情况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_Toc14531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_Toc10137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（一）项目背景及依据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_Toc10137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_Toc18903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（二）项目参与主体职能职责</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_Toc18903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_Toc9226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（三）项目绩效目标</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_Toc9226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_Toc27421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（四）项目预算及计划实施内容</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_Toc27421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_Toc2956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（五）预算执行及实施情况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_Toc2956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_Toc9532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二、评价工作开展情况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_Toc9532 \h </w:instrText>
          </w:r>
          <w:r>
            <w:rPr>
              <w:rFonts w:hint="default" w:ascii="Times New Roman" w:hAnsi="Times New Roman" w:cs="Times New Roman"/>
            </w:rPr>
            <w:fldChar w:fldCharType="separate"/>
          </w:r>
          <w:r>
            <w:rPr>
              <w:rFonts w:hint="default" w:ascii="Times New Roman" w:hAnsi="Times New Roman" w:cs="Times New Roman"/>
            </w:rPr>
            <w:t>9</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_Toc4964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（一）绩效评价的目的</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_Toc4964 \h </w:instrText>
          </w:r>
          <w:r>
            <w:rPr>
              <w:rFonts w:hint="default" w:ascii="Times New Roman" w:hAnsi="Times New Roman" w:cs="Times New Roman"/>
            </w:rPr>
            <w:fldChar w:fldCharType="separate"/>
          </w:r>
          <w:r>
            <w:rPr>
              <w:rFonts w:hint="default" w:ascii="Times New Roman" w:hAnsi="Times New Roman" w:cs="Times New Roman"/>
            </w:rPr>
            <w:t>9</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_Toc21170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（二）评价的思路、原则、依据及方法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_Toc21170 \h </w:instrText>
          </w:r>
          <w:r>
            <w:rPr>
              <w:rFonts w:hint="default" w:ascii="Times New Roman" w:hAnsi="Times New Roman" w:cs="Times New Roman"/>
            </w:rPr>
            <w:fldChar w:fldCharType="separate"/>
          </w:r>
          <w:r>
            <w:rPr>
              <w:rFonts w:hint="default" w:ascii="Times New Roman" w:hAnsi="Times New Roman" w:cs="Times New Roman"/>
            </w:rPr>
            <w:t>10</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_Toc1314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（三）数据采集方法及过程</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_Toc1314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_Toc13241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（四）绩效评价实施过程</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_Toc13241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_Toc20852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三、评价结果与结论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_Toc20852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_Toc18993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（一）评价得分与绩效等级</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_Toc18993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_Toc16098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（二）评价结论</w:t>
          </w:r>
          <w:bookmarkStart w:id="23" w:name="_GoBack"/>
          <w:bookmarkEnd w:id="23"/>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_Toc16098 \h </w:instrText>
          </w:r>
          <w:r>
            <w:rPr>
              <w:rFonts w:hint="default" w:ascii="Times New Roman" w:hAnsi="Times New Roman" w:cs="Times New Roman"/>
            </w:rPr>
            <w:fldChar w:fldCharType="separate"/>
          </w:r>
          <w:r>
            <w:rPr>
              <w:rFonts w:hint="default" w:ascii="Times New Roman" w:hAnsi="Times New Roman" w:cs="Times New Roman"/>
            </w:rPr>
            <w:t>16</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_Toc1542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四、问题及建议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_Toc1542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_Toc15135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五、其他需要说明的问题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_Toc15135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0"/>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_Toc19892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lang w:eastAsia="zh-Hans"/>
            </w:rPr>
            <w:t>附件</w:t>
          </w:r>
          <w:r>
            <w:rPr>
              <w:rFonts w:hint="default" w:ascii="Times New Roman" w:hAnsi="Times New Roman" w:eastAsia="黑体" w:cs="Times New Roman"/>
              <w:bCs/>
              <w:szCs w:val="20"/>
              <w:highlight w:val="none"/>
              <w:lang w:val="en-US" w:eastAsia="zh-CN"/>
            </w:rPr>
            <w:t xml:space="preserve"> </w:t>
          </w:r>
          <w:r>
            <w:rPr>
              <w:rFonts w:hint="default" w:ascii="Times New Roman" w:hAnsi="Times New Roman" w:eastAsia="黑体" w:cs="Times New Roman"/>
              <w:bCs/>
              <w:szCs w:val="20"/>
              <w:highlight w:val="none"/>
            </w:rPr>
            <w:t>项目支出绩效评价指标体系</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_Toc19892 \h </w:instrText>
          </w:r>
          <w:r>
            <w:rPr>
              <w:rFonts w:hint="default" w:ascii="Times New Roman" w:hAnsi="Times New Roman" w:cs="Times New Roman"/>
            </w:rPr>
            <w:fldChar w:fldCharType="separate"/>
          </w:r>
          <w:r>
            <w:rPr>
              <w:rFonts w:hint="default" w:ascii="Times New Roman" w:hAnsi="Times New Roman" w:cs="Times New Roman"/>
            </w:rPr>
            <w:t>19</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spacing w:line="580" w:lineRule="exact"/>
            <w:ind w:firstLine="0" w:firstLineChars="0"/>
            <w:jc w:val="center"/>
            <w:rPr>
              <w:rFonts w:hint="default" w:ascii="Times New Roman" w:hAnsi="Times New Roman" w:cs="Times New Roman"/>
              <w:b/>
              <w:bCs/>
              <w:color w:val="auto"/>
              <w:szCs w:val="32"/>
              <w:highlight w:val="none"/>
            </w:rPr>
            <w:sectPr>
              <w:pgSz w:w="11906" w:h="16838"/>
              <w:pgMar w:top="2098" w:right="1474" w:bottom="1928" w:left="1587" w:header="851" w:footer="992" w:gutter="0"/>
              <w:cols w:space="425" w:num="1"/>
              <w:docGrid w:type="lines" w:linePitch="312" w:charSpace="0"/>
            </w:sectPr>
          </w:pPr>
          <w:r>
            <w:rPr>
              <w:rFonts w:hint="default" w:ascii="Times New Roman" w:hAnsi="Times New Roman" w:cs="Times New Roman"/>
              <w:bCs/>
              <w:color w:val="auto"/>
              <w:szCs w:val="32"/>
              <w:highlight w:val="none"/>
            </w:rPr>
            <w:fldChar w:fldCharType="end"/>
          </w:r>
        </w:p>
      </w:sdtContent>
    </w:sdt>
    <w:p>
      <w:pPr>
        <w:spacing w:line="580" w:lineRule="exact"/>
        <w:ind w:firstLine="0" w:firstLineChars="0"/>
        <w:jc w:val="center"/>
        <w:rPr>
          <w:rFonts w:hint="default" w:ascii="Times New Roman" w:hAnsi="Times New Roman" w:eastAsia="方正小标宋简体" w:cs="Times New Roman"/>
          <w:b/>
          <w:bCs/>
          <w:color w:val="auto"/>
          <w:sz w:val="44"/>
          <w:szCs w:val="44"/>
          <w:highlight w:val="none"/>
          <w:lang w:val="en-US" w:eastAsia="zh-CN"/>
        </w:rPr>
      </w:pPr>
      <w:r>
        <w:rPr>
          <w:rFonts w:hint="eastAsia" w:ascii="Times New Roman" w:hAnsi="Times New Roman" w:eastAsia="方正小标宋简体" w:cs="Times New Roman"/>
          <w:b/>
          <w:bCs/>
          <w:color w:val="auto"/>
          <w:sz w:val="44"/>
          <w:szCs w:val="44"/>
          <w:highlight w:val="none"/>
          <w:lang w:eastAsia="zh-CN"/>
        </w:rPr>
        <w:t>2022年</w:t>
      </w:r>
      <w:r>
        <w:rPr>
          <w:rFonts w:hint="default" w:ascii="Times New Roman" w:hAnsi="Times New Roman" w:eastAsia="方正小标宋简体" w:cs="Times New Roman"/>
          <w:b/>
          <w:bCs/>
          <w:color w:val="auto"/>
          <w:sz w:val="44"/>
          <w:szCs w:val="44"/>
          <w:highlight w:val="none"/>
        </w:rPr>
        <w:t>度德阳市罗江区</w:t>
      </w:r>
      <w:r>
        <w:rPr>
          <w:rFonts w:hint="eastAsia" w:ascii="Times New Roman" w:hAnsi="Times New Roman" w:eastAsia="方正小标宋简体" w:cs="Times New Roman"/>
          <w:b/>
          <w:bCs/>
          <w:color w:val="auto"/>
          <w:sz w:val="44"/>
          <w:szCs w:val="44"/>
          <w:highlight w:val="none"/>
          <w:lang w:val="en-US" w:eastAsia="zh-CN"/>
        </w:rPr>
        <w:t>行政审批局</w:t>
      </w:r>
    </w:p>
    <w:p>
      <w:pPr>
        <w:spacing w:line="580" w:lineRule="exact"/>
        <w:ind w:firstLine="0" w:firstLineChars="0"/>
        <w:jc w:val="center"/>
        <w:rPr>
          <w:rFonts w:hint="default" w:ascii="Times New Roman" w:hAnsi="Times New Roman" w:cs="Times New Roman"/>
          <w:color w:val="auto"/>
          <w:sz w:val="44"/>
          <w:szCs w:val="44"/>
          <w:highlight w:val="none"/>
        </w:rPr>
      </w:pPr>
      <w:bookmarkStart w:id="0" w:name="_Toc28628"/>
      <w:r>
        <w:rPr>
          <w:rFonts w:hint="default" w:ascii="Times New Roman" w:hAnsi="Times New Roman" w:eastAsia="方正小标宋简体" w:cs="Times New Roman"/>
          <w:b/>
          <w:bCs/>
          <w:color w:val="auto"/>
          <w:sz w:val="44"/>
          <w:szCs w:val="44"/>
          <w:highlight w:val="none"/>
        </w:rPr>
        <w:t>财政项目支出绩效评价报告</w:t>
      </w:r>
      <w:bookmarkEnd w:id="0"/>
    </w:p>
    <w:p>
      <w:pPr>
        <w:spacing w:line="580" w:lineRule="exact"/>
        <w:ind w:firstLine="0" w:firstLineChars="0"/>
        <w:jc w:val="center"/>
        <w:rPr>
          <w:rFonts w:hint="default" w:ascii="Times New Roman" w:hAnsi="Times New Roman" w:eastAsia="楷体_GB2312" w:cs="Times New Roman"/>
          <w:color w:val="auto"/>
          <w:szCs w:val="32"/>
          <w:highlight w:val="none"/>
          <w:lang w:eastAsia="zh-Hans"/>
        </w:rPr>
      </w:pPr>
      <w:r>
        <w:rPr>
          <w:rFonts w:hint="default" w:ascii="Times New Roman" w:hAnsi="Times New Roman" w:eastAsia="楷体_GB2312" w:cs="Times New Roman"/>
          <w:b/>
          <w:bCs/>
          <w:color w:val="auto"/>
          <w:szCs w:val="32"/>
          <w:highlight w:val="none"/>
          <w:lang w:eastAsia="zh-Hans"/>
        </w:rPr>
        <w:t>（</w:t>
      </w:r>
      <w:r>
        <w:rPr>
          <w:rFonts w:hint="eastAsia" w:ascii="Times New Roman" w:hAnsi="Times New Roman" w:eastAsia="楷体_GB2312" w:cs="Times New Roman"/>
          <w:b/>
          <w:bCs/>
          <w:color w:val="auto"/>
          <w:szCs w:val="32"/>
          <w:highlight w:val="none"/>
          <w:lang w:val="en-US" w:eastAsia="zh-CN"/>
        </w:rPr>
        <w:t>德阳市罗江区应急指挥运营服务采购项目</w:t>
      </w:r>
      <w:r>
        <w:rPr>
          <w:rFonts w:hint="default" w:ascii="Times New Roman" w:hAnsi="Times New Roman" w:eastAsia="楷体_GB2312" w:cs="Times New Roman"/>
          <w:b/>
          <w:bCs/>
          <w:color w:val="auto"/>
          <w:szCs w:val="32"/>
          <w:highlight w:val="none"/>
          <w:lang w:eastAsia="zh-Hans"/>
        </w:rPr>
        <w:t>）</w:t>
      </w: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为强化</w:t>
      </w:r>
      <w:r>
        <w:rPr>
          <w:rFonts w:hint="eastAsia" w:ascii="Times New Roman" w:hAnsi="Times New Roman" w:cs="Times New Roman"/>
          <w:color w:val="auto"/>
          <w:szCs w:val="32"/>
          <w:highlight w:val="none"/>
          <w:lang w:val="en-US" w:eastAsia="zh-CN"/>
        </w:rPr>
        <w:t>项目</w:t>
      </w:r>
      <w:r>
        <w:rPr>
          <w:rFonts w:hint="default" w:ascii="Times New Roman" w:hAnsi="Times New Roman" w:cs="Times New Roman"/>
          <w:color w:val="auto"/>
          <w:szCs w:val="32"/>
          <w:highlight w:val="none"/>
        </w:rPr>
        <w:t>支出预算执行力度，深化责任主体绩效管理意识，优化财政资源配置，提升公共服务质量，贯彻落实《中共中央 国务院关于全面实施预算绩效管理的意见》（中发〔2018〕34号）、《中共四川省委 四川省人民政府关于全面实施预算绩效管理的实施意见》（川委发〔2019〕8号）</w:t>
      </w:r>
      <w:r>
        <w:rPr>
          <w:rFonts w:hint="default" w:ascii="Times New Roman" w:hAnsi="Times New Roman" w:cs="Times New Roman"/>
          <w:color w:val="auto"/>
          <w:szCs w:val="32"/>
          <w:highlight w:val="none"/>
          <w:lang w:eastAsia="zh-Hans"/>
        </w:rPr>
        <w:t>、《中共四川省委办公厅 四川省人民政府办公厅关于深入实施预算绩效管理的通知》（川委厅〔2022〕5号）等</w:t>
      </w:r>
      <w:r>
        <w:rPr>
          <w:rFonts w:hint="default" w:ascii="Times New Roman" w:hAnsi="Times New Roman" w:cs="Times New Roman"/>
          <w:color w:val="auto"/>
          <w:szCs w:val="32"/>
          <w:highlight w:val="none"/>
        </w:rPr>
        <w:t>文件精神，根据《项目支出绩效评价管理办法》（财预〔2020〕10号）规定，按照《德阳市罗江区财政局关于开展202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年重点绩效评价工作的通知》（</w:t>
      </w:r>
      <w:r>
        <w:rPr>
          <w:rFonts w:hint="eastAsia" w:ascii="Times New Roman" w:hAnsi="Times New Roman" w:cs="Times New Roman"/>
          <w:color w:val="auto"/>
          <w:szCs w:val="32"/>
          <w:highlight w:val="none"/>
          <w:lang w:eastAsia="zh-CN"/>
        </w:rPr>
        <w:t>德市罗财绩〔2023〕6号</w:t>
      </w:r>
      <w:r>
        <w:rPr>
          <w:rFonts w:hint="default" w:ascii="Times New Roman" w:hAnsi="Times New Roman" w:cs="Times New Roman"/>
          <w:color w:val="auto"/>
          <w:szCs w:val="32"/>
          <w:highlight w:val="none"/>
        </w:rPr>
        <w:t>）的要求，进一步完善项目预算绩效管理，强化支出责任，提高财政资金使用效益，</w:t>
      </w:r>
      <w:r>
        <w:rPr>
          <w:rFonts w:hint="eastAsia" w:ascii="Times New Roman" w:hAnsi="Times New Roman" w:cs="Times New Roman"/>
          <w:color w:val="auto"/>
          <w:szCs w:val="32"/>
          <w:highlight w:val="none"/>
          <w:lang w:eastAsia="zh-CN"/>
        </w:rPr>
        <w:t>四川瑞政商业管理有限公司</w:t>
      </w:r>
      <w:r>
        <w:rPr>
          <w:rFonts w:hint="default" w:ascii="Times New Roman" w:hAnsi="Times New Roman" w:cs="Times New Roman"/>
          <w:color w:val="auto"/>
          <w:szCs w:val="32"/>
          <w:highlight w:val="none"/>
        </w:rPr>
        <w:t>接受</w:t>
      </w:r>
      <w:r>
        <w:rPr>
          <w:rFonts w:hint="default" w:ascii="Times New Roman" w:hAnsi="Times New Roman" w:cs="Times New Roman"/>
          <w:color w:val="auto"/>
          <w:szCs w:val="32"/>
          <w:highlight w:val="none"/>
          <w:lang w:eastAsia="zh-CN"/>
        </w:rPr>
        <w:t>德阳市罗江区财政局</w:t>
      </w:r>
      <w:r>
        <w:rPr>
          <w:rFonts w:hint="default" w:ascii="Times New Roman" w:hAnsi="Times New Roman" w:cs="Times New Roman"/>
          <w:color w:val="auto"/>
          <w:szCs w:val="32"/>
          <w:highlight w:val="none"/>
        </w:rPr>
        <w:t>的委托，对德阳市罗江区</w:t>
      </w:r>
      <w:r>
        <w:rPr>
          <w:rFonts w:hint="eastAsia" w:ascii="Times New Roman" w:hAnsi="Times New Roman" w:cs="Times New Roman"/>
          <w:color w:val="auto"/>
          <w:szCs w:val="32"/>
          <w:highlight w:val="none"/>
          <w:lang w:val="en-US" w:eastAsia="zh-CN"/>
        </w:rPr>
        <w:t>行政审批局</w:t>
      </w:r>
      <w:r>
        <w:rPr>
          <w:rFonts w:hint="eastAsia" w:ascii="Times New Roman" w:hAnsi="Times New Roman" w:cs="Times New Roman"/>
          <w:color w:val="auto"/>
          <w:szCs w:val="32"/>
          <w:highlight w:val="none"/>
          <w:lang w:eastAsia="zh-CN"/>
        </w:rPr>
        <w:t>“</w:t>
      </w:r>
      <w:r>
        <w:rPr>
          <w:rFonts w:hint="eastAsia" w:ascii="Times New Roman" w:hAnsi="Times New Roman" w:cs="Times New Roman"/>
          <w:color w:val="auto"/>
          <w:szCs w:val="32"/>
          <w:highlight w:val="none"/>
          <w:lang w:val="en-US" w:eastAsia="zh-CN"/>
        </w:rPr>
        <w:t>德阳市罗江区</w:t>
      </w:r>
      <w:r>
        <w:rPr>
          <w:rFonts w:hint="eastAsia" w:ascii="Times New Roman" w:hAnsi="Times New Roman" w:cs="Times New Roman"/>
          <w:color w:val="auto"/>
          <w:szCs w:val="32"/>
          <w:highlight w:val="none"/>
          <w:lang w:eastAsia="zh-CN"/>
        </w:rPr>
        <w:t>应急指挥运营服务采购项目”（</w:t>
      </w:r>
      <w:r>
        <w:rPr>
          <w:rFonts w:hint="eastAsia" w:ascii="Times New Roman" w:hAnsi="Times New Roman" w:cs="Times New Roman"/>
          <w:color w:val="auto"/>
          <w:szCs w:val="32"/>
          <w:highlight w:val="none"/>
          <w:lang w:val="en-US" w:eastAsia="zh-CN"/>
        </w:rPr>
        <w:t>以下称“应急指挥运营服务采购项目”</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开展</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独立、客观、公正</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的第三方绩效评价工作。</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评价小组按照既定的评价方案和程序，对通过问卷调查、访谈、专家咨询、现场核查等方式获取的数据资料进行了综合分析，现出具以下评价意见。</w:t>
      </w:r>
    </w:p>
    <w:p>
      <w:pPr>
        <w:pStyle w:val="2"/>
        <w:spacing w:before="0" w:after="0" w:line="580" w:lineRule="exact"/>
        <w:ind w:firstLine="640"/>
        <w:rPr>
          <w:rFonts w:hint="default" w:ascii="Times New Roman" w:hAnsi="Times New Roman" w:eastAsia="黑体" w:cs="Times New Roman"/>
          <w:b w:val="0"/>
          <w:bCs/>
          <w:color w:val="auto"/>
          <w:sz w:val="32"/>
          <w:szCs w:val="20"/>
          <w:highlight w:val="none"/>
        </w:rPr>
        <w:sectPr>
          <w:footerReference r:id="rId11" w:type="default"/>
          <w:pgSz w:w="11906" w:h="16838"/>
          <w:pgMar w:top="2098" w:right="1474" w:bottom="1928" w:left="1587" w:header="851" w:footer="992" w:gutter="0"/>
          <w:pgNumType w:start="1"/>
          <w:cols w:space="425" w:num="1"/>
          <w:docGrid w:type="lines" w:linePitch="312" w:charSpace="0"/>
        </w:sectPr>
      </w:pPr>
    </w:p>
    <w:p>
      <w:pPr>
        <w:pStyle w:val="2"/>
        <w:pageBreakBefore w:val="0"/>
        <w:widowControl w:val="0"/>
        <w:kinsoku/>
        <w:wordWrap/>
        <w:overflowPunct/>
        <w:topLinePunct w:val="0"/>
        <w:autoSpaceDE/>
        <w:autoSpaceDN/>
        <w:bidi w:val="0"/>
        <w:adjustRightInd/>
        <w:snapToGrid/>
        <w:spacing w:before="0" w:after="0" w:line="580" w:lineRule="atLeast"/>
        <w:ind w:firstLine="640"/>
        <w:textAlignment w:val="auto"/>
        <w:rPr>
          <w:rFonts w:hint="default" w:ascii="Times New Roman" w:hAnsi="Times New Roman" w:eastAsia="黑体" w:cs="Times New Roman"/>
          <w:b w:val="0"/>
          <w:bCs/>
          <w:color w:val="auto"/>
          <w:sz w:val="32"/>
          <w:szCs w:val="20"/>
          <w:highlight w:val="none"/>
        </w:rPr>
      </w:pPr>
      <w:bookmarkStart w:id="1" w:name="_Toc14531"/>
      <w:r>
        <w:rPr>
          <w:rFonts w:hint="default" w:ascii="Times New Roman" w:hAnsi="Times New Roman" w:eastAsia="黑体" w:cs="Times New Roman"/>
          <w:b w:val="0"/>
          <w:bCs/>
          <w:color w:val="auto"/>
          <w:sz w:val="32"/>
          <w:szCs w:val="20"/>
          <w:highlight w:val="none"/>
        </w:rPr>
        <w:t>一、基本情况</w:t>
      </w:r>
      <w:bookmarkEnd w:id="1"/>
    </w:p>
    <w:p>
      <w:pPr>
        <w:pStyle w:val="3"/>
        <w:pageBreakBefore w:val="0"/>
        <w:widowControl w:val="0"/>
        <w:kinsoku/>
        <w:wordWrap/>
        <w:overflowPunct/>
        <w:topLinePunct w:val="0"/>
        <w:autoSpaceDE/>
        <w:autoSpaceDN/>
        <w:bidi w:val="0"/>
        <w:adjustRightInd/>
        <w:snapToGrid/>
        <w:spacing w:beforeAutospacing="0" w:afterAutospacing="0" w:line="580" w:lineRule="atLeast"/>
        <w:ind w:firstLine="643"/>
        <w:jc w:val="both"/>
        <w:textAlignment w:val="auto"/>
        <w:rPr>
          <w:rFonts w:hint="default" w:ascii="Times New Roman" w:hAnsi="Times New Roman" w:eastAsia="楷体_GB2312" w:cs="Times New Roman"/>
          <w:color w:val="auto"/>
          <w:sz w:val="32"/>
          <w:szCs w:val="32"/>
          <w:highlight w:val="none"/>
        </w:rPr>
      </w:pPr>
      <w:bookmarkStart w:id="2" w:name="_Toc10137"/>
      <w:r>
        <w:rPr>
          <w:rFonts w:hint="default" w:ascii="Times New Roman" w:hAnsi="Times New Roman" w:eastAsia="楷体_GB2312" w:cs="Times New Roman"/>
          <w:color w:val="auto"/>
          <w:sz w:val="32"/>
          <w:szCs w:val="32"/>
          <w:highlight w:val="none"/>
        </w:rPr>
        <w:t>（一）项目背景及依据</w:t>
      </w:r>
      <w:bookmarkEnd w:id="2"/>
    </w:p>
    <w:p>
      <w:pPr>
        <w:pStyle w:val="4"/>
        <w:pageBreakBefore w:val="0"/>
        <w:widowControl w:val="0"/>
        <w:kinsoku/>
        <w:wordWrap/>
        <w:overflowPunct/>
        <w:topLinePunct w:val="0"/>
        <w:autoSpaceDE/>
        <w:autoSpaceDN/>
        <w:bidi w:val="0"/>
        <w:adjustRightInd/>
        <w:snapToGrid/>
        <w:spacing w:before="0" w:after="0" w:line="580" w:lineRule="atLeast"/>
        <w:ind w:firstLine="643"/>
        <w:textAlignment w:val="auto"/>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1.项目背景</w:t>
      </w:r>
    </w:p>
    <w:p>
      <w:pPr>
        <w:pStyle w:val="5"/>
        <w:keepNext w:val="0"/>
        <w:keepLines w:val="0"/>
        <w:pageBreakBefore w:val="0"/>
        <w:widowControl w:val="0"/>
        <w:kinsoku/>
        <w:wordWrap/>
        <w:overflowPunct/>
        <w:topLinePunct w:val="0"/>
        <w:autoSpaceDE/>
        <w:autoSpaceDN/>
        <w:bidi w:val="0"/>
        <w:adjustRightInd/>
        <w:snapToGrid/>
        <w:spacing w:after="0" w:line="580" w:lineRule="exact"/>
        <w:ind w:right="0" w:firstLine="640"/>
        <w:textAlignment w:val="auto"/>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根据应急管理部下发</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highlight w:val="none"/>
        </w:rPr>
        <w:t>272号文</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highlight w:val="none"/>
        </w:rPr>
        <w:t>，以及《四川省应急管理信息化发展规划</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highlight w:val="none"/>
        </w:rPr>
        <w:t>2020</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highlight w:val="none"/>
        </w:rPr>
        <w:t>2022年</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highlight w:val="none"/>
        </w:rPr>
        <w:t>》川应急</w:t>
      </w:r>
      <w:r>
        <w:rPr>
          <w:rFonts w:hint="eastAsia" w:ascii="微软雅黑" w:hAnsi="微软雅黑" w:eastAsia="微软雅黑" w:cs="微软雅黑"/>
          <w:color w:val="auto"/>
          <w:highlight w:val="none"/>
        </w:rPr>
        <w:t>〔</w:t>
      </w:r>
      <w:r>
        <w:rPr>
          <w:rFonts w:hint="default" w:ascii="Times New Roman" w:hAnsi="Times New Roman" w:eastAsia="仿宋_GB2312" w:cs="Times New Roman"/>
          <w:color w:val="auto"/>
          <w:highlight w:val="none"/>
        </w:rPr>
        <w:t>2020</w:t>
      </w:r>
      <w:r>
        <w:rPr>
          <w:rFonts w:hint="eastAsia" w:ascii="微软雅黑" w:hAnsi="微软雅黑" w:eastAsia="微软雅黑" w:cs="微软雅黑"/>
          <w:color w:val="auto"/>
          <w:highlight w:val="none"/>
        </w:rPr>
        <w:t>〕</w:t>
      </w:r>
      <w:r>
        <w:rPr>
          <w:rFonts w:hint="default" w:ascii="Times New Roman" w:hAnsi="Times New Roman" w:eastAsia="仿宋_GB2312" w:cs="Times New Roman"/>
          <w:color w:val="auto"/>
          <w:highlight w:val="none"/>
        </w:rPr>
        <w:t>85号和《2020年四川省应急管理信息化工作要点》要求，结合自身特点，完成应急指挥中心相关配套设施建设，为相关领导指挥处置突发事件，开展有关部门联合会商提供支撑保障。针对目前应急管理工作防的差、抗的弱、救的难、信息散的问题，拟通过建立应急管理信息化服务体系，实现部</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highlight w:val="none"/>
        </w:rPr>
        <w:t>省一市一县</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highlight w:val="none"/>
        </w:rPr>
        <w:t>乡全国五级应急体系上下贯通、左右协同、数据共享、高效调度，实现扁平化、一体化指挥作战。</w:t>
      </w:r>
    </w:p>
    <w:p>
      <w:pPr>
        <w:pStyle w:val="5"/>
        <w:keepNext w:val="0"/>
        <w:keepLines w:val="0"/>
        <w:pageBreakBefore w:val="0"/>
        <w:widowControl w:val="0"/>
        <w:kinsoku/>
        <w:wordWrap/>
        <w:overflowPunct/>
        <w:topLinePunct w:val="0"/>
        <w:autoSpaceDE/>
        <w:autoSpaceDN/>
        <w:bidi w:val="0"/>
        <w:adjustRightInd/>
        <w:snapToGrid/>
        <w:spacing w:after="0" w:line="580" w:lineRule="exact"/>
        <w:ind w:right="0" w:firstLine="640"/>
        <w:textAlignment w:val="auto"/>
        <w:rPr>
          <w:rFonts w:hint="default" w:ascii="Times New Roman" w:hAnsi="Times New Roman" w:eastAsia="仿宋_GB2312" w:cs="Times New Roman"/>
          <w:color w:val="auto"/>
          <w:highlight w:val="none"/>
          <w:lang w:val="en-US" w:eastAsia="zh-CN"/>
        </w:rPr>
      </w:pPr>
      <w:r>
        <w:rPr>
          <w:rFonts w:hint="default" w:ascii="Times New Roman" w:hAnsi="Times New Roman" w:eastAsia="仿宋_GB2312" w:cs="Times New Roman"/>
          <w:color w:val="auto"/>
          <w:highlight w:val="none"/>
        </w:rPr>
        <w:t>2022年1月19日，德阳市新冠肺炎本土疫情处置应急演练在罗江区进行，演练过程中暴露出</w:t>
      </w:r>
      <w:r>
        <w:rPr>
          <w:rFonts w:hint="eastAsia" w:ascii="Times New Roman" w:hAnsi="Times New Roman" w:cs="Times New Roman"/>
          <w:color w:val="auto"/>
          <w:highlight w:val="none"/>
          <w:lang w:val="en-US" w:eastAsia="zh-CN"/>
        </w:rPr>
        <w:t>该</w:t>
      </w:r>
      <w:r>
        <w:rPr>
          <w:rFonts w:hint="default" w:ascii="Times New Roman" w:hAnsi="Times New Roman" w:eastAsia="仿宋_GB2312" w:cs="Times New Roman"/>
          <w:color w:val="auto"/>
          <w:highlight w:val="none"/>
        </w:rPr>
        <w:t>区疫情防控信息化调度手段存在明显短板，尚不能满足疫情防控的相关要求。因此，急需解决应急指挥调度信息化短板，为尽快满足疫情防控信息化需求，拟通过购买服务方式提升罗江区</w:t>
      </w:r>
      <w:r>
        <w:rPr>
          <w:rFonts w:hint="eastAsia" w:ascii="Times New Roman" w:hAnsi="Times New Roman" w:cs="Times New Roman"/>
          <w:color w:val="auto"/>
          <w:highlight w:val="none"/>
          <w:lang w:val="en-US" w:eastAsia="zh-CN"/>
        </w:rPr>
        <w:t>疫情防控快处能力。</w:t>
      </w:r>
    </w:p>
    <w:p>
      <w:pPr>
        <w:pStyle w:val="4"/>
        <w:spacing w:before="0" w:after="0" w:line="580" w:lineRule="exact"/>
        <w:ind w:firstLine="643"/>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2.立项依据</w:t>
      </w:r>
    </w:p>
    <w:p>
      <w:pPr>
        <w:spacing w:line="580" w:lineRule="exact"/>
        <w:ind w:firstLine="640"/>
        <w:rPr>
          <w:rFonts w:hint="default" w:ascii="Times New Roman" w:hAnsi="Times New Roman" w:cs="Times New Roman"/>
          <w:color w:val="auto"/>
          <w:szCs w:val="40"/>
          <w:highlight w:val="none"/>
        </w:rPr>
      </w:pPr>
      <w:r>
        <w:rPr>
          <w:rFonts w:hint="default" w:ascii="Times New Roman" w:hAnsi="Times New Roman" w:cs="Times New Roman"/>
          <w:color w:val="auto"/>
          <w:szCs w:val="40"/>
          <w:highlight w:val="none"/>
        </w:rPr>
        <w:t>评价小组结合德阳市罗江区</w:t>
      </w:r>
      <w:r>
        <w:rPr>
          <w:rFonts w:hint="eastAsia" w:ascii="Times New Roman" w:hAnsi="Times New Roman" w:cs="Times New Roman"/>
          <w:color w:val="auto"/>
          <w:szCs w:val="40"/>
          <w:highlight w:val="none"/>
          <w:lang w:val="en-US" w:eastAsia="zh-CN"/>
        </w:rPr>
        <w:t>行政审批局</w:t>
      </w:r>
      <w:r>
        <w:rPr>
          <w:rFonts w:hint="default" w:ascii="Times New Roman" w:hAnsi="Times New Roman" w:cs="Times New Roman"/>
          <w:color w:val="auto"/>
          <w:szCs w:val="40"/>
          <w:highlight w:val="none"/>
        </w:rPr>
        <w:t>职能职责，对项目单位提供的工作通知、工作计划等项目相关立项依据资料进行了收集、整理和分析，符合本项目特征和管理要求的立项依据如下：</w:t>
      </w:r>
    </w:p>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表1-1 项目立项依据清单</w:t>
      </w:r>
    </w:p>
    <w:tbl>
      <w:tblPr>
        <w:tblStyle w:val="13"/>
        <w:tblW w:w="8875" w:type="dxa"/>
        <w:tblInd w:w="0" w:type="dxa"/>
        <w:tblLayout w:type="fixed"/>
        <w:tblCellMar>
          <w:top w:w="0" w:type="dxa"/>
          <w:left w:w="0" w:type="dxa"/>
          <w:bottom w:w="0" w:type="dxa"/>
          <w:right w:w="0" w:type="dxa"/>
        </w:tblCellMar>
      </w:tblPr>
      <w:tblGrid>
        <w:gridCol w:w="550"/>
        <w:gridCol w:w="8325"/>
      </w:tblGrid>
      <w:tr>
        <w:tblPrEx>
          <w:tblCellMar>
            <w:top w:w="0" w:type="dxa"/>
            <w:left w:w="0" w:type="dxa"/>
            <w:bottom w:w="0" w:type="dxa"/>
            <w:right w:w="0" w:type="dxa"/>
          </w:tblCellMar>
        </w:tblPrEx>
        <w:trPr>
          <w:trHeight w:val="285"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序号</w:t>
            </w:r>
          </w:p>
        </w:tc>
        <w:tc>
          <w:tcPr>
            <w:tcW w:w="83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文件名称</w:t>
            </w:r>
          </w:p>
        </w:tc>
      </w:tr>
      <w:tr>
        <w:tblPrEx>
          <w:tblCellMar>
            <w:top w:w="0" w:type="dxa"/>
            <w:left w:w="0" w:type="dxa"/>
            <w:bottom w:w="0" w:type="dxa"/>
            <w:right w:w="0" w:type="dxa"/>
          </w:tblCellMar>
        </w:tblPrEx>
        <w:trPr>
          <w:trHeight w:val="285"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1</w:t>
            </w:r>
          </w:p>
        </w:tc>
        <w:tc>
          <w:tcPr>
            <w:tcW w:w="83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四川省《突发公共卫生事件应急条例》实施办法</w:t>
            </w:r>
          </w:p>
        </w:tc>
      </w:tr>
      <w:tr>
        <w:tblPrEx>
          <w:tblCellMar>
            <w:top w:w="0" w:type="dxa"/>
            <w:left w:w="0" w:type="dxa"/>
            <w:bottom w:w="0" w:type="dxa"/>
            <w:right w:w="0" w:type="dxa"/>
          </w:tblCellMar>
        </w:tblPrEx>
        <w:trPr>
          <w:trHeight w:val="9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2</w:t>
            </w:r>
          </w:p>
        </w:tc>
        <w:tc>
          <w:tcPr>
            <w:tcW w:w="8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ind w:firstLine="0" w:firstLineChars="0"/>
              <w:rPr>
                <w:rFonts w:hint="default" w:ascii="Times New Roman" w:hAnsi="Times New Roman" w:cs="Times New Roman"/>
                <w:color w:val="auto"/>
                <w:sz w:val="24"/>
                <w:highlight w:val="none"/>
              </w:rPr>
            </w:pPr>
            <w:r>
              <w:rPr>
                <w:rFonts w:hint="default" w:ascii="Times New Roman" w:hAnsi="Times New Roman" w:cs="Times New Roman"/>
                <w:color w:val="auto"/>
                <w:spacing w:val="-2"/>
                <w:sz w:val="24"/>
                <w:highlight w:val="none"/>
              </w:rPr>
              <w:t>德阳市</w:t>
            </w:r>
            <w:r>
              <w:rPr>
                <w:rFonts w:hint="eastAsia" w:ascii="Times New Roman" w:hAnsi="Times New Roman" w:cs="Times New Roman"/>
                <w:color w:val="auto"/>
                <w:spacing w:val="-2"/>
                <w:sz w:val="24"/>
                <w:highlight w:val="none"/>
                <w:lang w:val="en-US" w:eastAsia="zh-CN"/>
              </w:rPr>
              <w:t>罗江区行政审批局《关于购买应急指挥调度运维服务有关事宜的请示</w:t>
            </w:r>
            <w:r>
              <w:rPr>
                <w:rFonts w:hint="default" w:ascii="Times New Roman" w:hAnsi="Times New Roman" w:cs="Times New Roman"/>
                <w:color w:val="auto"/>
                <w:sz w:val="24"/>
                <w:highlight w:val="none"/>
              </w:rPr>
              <w:t>》（德</w:t>
            </w:r>
            <w:r>
              <w:rPr>
                <w:rFonts w:hint="eastAsia" w:ascii="Times New Roman" w:hAnsi="Times New Roman" w:cs="Times New Roman"/>
                <w:color w:val="auto"/>
                <w:sz w:val="24"/>
                <w:highlight w:val="none"/>
                <w:lang w:val="en-US" w:eastAsia="zh-CN"/>
              </w:rPr>
              <w:t>市罗行</w:t>
            </w:r>
            <w:r>
              <w:rPr>
                <w:rFonts w:hint="default" w:ascii="Times New Roman" w:hAnsi="Times New Roman" w:cs="Times New Roman"/>
                <w:color w:val="auto"/>
                <w:sz w:val="24"/>
                <w:highlight w:val="none"/>
              </w:rPr>
              <w:t>〔</w:t>
            </w:r>
            <w:r>
              <w:rPr>
                <w:rFonts w:hint="default" w:ascii="Times New Roman" w:hAnsi="Times New Roman" w:eastAsia="Times New Roman" w:cs="Times New Roman"/>
                <w:color w:val="auto"/>
                <w:sz w:val="24"/>
                <w:highlight w:val="none"/>
              </w:rPr>
              <w:t>20</w:t>
            </w:r>
            <w:r>
              <w:rPr>
                <w:rFonts w:hint="eastAsia" w:ascii="Times New Roman" w:hAnsi="Times New Roman" w:eastAsia="宋体" w:cs="Times New Roman"/>
                <w:color w:val="auto"/>
                <w:sz w:val="24"/>
                <w:highlight w:val="none"/>
                <w:lang w:val="en-US" w:eastAsia="zh-CN"/>
              </w:rPr>
              <w:t>22</w:t>
            </w:r>
            <w:r>
              <w:rPr>
                <w:rFonts w:hint="default" w:ascii="Times New Roman" w:hAnsi="Times New Roman" w:cs="Times New Roman"/>
                <w:color w:val="auto"/>
                <w:sz w:val="24"/>
                <w:highlight w:val="none"/>
              </w:rPr>
              <w:t>〕</w:t>
            </w:r>
            <w:r>
              <w:rPr>
                <w:rFonts w:hint="eastAsia" w:ascii="Times New Roman" w:hAnsi="Times New Roman" w:cs="Times New Roman"/>
                <w:color w:val="auto"/>
                <w:sz w:val="24"/>
                <w:highlight w:val="none"/>
                <w:lang w:val="en-US" w:eastAsia="zh-CN"/>
              </w:rPr>
              <w:t>1</w:t>
            </w:r>
            <w:r>
              <w:rPr>
                <w:rFonts w:hint="default" w:ascii="Times New Roman" w:hAnsi="Times New Roman" w:cs="Times New Roman"/>
                <w:color w:val="auto"/>
                <w:sz w:val="24"/>
                <w:highlight w:val="none"/>
              </w:rPr>
              <w:t>号）</w:t>
            </w:r>
          </w:p>
        </w:tc>
      </w:tr>
      <w:tr>
        <w:tblPrEx>
          <w:tblCellMar>
            <w:top w:w="0" w:type="dxa"/>
            <w:left w:w="0" w:type="dxa"/>
            <w:bottom w:w="0" w:type="dxa"/>
            <w:right w:w="0" w:type="dxa"/>
          </w:tblCellMar>
        </w:tblPrEx>
        <w:trPr>
          <w:trHeight w:val="9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eastAsia" w:ascii="Times New Roman" w:hAnsi="Times New Roman" w:eastAsia="仿宋_GB2312" w:cs="Times New Roman"/>
                <w:color w:val="auto"/>
                <w:kern w:val="0"/>
                <w:sz w:val="24"/>
                <w:highlight w:val="none"/>
                <w:lang w:val="en-US" w:eastAsia="zh-CN" w:bidi="ar"/>
              </w:rPr>
            </w:pPr>
            <w:r>
              <w:rPr>
                <w:rFonts w:hint="eastAsia" w:ascii="Times New Roman" w:hAnsi="Times New Roman" w:cs="Times New Roman"/>
                <w:color w:val="auto"/>
                <w:kern w:val="0"/>
                <w:sz w:val="24"/>
                <w:highlight w:val="none"/>
                <w:lang w:val="en-US" w:eastAsia="zh-CN" w:bidi="ar"/>
              </w:rPr>
              <w:t>3</w:t>
            </w:r>
          </w:p>
        </w:tc>
        <w:tc>
          <w:tcPr>
            <w:tcW w:w="8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ind w:firstLine="0" w:firstLineChars="0"/>
              <w:rPr>
                <w:rFonts w:hint="default" w:ascii="Times New Roman" w:hAnsi="Times New Roman" w:cs="Times New Roman"/>
                <w:color w:val="auto"/>
                <w:spacing w:val="-2"/>
                <w:sz w:val="24"/>
                <w:highlight w:val="none"/>
              </w:rPr>
            </w:pPr>
            <w:r>
              <w:rPr>
                <w:rFonts w:hint="default" w:ascii="Times New Roman" w:hAnsi="Times New Roman" w:cs="Times New Roman"/>
                <w:color w:val="auto"/>
                <w:spacing w:val="-2"/>
                <w:sz w:val="24"/>
                <w:highlight w:val="none"/>
              </w:rPr>
              <w:t>德阳市</w:t>
            </w:r>
            <w:r>
              <w:rPr>
                <w:rFonts w:hint="eastAsia" w:ascii="Times New Roman" w:hAnsi="Times New Roman" w:cs="Times New Roman"/>
                <w:color w:val="auto"/>
                <w:spacing w:val="-2"/>
                <w:sz w:val="24"/>
                <w:highlight w:val="none"/>
                <w:lang w:val="en-US" w:eastAsia="zh-CN"/>
              </w:rPr>
              <w:t>罗江区行政审批局《关于购买应急指挥调度运维服务有关事宜的请示</w:t>
            </w:r>
            <w:r>
              <w:rPr>
                <w:rFonts w:hint="default" w:ascii="Times New Roman" w:hAnsi="Times New Roman" w:cs="Times New Roman"/>
                <w:color w:val="auto"/>
                <w:sz w:val="24"/>
                <w:highlight w:val="none"/>
              </w:rPr>
              <w:t>》（德</w:t>
            </w:r>
            <w:r>
              <w:rPr>
                <w:rFonts w:hint="eastAsia" w:ascii="Times New Roman" w:hAnsi="Times New Roman" w:cs="Times New Roman"/>
                <w:color w:val="auto"/>
                <w:sz w:val="24"/>
                <w:highlight w:val="none"/>
                <w:lang w:val="en-US" w:eastAsia="zh-CN"/>
              </w:rPr>
              <w:t>市罗行</w:t>
            </w:r>
            <w:r>
              <w:rPr>
                <w:rFonts w:hint="default" w:ascii="Times New Roman" w:hAnsi="Times New Roman" w:cs="Times New Roman"/>
                <w:color w:val="auto"/>
                <w:sz w:val="24"/>
                <w:highlight w:val="none"/>
              </w:rPr>
              <w:t>〔</w:t>
            </w:r>
            <w:r>
              <w:rPr>
                <w:rFonts w:hint="default" w:ascii="Times New Roman" w:hAnsi="Times New Roman" w:eastAsia="Times New Roman" w:cs="Times New Roman"/>
                <w:color w:val="auto"/>
                <w:sz w:val="24"/>
                <w:highlight w:val="none"/>
              </w:rPr>
              <w:t>20</w:t>
            </w:r>
            <w:r>
              <w:rPr>
                <w:rFonts w:hint="eastAsia" w:ascii="Times New Roman" w:hAnsi="Times New Roman" w:eastAsia="宋体" w:cs="Times New Roman"/>
                <w:color w:val="auto"/>
                <w:sz w:val="24"/>
                <w:highlight w:val="none"/>
                <w:lang w:val="en-US" w:eastAsia="zh-CN"/>
              </w:rPr>
              <w:t>22</w:t>
            </w:r>
            <w:r>
              <w:rPr>
                <w:rFonts w:hint="default" w:ascii="Times New Roman" w:hAnsi="Times New Roman" w:cs="Times New Roman"/>
                <w:color w:val="auto"/>
                <w:sz w:val="24"/>
                <w:highlight w:val="none"/>
              </w:rPr>
              <w:t>〕</w:t>
            </w:r>
            <w:r>
              <w:rPr>
                <w:rFonts w:hint="eastAsia" w:ascii="Times New Roman" w:hAnsi="Times New Roman" w:cs="Times New Roman"/>
                <w:color w:val="auto"/>
                <w:sz w:val="24"/>
                <w:highlight w:val="none"/>
                <w:lang w:val="en-US" w:eastAsia="zh-CN"/>
              </w:rPr>
              <w:t>2</w:t>
            </w:r>
            <w:r>
              <w:rPr>
                <w:rFonts w:hint="default" w:ascii="Times New Roman" w:hAnsi="Times New Roman" w:cs="Times New Roman"/>
                <w:color w:val="auto"/>
                <w:sz w:val="24"/>
                <w:highlight w:val="none"/>
              </w:rPr>
              <w:t>号）</w:t>
            </w:r>
          </w:p>
        </w:tc>
      </w:tr>
      <w:tr>
        <w:tblPrEx>
          <w:tblCellMar>
            <w:top w:w="0" w:type="dxa"/>
            <w:left w:w="0" w:type="dxa"/>
            <w:bottom w:w="0" w:type="dxa"/>
            <w:right w:w="0" w:type="dxa"/>
          </w:tblCellMar>
        </w:tblPrEx>
        <w:trPr>
          <w:trHeight w:val="9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eastAsia" w:ascii="Times New Roman" w:hAnsi="Times New Roman" w:eastAsia="仿宋_GB2312" w:cs="Times New Roman"/>
                <w:color w:val="auto"/>
                <w:kern w:val="0"/>
                <w:sz w:val="24"/>
                <w:highlight w:val="none"/>
                <w:lang w:val="en-US" w:eastAsia="zh-CN" w:bidi="ar"/>
              </w:rPr>
            </w:pPr>
            <w:r>
              <w:rPr>
                <w:rFonts w:hint="eastAsia" w:ascii="Times New Roman" w:hAnsi="Times New Roman" w:cs="Times New Roman"/>
                <w:color w:val="auto"/>
                <w:kern w:val="0"/>
                <w:sz w:val="24"/>
                <w:highlight w:val="none"/>
                <w:lang w:val="en-US" w:eastAsia="zh-CN" w:bidi="ar"/>
              </w:rPr>
              <w:t>4</w:t>
            </w:r>
          </w:p>
        </w:tc>
        <w:tc>
          <w:tcPr>
            <w:tcW w:w="8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ind w:firstLine="0" w:firstLineChars="0"/>
              <w:rPr>
                <w:rFonts w:hint="default" w:ascii="Times New Roman" w:hAnsi="Times New Roman" w:cs="Times New Roman"/>
                <w:color w:val="auto"/>
                <w:sz w:val="24"/>
                <w:highlight w:val="none"/>
              </w:rPr>
            </w:pPr>
            <w:r>
              <w:rPr>
                <w:rFonts w:hint="default" w:ascii="Times New Roman" w:hAnsi="Times New Roman" w:cs="Times New Roman"/>
                <w:color w:val="auto"/>
                <w:spacing w:val="-4"/>
                <w:sz w:val="24"/>
                <w:highlight w:val="none"/>
              </w:rPr>
              <w:t>德阳市罗江区</w:t>
            </w:r>
            <w:r>
              <w:rPr>
                <w:rFonts w:hint="eastAsia" w:ascii="Times New Roman" w:hAnsi="Times New Roman" w:cs="Times New Roman"/>
                <w:color w:val="auto"/>
                <w:spacing w:val="-4"/>
                <w:sz w:val="24"/>
                <w:highlight w:val="none"/>
                <w:lang w:val="en-US" w:eastAsia="zh-CN"/>
              </w:rPr>
              <w:t>司法局《关于对征求〈关于研究罗江区购买应急指挥调度运维服务有关事宜的报告〉意见的复函》</w:t>
            </w:r>
            <w:r>
              <w:rPr>
                <w:rFonts w:hint="default" w:ascii="Times New Roman" w:hAnsi="Times New Roman" w:cs="Times New Roman"/>
                <w:color w:val="auto"/>
                <w:spacing w:val="-4"/>
                <w:sz w:val="24"/>
                <w:highlight w:val="none"/>
              </w:rPr>
              <w:t>（</w:t>
            </w:r>
            <w:r>
              <w:rPr>
                <w:rFonts w:hint="default" w:ascii="Times New Roman" w:hAnsi="Times New Roman" w:cs="Times New Roman"/>
                <w:color w:val="auto"/>
                <w:sz w:val="24"/>
                <w:highlight w:val="none"/>
              </w:rPr>
              <w:t>德市罗</w:t>
            </w:r>
            <w:r>
              <w:rPr>
                <w:rFonts w:hint="eastAsia" w:ascii="Times New Roman" w:hAnsi="Times New Roman" w:cs="Times New Roman"/>
                <w:color w:val="auto"/>
                <w:sz w:val="24"/>
                <w:highlight w:val="none"/>
                <w:lang w:val="en-US" w:eastAsia="zh-CN"/>
              </w:rPr>
              <w:t>司函</w:t>
            </w:r>
            <w:r>
              <w:rPr>
                <w:rFonts w:hint="default" w:ascii="Times New Roman" w:hAnsi="Times New Roman" w:cs="Times New Roman"/>
                <w:color w:val="auto"/>
                <w:sz w:val="24"/>
                <w:highlight w:val="none"/>
              </w:rPr>
              <w:t>〔202</w:t>
            </w:r>
            <w:r>
              <w:rPr>
                <w:rFonts w:hint="eastAsia" w:ascii="Times New Roman" w:hAnsi="Times New Roman" w:cs="Times New Roman"/>
                <w:color w:val="auto"/>
                <w:sz w:val="24"/>
                <w:highlight w:val="none"/>
                <w:lang w:val="en-US" w:eastAsia="zh-CN"/>
              </w:rPr>
              <w:t>2</w:t>
            </w:r>
            <w:r>
              <w:rPr>
                <w:rFonts w:hint="default" w:ascii="Times New Roman" w:hAnsi="Times New Roman" w:cs="Times New Roman"/>
                <w:color w:val="auto"/>
                <w:sz w:val="24"/>
                <w:highlight w:val="none"/>
              </w:rPr>
              <w:t>〕2</w:t>
            </w:r>
            <w:r>
              <w:rPr>
                <w:rFonts w:hint="eastAsia" w:ascii="Times New Roman" w:hAnsi="Times New Roman" w:cs="Times New Roman"/>
                <w:color w:val="auto"/>
                <w:sz w:val="24"/>
                <w:highlight w:val="none"/>
                <w:lang w:val="en-US" w:eastAsia="zh-CN"/>
              </w:rPr>
              <w:t>3</w:t>
            </w:r>
            <w:r>
              <w:rPr>
                <w:rFonts w:hint="default" w:ascii="Times New Roman" w:hAnsi="Times New Roman" w:cs="Times New Roman"/>
                <w:color w:val="auto"/>
                <w:sz w:val="24"/>
                <w:highlight w:val="none"/>
              </w:rPr>
              <w:t>号）</w:t>
            </w:r>
          </w:p>
        </w:tc>
      </w:tr>
      <w:tr>
        <w:tblPrEx>
          <w:tblCellMar>
            <w:top w:w="0" w:type="dxa"/>
            <w:left w:w="0" w:type="dxa"/>
            <w:bottom w:w="0" w:type="dxa"/>
            <w:right w:w="0" w:type="dxa"/>
          </w:tblCellMar>
        </w:tblPrEx>
        <w:trPr>
          <w:trHeight w:val="9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eastAsia" w:ascii="Times New Roman" w:hAnsi="Times New Roman" w:eastAsia="仿宋_GB2312" w:cs="Times New Roman"/>
                <w:color w:val="auto"/>
                <w:kern w:val="0"/>
                <w:sz w:val="24"/>
                <w:highlight w:val="none"/>
                <w:lang w:val="en-US" w:eastAsia="zh-CN" w:bidi="ar"/>
              </w:rPr>
            </w:pPr>
            <w:r>
              <w:rPr>
                <w:rFonts w:hint="eastAsia" w:ascii="Times New Roman" w:hAnsi="Times New Roman" w:cs="Times New Roman"/>
                <w:color w:val="auto"/>
                <w:kern w:val="0"/>
                <w:sz w:val="24"/>
                <w:highlight w:val="none"/>
                <w:lang w:val="en-US" w:eastAsia="zh-CN" w:bidi="ar"/>
              </w:rPr>
              <w:t>5</w:t>
            </w:r>
          </w:p>
        </w:tc>
        <w:tc>
          <w:tcPr>
            <w:tcW w:w="8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ind w:firstLine="0" w:firstLineChars="0"/>
              <w:rPr>
                <w:rFonts w:hint="default" w:ascii="Times New Roman" w:hAnsi="Times New Roman" w:cs="Times New Roman"/>
                <w:color w:val="auto"/>
                <w:sz w:val="24"/>
                <w:highlight w:val="none"/>
              </w:rPr>
            </w:pPr>
            <w:r>
              <w:rPr>
                <w:rFonts w:hint="default" w:ascii="Times New Roman" w:hAnsi="Times New Roman" w:cs="Times New Roman"/>
                <w:color w:val="auto"/>
                <w:spacing w:val="-4"/>
                <w:sz w:val="24"/>
                <w:highlight w:val="none"/>
              </w:rPr>
              <w:t>德阳市罗江区</w:t>
            </w:r>
            <w:r>
              <w:rPr>
                <w:rFonts w:hint="eastAsia" w:ascii="Times New Roman" w:hAnsi="Times New Roman" w:cs="Times New Roman"/>
                <w:color w:val="auto"/>
                <w:spacing w:val="-4"/>
                <w:sz w:val="24"/>
                <w:highlight w:val="none"/>
                <w:lang w:val="en-US" w:eastAsia="zh-CN"/>
              </w:rPr>
              <w:t>财政局《关于征求〈关于研究罗江区购买应急指挥调度运维服务有关事宜的报告〉意见建议的复函》</w:t>
            </w:r>
            <w:r>
              <w:rPr>
                <w:rFonts w:hint="default" w:ascii="Times New Roman" w:hAnsi="Times New Roman" w:cs="Times New Roman"/>
                <w:color w:val="auto"/>
                <w:spacing w:val="-4"/>
                <w:sz w:val="24"/>
                <w:highlight w:val="none"/>
              </w:rPr>
              <w:t>（</w:t>
            </w:r>
            <w:r>
              <w:rPr>
                <w:rFonts w:hint="default" w:ascii="Times New Roman" w:hAnsi="Times New Roman" w:cs="Times New Roman"/>
                <w:color w:val="auto"/>
                <w:sz w:val="24"/>
                <w:highlight w:val="none"/>
              </w:rPr>
              <w:t>德市罗</w:t>
            </w:r>
            <w:r>
              <w:rPr>
                <w:rFonts w:hint="eastAsia" w:ascii="Times New Roman" w:hAnsi="Times New Roman" w:cs="Times New Roman"/>
                <w:color w:val="auto"/>
                <w:sz w:val="24"/>
                <w:highlight w:val="none"/>
                <w:lang w:val="en-US" w:eastAsia="zh-CN"/>
              </w:rPr>
              <w:t>财函</w:t>
            </w:r>
            <w:r>
              <w:rPr>
                <w:rFonts w:hint="default" w:ascii="Times New Roman" w:hAnsi="Times New Roman" w:cs="Times New Roman"/>
                <w:color w:val="auto"/>
                <w:sz w:val="24"/>
                <w:highlight w:val="none"/>
              </w:rPr>
              <w:t>〔202</w:t>
            </w:r>
            <w:r>
              <w:rPr>
                <w:rFonts w:hint="eastAsia" w:ascii="Times New Roman" w:hAnsi="Times New Roman" w:cs="Times New Roman"/>
                <w:color w:val="auto"/>
                <w:sz w:val="24"/>
                <w:highlight w:val="none"/>
                <w:lang w:val="en-US" w:eastAsia="zh-CN"/>
              </w:rPr>
              <w:t>2</w:t>
            </w:r>
            <w:r>
              <w:rPr>
                <w:rFonts w:hint="default" w:ascii="Times New Roman" w:hAnsi="Times New Roman" w:cs="Times New Roman"/>
                <w:color w:val="auto"/>
                <w:sz w:val="24"/>
                <w:highlight w:val="none"/>
              </w:rPr>
              <w:t>〕</w:t>
            </w:r>
            <w:r>
              <w:rPr>
                <w:rFonts w:hint="eastAsia" w:ascii="Times New Roman" w:hAnsi="Times New Roman" w:cs="Times New Roman"/>
                <w:color w:val="auto"/>
                <w:sz w:val="24"/>
                <w:highlight w:val="none"/>
                <w:lang w:val="en-US" w:eastAsia="zh-CN"/>
              </w:rPr>
              <w:t>79</w:t>
            </w:r>
            <w:r>
              <w:rPr>
                <w:rFonts w:hint="default" w:ascii="Times New Roman" w:hAnsi="Times New Roman" w:cs="Times New Roman"/>
                <w:color w:val="auto"/>
                <w:sz w:val="24"/>
                <w:highlight w:val="none"/>
              </w:rPr>
              <w:t>号）</w:t>
            </w:r>
          </w:p>
        </w:tc>
      </w:tr>
      <w:tr>
        <w:tblPrEx>
          <w:tblCellMar>
            <w:top w:w="0" w:type="dxa"/>
            <w:left w:w="0" w:type="dxa"/>
            <w:bottom w:w="0" w:type="dxa"/>
            <w:right w:w="0" w:type="dxa"/>
          </w:tblCellMar>
        </w:tblPrEx>
        <w:trPr>
          <w:trHeight w:val="9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kern w:val="0"/>
                <w:sz w:val="24"/>
                <w:highlight w:val="none"/>
                <w:lang w:val="en-US" w:eastAsia="zh-CN" w:bidi="ar"/>
              </w:rPr>
            </w:pPr>
            <w:r>
              <w:rPr>
                <w:rFonts w:hint="eastAsia" w:ascii="Times New Roman" w:hAnsi="Times New Roman" w:cs="Times New Roman"/>
                <w:color w:val="auto"/>
                <w:kern w:val="0"/>
                <w:sz w:val="24"/>
                <w:highlight w:val="none"/>
                <w:lang w:val="en-US" w:eastAsia="zh-CN" w:bidi="ar"/>
              </w:rPr>
              <w:t>6</w:t>
            </w:r>
          </w:p>
        </w:tc>
        <w:tc>
          <w:tcPr>
            <w:tcW w:w="8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ind w:firstLine="0" w:firstLineChars="0"/>
              <w:rPr>
                <w:rFonts w:hint="default" w:ascii="Times New Roman" w:hAnsi="Times New Roman" w:cs="Times New Roman"/>
                <w:color w:val="auto"/>
                <w:spacing w:val="-4"/>
                <w:sz w:val="24"/>
                <w:highlight w:val="none"/>
              </w:rPr>
            </w:pPr>
            <w:r>
              <w:rPr>
                <w:rFonts w:hint="default" w:ascii="Times New Roman" w:hAnsi="Times New Roman" w:cs="Times New Roman"/>
                <w:color w:val="auto"/>
                <w:spacing w:val="-4"/>
                <w:sz w:val="24"/>
                <w:highlight w:val="none"/>
              </w:rPr>
              <w:t>德阳市</w:t>
            </w:r>
            <w:r>
              <w:rPr>
                <w:rFonts w:hint="eastAsia" w:ascii="Times New Roman" w:hAnsi="Times New Roman" w:cs="Times New Roman"/>
                <w:color w:val="auto"/>
                <w:spacing w:val="-4"/>
                <w:sz w:val="24"/>
                <w:highlight w:val="none"/>
                <w:lang w:val="en-US" w:eastAsia="zh-CN"/>
              </w:rPr>
              <w:t>罗江区应急管理局《关于对征求〈关于研究罗江区购买应急指挥调度运维服务有关事宜的报告〉意见建议的复函》</w:t>
            </w:r>
          </w:p>
        </w:tc>
      </w:tr>
      <w:tr>
        <w:tblPrEx>
          <w:tblCellMar>
            <w:top w:w="0" w:type="dxa"/>
            <w:left w:w="0" w:type="dxa"/>
            <w:bottom w:w="0" w:type="dxa"/>
            <w:right w:w="0" w:type="dxa"/>
          </w:tblCellMar>
        </w:tblPrEx>
        <w:trPr>
          <w:trHeight w:val="285"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eastAsia"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7</w:t>
            </w:r>
          </w:p>
        </w:tc>
        <w:tc>
          <w:tcPr>
            <w:tcW w:w="83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rPr>
                <w:rFonts w:hint="default" w:ascii="Times New Roman" w:hAnsi="Times New Roman" w:cs="Times New Roman"/>
                <w:color w:val="auto"/>
                <w:sz w:val="24"/>
                <w:highlight w:val="none"/>
              </w:rPr>
            </w:pPr>
            <w:r>
              <w:rPr>
                <w:rFonts w:hint="default" w:ascii="Times New Roman" w:hAnsi="Times New Roman" w:cs="Times New Roman"/>
                <w:color w:val="auto"/>
                <w:spacing w:val="-4"/>
                <w:sz w:val="24"/>
                <w:highlight w:val="none"/>
              </w:rPr>
              <w:t>《德阳市罗江区</w:t>
            </w:r>
            <w:r>
              <w:rPr>
                <w:rFonts w:hint="eastAsia" w:ascii="Times New Roman" w:hAnsi="Times New Roman" w:cs="Times New Roman"/>
                <w:color w:val="auto"/>
                <w:spacing w:val="-4"/>
                <w:sz w:val="24"/>
                <w:highlight w:val="none"/>
                <w:lang w:val="en-US" w:eastAsia="zh-CN"/>
              </w:rPr>
              <w:t>行政审批局</w:t>
            </w:r>
            <w:r>
              <w:rPr>
                <w:rFonts w:hint="default" w:ascii="Times New Roman" w:hAnsi="Times New Roman" w:cs="Times New Roman"/>
                <w:color w:val="auto"/>
                <w:spacing w:val="-4"/>
                <w:sz w:val="24"/>
                <w:highlight w:val="none"/>
              </w:rPr>
              <w:t>职能职责》</w:t>
            </w:r>
          </w:p>
        </w:tc>
      </w:tr>
    </w:tbl>
    <w:p>
      <w:pPr>
        <w:pStyle w:val="3"/>
        <w:spacing w:before="312" w:beforeLines="100"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3" w:name="_Toc18903"/>
      <w:r>
        <w:rPr>
          <w:rFonts w:hint="default" w:ascii="Times New Roman" w:hAnsi="Times New Roman" w:eastAsia="楷体_GB2312" w:cs="Times New Roman"/>
          <w:color w:val="auto"/>
          <w:sz w:val="32"/>
          <w:szCs w:val="32"/>
          <w:highlight w:val="none"/>
        </w:rPr>
        <w:t>（二）项目参与主体职能职责</w:t>
      </w:r>
      <w:bookmarkEnd w:id="3"/>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szCs w:val="32"/>
          <w:highlight w:val="none"/>
        </w:rPr>
      </w:pPr>
      <w:r>
        <w:rPr>
          <w:rFonts w:hint="eastAsia" w:ascii="Times New Roman" w:hAnsi="Times New Roman" w:eastAsia="宋体" w:cs="Times New Roman"/>
          <w:color w:val="auto"/>
          <w:highlight w:val="none"/>
          <w:lang w:eastAsia="zh-CN"/>
        </w:rPr>
        <w:t>2022</w:t>
      </w:r>
      <w:r>
        <w:rPr>
          <w:rFonts w:hint="default" w:ascii="Times New Roman" w:hAnsi="Times New Roman" w:cs="Times New Roman"/>
          <w:color w:val="auto"/>
          <w:highlight w:val="none"/>
        </w:rPr>
        <w:t>年德阳市罗江区</w:t>
      </w:r>
      <w:r>
        <w:rPr>
          <w:rFonts w:hint="eastAsia" w:ascii="Times New Roman" w:hAnsi="Times New Roman" w:cs="Times New Roman"/>
          <w:color w:val="auto"/>
          <w:highlight w:val="none"/>
          <w:lang w:val="en-US" w:eastAsia="zh-CN"/>
        </w:rPr>
        <w:t>行政审批局</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应急指挥运营服务采购项目</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其他</w:t>
      </w:r>
      <w:r>
        <w:rPr>
          <w:rFonts w:hint="default" w:ascii="Times New Roman" w:hAnsi="Times New Roman" w:cs="Times New Roman"/>
          <w:color w:val="auto"/>
          <w:highlight w:val="none"/>
          <w:lang w:eastAsia="zh-CN"/>
        </w:rPr>
        <w:t>参与主体主要包括德阳市罗江区</w:t>
      </w:r>
      <w:r>
        <w:rPr>
          <w:rFonts w:hint="default" w:ascii="Times New Roman" w:hAnsi="Times New Roman" w:cs="Times New Roman"/>
          <w:color w:val="auto"/>
          <w:highlight w:val="none"/>
        </w:rPr>
        <w:t>财</w:t>
      </w:r>
      <w:r>
        <w:rPr>
          <w:rFonts w:hint="default" w:ascii="Times New Roman" w:hAnsi="Times New Roman" w:cs="Times New Roman"/>
          <w:color w:val="auto"/>
          <w:spacing w:val="-14"/>
          <w:highlight w:val="none"/>
        </w:rPr>
        <w:t>政局、德阳</w:t>
      </w:r>
      <w:r>
        <w:rPr>
          <w:rFonts w:hint="default" w:ascii="Times New Roman" w:hAnsi="Times New Roman" w:cs="Times New Roman"/>
          <w:color w:val="auto"/>
          <w:spacing w:val="-2"/>
          <w:highlight w:val="none"/>
        </w:rPr>
        <w:t>市罗江区</w:t>
      </w:r>
      <w:r>
        <w:rPr>
          <w:rFonts w:hint="eastAsia" w:ascii="Times New Roman" w:hAnsi="Times New Roman" w:cs="Times New Roman"/>
          <w:color w:val="auto"/>
          <w:spacing w:val="-2"/>
          <w:highlight w:val="none"/>
          <w:lang w:val="en-US" w:eastAsia="zh-CN"/>
        </w:rPr>
        <w:t>司法</w:t>
      </w:r>
      <w:r>
        <w:rPr>
          <w:rFonts w:hint="default" w:ascii="Times New Roman" w:hAnsi="Times New Roman" w:cs="Times New Roman"/>
          <w:color w:val="auto"/>
          <w:spacing w:val="-14"/>
          <w:highlight w:val="none"/>
        </w:rPr>
        <w:t>局、</w:t>
      </w:r>
      <w:r>
        <w:rPr>
          <w:rFonts w:hint="eastAsia" w:ascii="Times New Roman" w:hAnsi="Times New Roman" w:cs="Times New Roman"/>
          <w:color w:val="auto"/>
          <w:spacing w:val="-14"/>
          <w:highlight w:val="none"/>
          <w:lang w:val="en-US" w:eastAsia="zh-CN"/>
        </w:rPr>
        <w:t>德阳市罗江区应急管理局</w:t>
      </w:r>
      <w:r>
        <w:rPr>
          <w:rFonts w:hint="default" w:ascii="Times New Roman" w:hAnsi="Times New Roman" w:cs="Times New Roman"/>
          <w:color w:val="auto"/>
          <w:szCs w:val="32"/>
          <w:highlight w:val="none"/>
        </w:rPr>
        <w:t>。各参与主体承担的主要职能职责如下：</w:t>
      </w:r>
    </w:p>
    <w:p>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rPr>
        <w:t>1.德阳市罗江区财政局：指导、监督和管理预算编制的具体工作；批复预算；负责预算绩效管理工作的组织实施，指导督促预算单位设定绩效目标、实施绩效跟踪、开展绩效评价；贯彻落实中央、省、市相关财政政策规定；负责项目资金调度、平衡相关部门的资金协调；监督项目资金的使用。</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2.德阳市罗江</w:t>
      </w:r>
      <w:r>
        <w:rPr>
          <w:rFonts w:hint="eastAsia" w:ascii="Times New Roman" w:hAnsi="Times New Roman" w:cs="Times New Roman"/>
          <w:color w:val="auto"/>
          <w:highlight w:val="none"/>
          <w:lang w:val="en-US" w:eastAsia="zh-CN"/>
        </w:rPr>
        <w:t>司法</w:t>
      </w:r>
      <w:r>
        <w:rPr>
          <w:rFonts w:hint="default" w:ascii="Times New Roman" w:hAnsi="Times New Roman" w:cs="Times New Roman"/>
          <w:color w:val="auto"/>
          <w:highlight w:val="none"/>
        </w:rPr>
        <w:t>局：贯彻执行国家、省、市关于司法行政工作的方针、政策和</w:t>
      </w:r>
      <w:r>
        <w:rPr>
          <w:rFonts w:hint="eastAsia" w:ascii="Times New Roman" w:hAnsi="Times New Roman" w:cs="Times New Roman"/>
          <w:color w:val="auto"/>
          <w:highlight w:val="none"/>
          <w:lang w:eastAsia="zh-CN"/>
        </w:rPr>
        <w:t>法律法规</w:t>
      </w:r>
      <w:r>
        <w:rPr>
          <w:rFonts w:hint="default" w:ascii="Times New Roman" w:hAnsi="Times New Roman" w:cs="Times New Roman"/>
          <w:color w:val="auto"/>
          <w:highlight w:val="none"/>
        </w:rPr>
        <w:t>、规章，编制司法行政工作中长期规划、年度工作计划并组织实施。承担全面依法治区重大问题的政策研究，牵头提出全面依法治区规划建议，负责有关重大决策部署督查工作</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负责区政府规范性文件、重大行政决策发布前的合法性审查</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承担政府合同管理工作职责，负责区政府重要合同的审查，办理区级部门、镇人民政府合同备案审查，组织开展政府合同履行风险评估</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rPr>
        <w:t>负责本系统行政审批和公共服务事项工作</w:t>
      </w:r>
      <w:r>
        <w:rPr>
          <w:rFonts w:hint="eastAsia" w:ascii="Times New Roman" w:hAnsi="Times New Roman" w:cs="Times New Roman"/>
          <w:color w:val="auto"/>
          <w:highlight w:val="none"/>
          <w:lang w:val="en-US" w:eastAsia="zh-CN"/>
        </w:rPr>
        <w:t>等</w:t>
      </w:r>
      <w:r>
        <w:rPr>
          <w:rFonts w:hint="eastAsia" w:ascii="Times New Roman" w:hAnsi="Times New Roman" w:cs="Times New Roman"/>
          <w:color w:val="auto"/>
          <w:highlight w:val="none"/>
        </w:rPr>
        <w:t>。</w:t>
      </w:r>
    </w:p>
    <w:p>
      <w:pPr>
        <w:spacing w:line="580" w:lineRule="exact"/>
        <w:ind w:firstLine="640"/>
        <w:rPr>
          <w:rFonts w:hint="default" w:ascii="Times New Roman" w:hAnsi="Times New Roman" w:eastAsia="仿宋_GB2312" w:cs="Times New Roman"/>
          <w:color w:val="auto"/>
          <w:highlight w:val="none"/>
          <w:lang w:val="en-US" w:eastAsia="zh-CN"/>
        </w:rPr>
      </w:pPr>
      <w:r>
        <w:rPr>
          <w:rFonts w:hint="default" w:ascii="Times New Roman" w:hAnsi="Times New Roman" w:cs="Times New Roman"/>
          <w:color w:val="auto"/>
          <w:highlight w:val="none"/>
        </w:rPr>
        <w:t>3.德阳市罗江区</w:t>
      </w:r>
      <w:r>
        <w:rPr>
          <w:rFonts w:hint="eastAsia" w:ascii="Times New Roman" w:hAnsi="Times New Roman" w:cs="Times New Roman"/>
          <w:color w:val="auto"/>
          <w:highlight w:val="none"/>
          <w:lang w:val="en-US" w:eastAsia="zh-CN"/>
        </w:rPr>
        <w:t>应急管理局</w:t>
      </w:r>
      <w:r>
        <w:rPr>
          <w:rFonts w:hint="default" w:ascii="Times New Roman" w:hAnsi="Times New Roman" w:cs="Times New Roman"/>
          <w:color w:val="auto"/>
          <w:highlight w:val="none"/>
        </w:rPr>
        <w:t>：负责全区应急管理工作，组织和指导各镇、经开区、各部门（单位）应对安全生产类、自然灾害类等突发事件和综合防灾减灾救灾工作</w:t>
      </w:r>
      <w:r>
        <w:rPr>
          <w:rFonts w:hint="eastAsia" w:ascii="Times New Roman" w:hAnsi="Times New Roman" w:cs="Times New Roman"/>
          <w:color w:val="auto"/>
          <w:highlight w:val="none"/>
          <w:lang w:eastAsia="zh-CN"/>
        </w:rPr>
        <w:t>；拟订全区应急管理、安全生产等政策措施，组织编制德阳市罗江区应急体系建设、安全生产和综合防灾减灾规划；负责组织指导全区应急预案体系建设，建立完善事故灾难和自然灾害分级应对制度，牵头组织编制区综合应急防灾减灾预案和安全生产类、自然灾害类专项预案，负责应急预案衔接工作，组织开展预案演练并落实，推动应急避难设施建设；牵头建立统一的应急管理信息系统，建立监测预警和灾情报告制度，健全自然灾害信息资源获取和共享机制，依法统一发布灾情；负责督促全区自然灾害综合监测预警工作；按照分级、属地原则，指导行业主管部门开展全区工矿商贸生产经营单位贯彻执行安全生产法律法规情况及其安全生产条件和有关设备（特种设备除外）、材料、劳动防护用品的安全生产管理工作</w:t>
      </w:r>
      <w:r>
        <w:rPr>
          <w:rFonts w:hint="eastAsia" w:ascii="Times New Roman" w:hAnsi="Times New Roman" w:cs="Times New Roman"/>
          <w:color w:val="auto"/>
          <w:highlight w:val="none"/>
          <w:lang w:val="en-US" w:eastAsia="zh-CN"/>
        </w:rPr>
        <w:t>等。</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4" w:name="_Toc9226"/>
      <w:r>
        <w:rPr>
          <w:rFonts w:hint="default" w:ascii="Times New Roman" w:hAnsi="Times New Roman" w:eastAsia="楷体_GB2312" w:cs="Times New Roman"/>
          <w:color w:val="auto"/>
          <w:sz w:val="32"/>
          <w:szCs w:val="32"/>
          <w:highlight w:val="none"/>
        </w:rPr>
        <w:t>（三）项目绩效目标</w:t>
      </w:r>
      <w:bookmarkEnd w:id="4"/>
    </w:p>
    <w:p>
      <w:pPr>
        <w:spacing w:line="580" w:lineRule="exact"/>
        <w:ind w:firstLine="640"/>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1.项目总目标</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通过购买服务，利用罗江区公安分局5楼323.8平方米的场所作为罗江区应急指挥调度中心，包含应急指挥大屏、联勤操作席位、快处中心、观摩区、会商室、茶水间等功能区建设，同时配备必要的信息化软、硬件设施设备，实现应急指挥、项目调度、新冠疫情防控等多功能。与服务提供方协定运维费用不超过768.00万元。首次</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2022年</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支付在履约验收合格后，支付总价款的40%</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不超过307.2万元</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的服务费，第二年</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2023</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支付总价款的30%</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不超过230.4万元</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的服务费，第三年</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2024</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支付总价款的30%</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不超过230.4万元</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的服务费。</w:t>
      </w:r>
    </w:p>
    <w:p>
      <w:pPr>
        <w:spacing w:line="580" w:lineRule="exact"/>
        <w:ind w:firstLine="640"/>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2.年度绩效目标及指标分解</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绩效评价小组对</w:t>
      </w:r>
      <w:r>
        <w:rPr>
          <w:rFonts w:hint="default" w:ascii="Times New Roman" w:hAnsi="Times New Roman" w:cs="Times New Roman"/>
          <w:color w:val="auto"/>
          <w:highlight w:val="none"/>
        </w:rPr>
        <w:t>《四川省应急管理信息化发展规划（2020</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2022年）》（川急〔2020〕85号）、《2020年四川省应急管理信息化工作要点》</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德阳市罗江区政府投资建设项目推进办公室《关于研究罗江区购买应急指挥调度运维服务有关事宜的通知》（德市罗项目推进办函2022-5号）以及</w:t>
      </w:r>
      <w:r>
        <w:rPr>
          <w:rFonts w:hint="default" w:ascii="Times New Roman" w:hAnsi="Times New Roman" w:cs="Times New Roman"/>
          <w:color w:val="auto"/>
          <w:highlight w:val="none"/>
        </w:rPr>
        <w:t>德阳市罗江区人民政府办公室关于印发</w:t>
      </w:r>
      <w:r>
        <w:rPr>
          <w:rFonts w:hint="eastAsia" w:ascii="Times New Roman" w:hAnsi="Times New Roman" w:cs="Times New Roman"/>
          <w:color w:val="auto"/>
          <w:highlight w:val="none"/>
          <w:lang w:eastAsia="zh-CN"/>
        </w:rPr>
        <w:t>《德阳市罗江区财政局关于开展2022年重点绩效评价工作的通知》（德市罗财绩〔2023〕6号）</w:t>
      </w:r>
      <w:r>
        <w:rPr>
          <w:rFonts w:hint="default" w:ascii="Times New Roman" w:hAnsi="Times New Roman" w:cs="Times New Roman"/>
          <w:color w:val="auto"/>
          <w:highlight w:val="none"/>
        </w:rPr>
        <w:t>、项目资金测算明细、《政府采购合同》</w:t>
      </w:r>
      <w:r>
        <w:rPr>
          <w:rFonts w:hint="eastAsia" w:ascii="Times New Roman" w:hAnsi="Times New Roman" w:cs="Times New Roman"/>
          <w:color w:val="auto"/>
          <w:highlight w:val="none"/>
          <w:lang w:val="en-US" w:eastAsia="zh-CN"/>
        </w:rPr>
        <w:t>以及《绩效目标申报表》</w:t>
      </w:r>
      <w:r>
        <w:rPr>
          <w:rFonts w:hint="default" w:ascii="Times New Roman" w:hAnsi="Times New Roman" w:cs="Times New Roman"/>
          <w:color w:val="auto"/>
          <w:szCs w:val="32"/>
          <w:highlight w:val="none"/>
        </w:rPr>
        <w:t>等项目相关材料进行了梳理、分析和充分讨论，对本项目应当达到的产出（数量、质量、时效、成本）和效益（社会效益、满意度、可持续影响力）指标进行了细化分解，具体如下：</w:t>
      </w:r>
    </w:p>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表1-2 项目年度绩效目标分解表</w:t>
      </w:r>
    </w:p>
    <w:tbl>
      <w:tblPr>
        <w:tblStyle w:val="13"/>
        <w:tblW w:w="88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1"/>
        <w:gridCol w:w="1139"/>
        <w:gridCol w:w="3251"/>
        <w:gridCol w:w="1516"/>
        <w:gridCol w:w="1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blHeader/>
        </w:trPr>
        <w:tc>
          <w:tcPr>
            <w:tcW w:w="1271" w:type="dxa"/>
            <w:tcBorders>
              <w:tl2br w:val="nil"/>
              <w:tr2bl w:val="nil"/>
            </w:tcBorders>
            <w:shd w:val="clear" w:color="auto" w:fill="auto"/>
            <w:noWrap/>
            <w:tcMar>
              <w:top w:w="15" w:type="dxa"/>
              <w:left w:w="15" w:type="dxa"/>
              <w:right w:w="15" w:type="dxa"/>
            </w:tcMar>
            <w:vAlign w:val="bottom"/>
          </w:tcPr>
          <w:p>
            <w:pPr>
              <w:spacing w:line="360" w:lineRule="auto"/>
              <w:ind w:firstLine="0" w:firstLineChars="0"/>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一级指标</w:t>
            </w:r>
          </w:p>
        </w:tc>
        <w:tc>
          <w:tcPr>
            <w:tcW w:w="1139" w:type="dxa"/>
            <w:tcBorders>
              <w:tl2br w:val="nil"/>
              <w:tr2bl w:val="nil"/>
            </w:tcBorders>
            <w:shd w:val="clear" w:color="auto" w:fill="auto"/>
            <w:noWrap/>
            <w:tcMar>
              <w:top w:w="15" w:type="dxa"/>
              <w:left w:w="15" w:type="dxa"/>
              <w:right w:w="15" w:type="dxa"/>
            </w:tcMar>
            <w:vAlign w:val="bottom"/>
          </w:tcPr>
          <w:p>
            <w:pPr>
              <w:spacing w:line="360" w:lineRule="auto"/>
              <w:ind w:firstLine="0" w:firstLineChars="0"/>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二级指标</w:t>
            </w:r>
          </w:p>
        </w:tc>
        <w:tc>
          <w:tcPr>
            <w:tcW w:w="3251" w:type="dxa"/>
            <w:tcBorders>
              <w:tl2br w:val="nil"/>
              <w:tr2bl w:val="nil"/>
            </w:tcBorders>
            <w:shd w:val="clear" w:color="auto" w:fill="auto"/>
            <w:noWrap/>
            <w:tcMar>
              <w:top w:w="15" w:type="dxa"/>
              <w:left w:w="15" w:type="dxa"/>
              <w:right w:w="15" w:type="dxa"/>
            </w:tcMar>
            <w:vAlign w:val="bottom"/>
          </w:tcPr>
          <w:p>
            <w:pPr>
              <w:spacing w:line="360" w:lineRule="auto"/>
              <w:ind w:firstLine="0" w:firstLineChars="0"/>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三级指标</w:t>
            </w:r>
          </w:p>
        </w:tc>
        <w:tc>
          <w:tcPr>
            <w:tcW w:w="1516" w:type="dxa"/>
            <w:tcBorders>
              <w:tl2br w:val="nil"/>
              <w:tr2bl w:val="nil"/>
            </w:tcBorders>
            <w:shd w:val="clear" w:color="auto" w:fill="auto"/>
            <w:noWrap/>
            <w:tcMar>
              <w:top w:w="15" w:type="dxa"/>
              <w:left w:w="15" w:type="dxa"/>
              <w:right w:w="15" w:type="dxa"/>
            </w:tcMar>
            <w:vAlign w:val="bottom"/>
          </w:tcPr>
          <w:p>
            <w:pPr>
              <w:spacing w:line="360" w:lineRule="auto"/>
              <w:ind w:firstLine="0" w:firstLineChars="0"/>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指标值</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指标值来源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71" w:type="dxa"/>
            <w:vMerge w:val="restart"/>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产出指标</w:t>
            </w: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数量</w:t>
            </w:r>
          </w:p>
        </w:tc>
        <w:tc>
          <w:tcPr>
            <w:tcW w:w="3251" w:type="dxa"/>
            <w:tcBorders>
              <w:tl2br w:val="nil"/>
              <w:tr2bl w:val="nil"/>
            </w:tcBorders>
            <w:shd w:val="clear" w:color="auto" w:fill="auto"/>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罗江区应急指挥调度中心场地面积</w:t>
            </w:r>
          </w:p>
        </w:tc>
        <w:tc>
          <w:tcPr>
            <w:tcW w:w="1516"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rPr>
            </w:pPr>
            <w:r>
              <w:rPr>
                <w:rFonts w:hint="eastAsia" w:ascii="Times New Roman" w:hAnsi="Times New Roman" w:cs="Times New Roman"/>
                <w:color w:val="auto"/>
                <w:sz w:val="24"/>
                <w:highlight w:val="none"/>
                <w:lang w:val="en-US" w:eastAsia="zh-CN"/>
              </w:rPr>
              <w:t>323.80平方米</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default" w:ascii="Times New Roman" w:hAnsi="Times New Roman" w:cs="Times New Roman"/>
                <w:color w:val="auto"/>
                <w:sz w:val="24"/>
                <w:highlight w:val="none"/>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质量</w:t>
            </w: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项目验收通过率</w:t>
            </w:r>
          </w:p>
        </w:tc>
        <w:tc>
          <w:tcPr>
            <w:tcW w:w="1516"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100%</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国家标准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default" w:ascii="Times New Roman" w:hAnsi="Times New Roman" w:cs="Times New Roman"/>
                <w:color w:val="auto"/>
                <w:sz w:val="24"/>
                <w:highlight w:val="none"/>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时效</w:t>
            </w: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项目完成及时性</w:t>
            </w:r>
          </w:p>
        </w:tc>
        <w:tc>
          <w:tcPr>
            <w:tcW w:w="1516"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1年</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default" w:ascii="Times New Roman" w:hAnsi="Times New Roman" w:cs="Times New Roman"/>
                <w:color w:val="auto"/>
                <w:sz w:val="24"/>
                <w:highlight w:val="none"/>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成本</w:t>
            </w: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平台建设和服务成本</w:t>
            </w:r>
          </w:p>
        </w:tc>
        <w:tc>
          <w:tcPr>
            <w:tcW w:w="1516"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307.20</w:t>
            </w:r>
            <w:r>
              <w:rPr>
                <w:rFonts w:hint="default" w:ascii="Times New Roman" w:hAnsi="Times New Roman" w:cs="Times New Roman"/>
                <w:color w:val="auto"/>
                <w:sz w:val="24"/>
                <w:highlight w:val="none"/>
              </w:rPr>
              <w:t>万元</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271" w:type="dxa"/>
            <w:vMerge w:val="restart"/>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效果指标</w:t>
            </w:r>
          </w:p>
        </w:tc>
        <w:tc>
          <w:tcPr>
            <w:tcW w:w="1139" w:type="dxa"/>
            <w:vMerge w:val="restart"/>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社会效益</w:t>
            </w: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提高应急指挥、项目调度能力</w:t>
            </w:r>
          </w:p>
        </w:tc>
        <w:tc>
          <w:tcPr>
            <w:tcW w:w="1516"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50%</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1139"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kern w:val="0"/>
                <w:sz w:val="24"/>
                <w:highlight w:val="none"/>
                <w:lang w:bidi="ar"/>
              </w:rPr>
            </w:pP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受益对象完成工作效率提升率</w:t>
            </w:r>
          </w:p>
        </w:tc>
        <w:tc>
          <w:tcPr>
            <w:tcW w:w="1516"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50%</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default" w:ascii="Times New Roman" w:hAnsi="Times New Roman" w:cs="Times New Roman"/>
                <w:color w:val="auto"/>
                <w:sz w:val="24"/>
                <w:highlight w:val="none"/>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kern w:val="0"/>
                <w:sz w:val="24"/>
                <w:highlight w:val="none"/>
                <w:lang w:bidi="ar"/>
              </w:rPr>
              <w:t>可持续性</w:t>
            </w:r>
            <w:r>
              <w:rPr>
                <w:rFonts w:hint="eastAsia" w:ascii="Times New Roman" w:hAnsi="Times New Roman" w:cs="Times New Roman"/>
                <w:color w:val="auto"/>
                <w:kern w:val="0"/>
                <w:sz w:val="24"/>
                <w:highlight w:val="none"/>
                <w:lang w:val="en-US" w:eastAsia="zh-CN" w:bidi="ar"/>
              </w:rPr>
              <w:t>影响指标</w:t>
            </w:r>
          </w:p>
        </w:tc>
        <w:tc>
          <w:tcPr>
            <w:tcW w:w="3251" w:type="dxa"/>
            <w:tcBorders>
              <w:tl2br w:val="nil"/>
              <w:tr2bl w:val="nil"/>
            </w:tcBorders>
            <w:shd w:val="clear" w:color="auto" w:fill="auto"/>
            <w:tcMar>
              <w:top w:w="15" w:type="dxa"/>
              <w:left w:w="15" w:type="dxa"/>
              <w:right w:w="15" w:type="dxa"/>
            </w:tcMar>
            <w:vAlign w:val="center"/>
          </w:tcPr>
          <w:p>
            <w:pPr>
              <w:widowControl/>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对后续年度应急指挥能力持续发挥作用年限</w:t>
            </w:r>
          </w:p>
        </w:tc>
        <w:tc>
          <w:tcPr>
            <w:tcW w:w="1516"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10年</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27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满意度指标</w:t>
            </w: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满意度</w:t>
            </w:r>
          </w:p>
        </w:tc>
        <w:tc>
          <w:tcPr>
            <w:tcW w:w="325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pacing w:val="-2"/>
                <w:sz w:val="24"/>
                <w:highlight w:val="none"/>
              </w:rPr>
              <w:t>服务对象满意度</w:t>
            </w:r>
          </w:p>
        </w:tc>
        <w:tc>
          <w:tcPr>
            <w:tcW w:w="1516"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lang w:val="en-US" w:eastAsia="zh-CN"/>
              </w:rPr>
              <w:t>100</w:t>
            </w:r>
            <w:r>
              <w:rPr>
                <w:rFonts w:hint="default" w:ascii="Times New Roman" w:hAnsi="Times New Roman" w:cs="Times New Roman"/>
                <w:color w:val="auto"/>
                <w:sz w:val="24"/>
                <w:highlight w:val="none"/>
              </w:rPr>
              <w:t>%</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计划标准</w:t>
            </w:r>
          </w:p>
        </w:tc>
      </w:tr>
    </w:tbl>
    <w:p>
      <w:pPr>
        <w:pStyle w:val="3"/>
        <w:spacing w:before="312" w:beforeLines="100"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5" w:name="_Toc27421"/>
      <w:r>
        <w:rPr>
          <w:rFonts w:hint="default" w:ascii="Times New Roman" w:hAnsi="Times New Roman" w:eastAsia="楷体_GB2312" w:cs="Times New Roman"/>
          <w:color w:val="auto"/>
          <w:sz w:val="32"/>
          <w:szCs w:val="32"/>
          <w:highlight w:val="none"/>
        </w:rPr>
        <w:t>（四）项目预算及计划实施内容</w:t>
      </w:r>
      <w:bookmarkEnd w:id="5"/>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德阳市罗江区</w:t>
      </w:r>
      <w:r>
        <w:rPr>
          <w:rFonts w:hint="eastAsia" w:ascii="Times New Roman" w:hAnsi="Times New Roman" w:cs="Times New Roman"/>
          <w:color w:val="auto"/>
          <w:szCs w:val="32"/>
          <w:highlight w:val="none"/>
          <w:lang w:val="en-US" w:eastAsia="zh-CN"/>
        </w:rPr>
        <w:t>行政审批局</w:t>
      </w:r>
      <w:r>
        <w:rPr>
          <w:rFonts w:hint="eastAsia" w:ascii="Times New Roman" w:hAnsi="Times New Roman" w:cs="Times New Roman"/>
          <w:color w:val="auto"/>
          <w:szCs w:val="32"/>
          <w:highlight w:val="none"/>
          <w:lang w:eastAsia="zh-CN"/>
        </w:rPr>
        <w:t>“</w:t>
      </w:r>
      <w:r>
        <w:rPr>
          <w:rFonts w:hint="eastAsia" w:ascii="Times New Roman" w:hAnsi="Times New Roman" w:cs="Times New Roman"/>
          <w:color w:val="auto"/>
          <w:szCs w:val="32"/>
          <w:highlight w:val="none"/>
          <w:lang w:val="en-US" w:eastAsia="zh-CN"/>
        </w:rPr>
        <w:t>应急指挥运营服务采购项目</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项目实施内容为：通过购买服务，与服务提供方协定运维费用，利用罗江区公安分局5楼323.8平方米的物理场所作为罗江区应急指挥调度中心，包含应急指挥大屏、联勤操作席位、快处中心观摩区、会商室、茶水间等功能区建设，同时配备必要的信息化软、硬件设施设备，实现应急指挥、项目调度、新冠疫情防控等多功能。根据</w:t>
      </w:r>
      <w:r>
        <w:rPr>
          <w:rFonts w:hint="default" w:ascii="Times New Roman" w:hAnsi="Times New Roman" w:cs="Times New Roman"/>
          <w:color w:val="auto"/>
          <w:highlight w:val="none"/>
        </w:rPr>
        <w:t>德阳市罗江区</w:t>
      </w:r>
      <w:r>
        <w:rPr>
          <w:rFonts w:hint="eastAsia" w:ascii="Times New Roman" w:hAnsi="Times New Roman" w:cs="Times New Roman"/>
          <w:color w:val="auto"/>
          <w:highlight w:val="none"/>
          <w:lang w:val="en-US" w:eastAsia="zh-CN"/>
        </w:rPr>
        <w:t>行政审批局《关于购买应急指挥调度运维服务的请</w:t>
      </w:r>
      <w:r>
        <w:rPr>
          <w:rFonts w:hint="eastAsia" w:ascii="Times New Roman" w:hAnsi="Times New Roman" w:cs="Times New Roman"/>
          <w:color w:val="auto"/>
          <w:szCs w:val="32"/>
          <w:highlight w:val="none"/>
          <w:lang w:val="en-US" w:eastAsia="zh-CN"/>
        </w:rPr>
        <w:t>示》（德市罗行〔2022〕6号）以及德阳市罗江区政府投资建设项目推进办公室《关于研究罗江区购买应急指挥调度运维服务有关事宜的通知》（德市罗项目推进办函2022-5号）</w:t>
      </w:r>
      <w:r>
        <w:rPr>
          <w:rFonts w:hint="eastAsia" w:ascii="Times New Roman" w:hAnsi="Times New Roman" w:cs="Times New Roman"/>
          <w:color w:val="auto"/>
          <w:szCs w:val="32"/>
          <w:highlight w:val="none"/>
          <w:lang w:eastAsia="zh-CN"/>
        </w:rPr>
        <w:t>“</w:t>
      </w:r>
      <w:r>
        <w:rPr>
          <w:rFonts w:hint="eastAsia" w:ascii="Times New Roman" w:hAnsi="Times New Roman" w:cs="Times New Roman"/>
          <w:color w:val="auto"/>
          <w:szCs w:val="32"/>
          <w:highlight w:val="none"/>
          <w:lang w:val="en-US" w:eastAsia="zh-CN"/>
        </w:rPr>
        <w:t>应急指挥运营服务采购项目”概算为780万元/3年，</w:t>
      </w:r>
      <w:r>
        <w:rPr>
          <w:rFonts w:hint="eastAsia" w:ascii="Times New Roman" w:hAnsi="Times New Roman" w:cs="Times New Roman"/>
          <w:color w:val="auto"/>
          <w:szCs w:val="32"/>
          <w:highlight w:val="none"/>
          <w:lang w:eastAsia="zh-CN"/>
        </w:rPr>
        <w:t>2022年</w:t>
      </w:r>
      <w:r>
        <w:rPr>
          <w:rFonts w:hint="default" w:ascii="Times New Roman" w:hAnsi="Times New Roman" w:cs="Times New Roman"/>
          <w:color w:val="auto"/>
          <w:szCs w:val="32"/>
          <w:highlight w:val="none"/>
        </w:rPr>
        <w:t>安排的预算资金总额为</w:t>
      </w:r>
      <w:r>
        <w:rPr>
          <w:rFonts w:hint="eastAsia" w:ascii="Times New Roman" w:hAnsi="Times New Roman" w:cs="Times New Roman"/>
          <w:color w:val="auto"/>
          <w:szCs w:val="32"/>
          <w:highlight w:val="none"/>
          <w:lang w:val="en-US" w:eastAsia="zh-CN"/>
        </w:rPr>
        <w:t>307.20</w:t>
      </w:r>
      <w:r>
        <w:rPr>
          <w:rFonts w:hint="default" w:ascii="Times New Roman" w:hAnsi="Times New Roman" w:cs="Times New Roman"/>
          <w:color w:val="auto"/>
          <w:szCs w:val="32"/>
          <w:highlight w:val="none"/>
        </w:rPr>
        <w:t>万元。</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6" w:name="_Toc2956"/>
      <w:r>
        <w:rPr>
          <w:rFonts w:hint="default" w:ascii="Times New Roman" w:hAnsi="Times New Roman" w:eastAsia="楷体_GB2312" w:cs="Times New Roman"/>
          <w:color w:val="auto"/>
          <w:sz w:val="32"/>
          <w:szCs w:val="32"/>
          <w:highlight w:val="none"/>
        </w:rPr>
        <w:t>（五）预算执行及实施情况</w:t>
      </w:r>
      <w:bookmarkEnd w:id="6"/>
    </w:p>
    <w:p>
      <w:pPr>
        <w:spacing w:line="580" w:lineRule="exact"/>
        <w:ind w:firstLine="643"/>
        <w:outlineLvl w:val="2"/>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1.项目资金使用情况</w:t>
      </w:r>
    </w:p>
    <w:p>
      <w:pPr>
        <w:spacing w:line="580" w:lineRule="exact"/>
        <w:ind w:firstLine="640"/>
        <w:rPr>
          <w:rFonts w:hint="default" w:ascii="Times New Roman" w:hAnsi="Times New Roman" w:cs="Times New Roman"/>
          <w:color w:val="auto"/>
          <w:szCs w:val="32"/>
          <w:highlight w:val="none"/>
        </w:rPr>
      </w:pPr>
      <w:bookmarkStart w:id="7" w:name="_Hlk118752362"/>
      <w:r>
        <w:rPr>
          <w:rFonts w:hint="default" w:ascii="Times New Roman" w:hAnsi="Times New Roman" w:cs="Times New Roman"/>
          <w:color w:val="auto"/>
          <w:szCs w:val="32"/>
          <w:highlight w:val="none"/>
        </w:rPr>
        <w:t>经查阅</w:t>
      </w:r>
      <w:r>
        <w:rPr>
          <w:rFonts w:hint="eastAsia" w:ascii="Times New Roman" w:hAnsi="Times New Roman" w:cs="Times New Roman"/>
          <w:color w:val="auto"/>
          <w:szCs w:val="32"/>
          <w:highlight w:val="none"/>
          <w:lang w:eastAsia="zh-CN"/>
        </w:rPr>
        <w:t>“</w:t>
      </w:r>
      <w:r>
        <w:rPr>
          <w:rFonts w:hint="eastAsia" w:ascii="Times New Roman" w:hAnsi="Times New Roman" w:cs="Times New Roman"/>
          <w:color w:val="auto"/>
          <w:szCs w:val="32"/>
          <w:highlight w:val="none"/>
          <w:lang w:val="en-US" w:eastAsia="zh-CN"/>
        </w:rPr>
        <w:t>应急指挥运营服务采购项目</w:t>
      </w:r>
      <w:r>
        <w:rPr>
          <w:rFonts w:hint="eastAsia" w:ascii="Times New Roman" w:hAnsi="Times New Roman" w:cs="Times New Roman"/>
          <w:color w:val="auto"/>
          <w:szCs w:val="32"/>
          <w:highlight w:val="none"/>
          <w:lang w:eastAsia="zh-CN"/>
        </w:rPr>
        <w:t>”2022年</w:t>
      </w:r>
      <w:r>
        <w:rPr>
          <w:rFonts w:hint="default" w:ascii="Times New Roman" w:hAnsi="Times New Roman" w:cs="Times New Roman"/>
          <w:color w:val="auto"/>
          <w:szCs w:val="32"/>
          <w:highlight w:val="none"/>
        </w:rPr>
        <w:t>的项目支出明细账、记账凭证、原始凭证等相关财务资料，</w:t>
      </w:r>
      <w:r>
        <w:rPr>
          <w:rFonts w:hint="eastAsia" w:ascii="Times New Roman" w:hAnsi="Times New Roman" w:cs="Times New Roman"/>
          <w:color w:val="auto"/>
          <w:szCs w:val="32"/>
          <w:highlight w:val="none"/>
          <w:lang w:val="en-US" w:eastAsia="zh-CN"/>
        </w:rPr>
        <w:t>应急指挥运营服务采购项目</w:t>
      </w:r>
      <w:r>
        <w:rPr>
          <w:rFonts w:hint="default" w:ascii="Times New Roman" w:hAnsi="Times New Roman" w:cs="Times New Roman"/>
          <w:color w:val="auto"/>
          <w:szCs w:val="32"/>
          <w:highlight w:val="none"/>
        </w:rPr>
        <w:t>资金支付</w:t>
      </w:r>
      <w:r>
        <w:rPr>
          <w:rFonts w:hint="eastAsia" w:ascii="Times New Roman" w:hAnsi="Times New Roman" w:cs="Times New Roman"/>
          <w:color w:val="auto"/>
          <w:szCs w:val="32"/>
          <w:highlight w:val="none"/>
          <w:lang w:val="en-US" w:eastAsia="zh-CN"/>
        </w:rPr>
        <w:t>进度按年度进行支付</w:t>
      </w:r>
      <w:r>
        <w:rPr>
          <w:rFonts w:hint="default" w:ascii="Times New Roman" w:hAnsi="Times New Roman" w:cs="Times New Roman"/>
          <w:color w:val="auto"/>
          <w:szCs w:val="32"/>
          <w:highlight w:val="none"/>
        </w:rPr>
        <w:t>。项目完成后，</w:t>
      </w:r>
      <w:r>
        <w:rPr>
          <w:rFonts w:hint="default" w:ascii="Times New Roman" w:hAnsi="Times New Roman" w:cs="Times New Roman"/>
          <w:color w:val="auto"/>
          <w:highlight w:val="none"/>
        </w:rPr>
        <w:t>德阳市罗江区</w:t>
      </w:r>
      <w:r>
        <w:rPr>
          <w:rFonts w:hint="eastAsia" w:ascii="Times New Roman" w:hAnsi="Times New Roman" w:cs="Times New Roman"/>
          <w:color w:val="auto"/>
          <w:highlight w:val="none"/>
          <w:lang w:val="en-US" w:eastAsia="zh-CN"/>
        </w:rPr>
        <w:t>市民通数字科技有限公司</w:t>
      </w:r>
      <w:r>
        <w:rPr>
          <w:rFonts w:hint="default" w:ascii="Times New Roman" w:hAnsi="Times New Roman" w:cs="Times New Roman"/>
          <w:color w:val="auto"/>
          <w:szCs w:val="32"/>
          <w:highlight w:val="none"/>
        </w:rPr>
        <w:t>向德阳市罗江区</w:t>
      </w:r>
      <w:r>
        <w:rPr>
          <w:rFonts w:hint="eastAsia" w:ascii="Times New Roman" w:hAnsi="Times New Roman" w:cs="Times New Roman"/>
          <w:color w:val="auto"/>
          <w:szCs w:val="32"/>
          <w:highlight w:val="none"/>
          <w:lang w:val="en-US" w:eastAsia="zh-CN"/>
        </w:rPr>
        <w:t>行政审批局</w:t>
      </w:r>
      <w:r>
        <w:rPr>
          <w:rFonts w:hint="default" w:ascii="Times New Roman" w:hAnsi="Times New Roman" w:cs="Times New Roman"/>
          <w:color w:val="auto"/>
          <w:szCs w:val="32"/>
          <w:highlight w:val="none"/>
        </w:rPr>
        <w:t>申请最终验收，经验收合格后，</w:t>
      </w:r>
      <w:r>
        <w:rPr>
          <w:rFonts w:hint="eastAsia" w:ascii="Times New Roman" w:hAnsi="Times New Roman" w:cs="Times New Roman"/>
          <w:color w:val="auto"/>
          <w:szCs w:val="32"/>
          <w:highlight w:val="none"/>
          <w:lang w:val="en-US" w:eastAsia="zh-CN"/>
        </w:rPr>
        <w:t>分三年进行支付。第一年</w:t>
      </w:r>
      <w:r>
        <w:rPr>
          <w:rFonts w:hint="default" w:ascii="Times New Roman" w:hAnsi="Times New Roman" w:cs="Times New Roman"/>
          <w:color w:val="auto"/>
          <w:szCs w:val="32"/>
          <w:highlight w:val="none"/>
        </w:rPr>
        <w:t>，</w:t>
      </w:r>
      <w:r>
        <w:rPr>
          <w:rFonts w:hint="default" w:ascii="Times New Roman" w:hAnsi="Times New Roman" w:cs="Times New Roman"/>
          <w:color w:val="auto"/>
          <w:highlight w:val="none"/>
        </w:rPr>
        <w:t>德阳市罗江区</w:t>
      </w:r>
      <w:r>
        <w:rPr>
          <w:rFonts w:hint="eastAsia" w:ascii="Times New Roman" w:hAnsi="Times New Roman" w:cs="Times New Roman"/>
          <w:color w:val="auto"/>
          <w:highlight w:val="none"/>
          <w:lang w:val="en-US" w:eastAsia="zh-CN"/>
        </w:rPr>
        <w:t>市民通数字科技有限公司</w:t>
      </w:r>
      <w:r>
        <w:rPr>
          <w:rFonts w:hint="default" w:ascii="Times New Roman" w:hAnsi="Times New Roman" w:cs="Times New Roman"/>
          <w:color w:val="auto"/>
          <w:szCs w:val="32"/>
          <w:highlight w:val="none"/>
        </w:rPr>
        <w:t>向德阳市罗江区</w:t>
      </w:r>
      <w:r>
        <w:rPr>
          <w:rFonts w:hint="eastAsia" w:ascii="Times New Roman" w:hAnsi="Times New Roman" w:cs="Times New Roman"/>
          <w:color w:val="auto"/>
          <w:szCs w:val="32"/>
          <w:highlight w:val="none"/>
          <w:lang w:val="en-US" w:eastAsia="zh-CN"/>
        </w:rPr>
        <w:t>行政审批局</w:t>
      </w:r>
      <w:r>
        <w:rPr>
          <w:rFonts w:hint="default" w:ascii="Times New Roman" w:hAnsi="Times New Roman" w:cs="Times New Roman"/>
          <w:color w:val="auto"/>
          <w:szCs w:val="32"/>
          <w:highlight w:val="none"/>
        </w:rPr>
        <w:t>提交拨付进度资金申请，经</w:t>
      </w:r>
      <w:r>
        <w:rPr>
          <w:rFonts w:hint="eastAsia" w:ascii="Times New Roman" w:hAnsi="Times New Roman" w:cs="Times New Roman"/>
          <w:color w:val="auto"/>
          <w:szCs w:val="32"/>
          <w:highlight w:val="none"/>
          <w:lang w:val="en-US" w:eastAsia="zh-CN"/>
        </w:rPr>
        <w:t>区行政审批局、区公安分局、区财政局等相关部门</w:t>
      </w:r>
      <w:r>
        <w:rPr>
          <w:rFonts w:hint="default" w:ascii="Times New Roman" w:hAnsi="Times New Roman" w:cs="Times New Roman"/>
          <w:color w:val="auto"/>
          <w:szCs w:val="32"/>
          <w:highlight w:val="none"/>
        </w:rPr>
        <w:t>验收确认后，拨付资金总额的</w:t>
      </w:r>
      <w:r>
        <w:rPr>
          <w:rFonts w:hint="eastAsia" w:ascii="Times New Roman" w:hAnsi="Times New Roman" w:cs="Times New Roman"/>
          <w:color w:val="auto"/>
          <w:szCs w:val="32"/>
          <w:highlight w:val="none"/>
          <w:lang w:val="en-US" w:eastAsia="zh-CN"/>
        </w:rPr>
        <w:t>40</w:t>
      </w:r>
      <w:r>
        <w:rPr>
          <w:rFonts w:hint="default" w:ascii="Times New Roman" w:hAnsi="Times New Roman" w:cs="Times New Roman"/>
          <w:color w:val="auto"/>
          <w:szCs w:val="32"/>
          <w:highlight w:val="none"/>
        </w:rPr>
        <w:t>%进度资金</w:t>
      </w:r>
      <w:r>
        <w:rPr>
          <w:rFonts w:hint="eastAsia" w:ascii="Times New Roman" w:hAnsi="Times New Roman" w:cs="Times New Roman"/>
          <w:color w:val="auto"/>
          <w:szCs w:val="32"/>
          <w:highlight w:val="none"/>
          <w:lang w:eastAsia="zh-CN"/>
        </w:rPr>
        <w:t>，</w:t>
      </w:r>
      <w:r>
        <w:rPr>
          <w:rFonts w:hint="eastAsia" w:ascii="Times New Roman" w:hAnsi="Times New Roman" w:cs="Times New Roman"/>
          <w:color w:val="auto"/>
          <w:szCs w:val="32"/>
          <w:highlight w:val="none"/>
          <w:lang w:val="en-US" w:eastAsia="zh-CN"/>
        </w:rPr>
        <w:t>数量为307.20万元</w:t>
      </w:r>
      <w:r>
        <w:rPr>
          <w:rFonts w:hint="default" w:ascii="Times New Roman" w:hAnsi="Times New Roman" w:cs="Times New Roman"/>
          <w:color w:val="auto"/>
          <w:szCs w:val="32"/>
          <w:highlight w:val="none"/>
        </w:rPr>
        <w:t>。参照上述资金申请流程，根据采购合同规定向承接服务商拨付剩余资金；截至</w:t>
      </w:r>
      <w:r>
        <w:rPr>
          <w:rFonts w:hint="eastAsia" w:ascii="Times New Roman" w:hAnsi="Times New Roman" w:cs="Times New Roman"/>
          <w:color w:val="auto"/>
          <w:szCs w:val="32"/>
          <w:highlight w:val="none"/>
          <w:lang w:eastAsia="zh-CN"/>
        </w:rPr>
        <w:t>2022年</w:t>
      </w:r>
      <w:r>
        <w:rPr>
          <w:rFonts w:hint="default" w:ascii="Times New Roman" w:hAnsi="Times New Roman" w:cs="Times New Roman"/>
          <w:color w:val="auto"/>
          <w:szCs w:val="32"/>
          <w:highlight w:val="none"/>
        </w:rPr>
        <w:t>12月31日，该项目共计支出</w:t>
      </w:r>
      <w:r>
        <w:rPr>
          <w:rFonts w:hint="eastAsia" w:ascii="Times New Roman" w:hAnsi="Times New Roman" w:cs="Times New Roman"/>
          <w:color w:val="auto"/>
          <w:szCs w:val="32"/>
          <w:highlight w:val="none"/>
          <w:lang w:val="en-US" w:eastAsia="zh-CN"/>
        </w:rPr>
        <w:t>307.20</w:t>
      </w:r>
      <w:r>
        <w:rPr>
          <w:rFonts w:hint="default" w:ascii="Times New Roman" w:hAnsi="Times New Roman" w:cs="Times New Roman"/>
          <w:color w:val="auto"/>
          <w:szCs w:val="32"/>
          <w:highlight w:val="none"/>
        </w:rPr>
        <w:t>万元，</w:t>
      </w:r>
      <w:r>
        <w:rPr>
          <w:rFonts w:hint="eastAsia" w:ascii="Times New Roman" w:hAnsi="Times New Roman" w:cs="Times New Roman"/>
          <w:color w:val="auto"/>
          <w:szCs w:val="32"/>
          <w:highlight w:val="none"/>
          <w:lang w:val="en-US" w:eastAsia="zh-CN"/>
        </w:rPr>
        <w:t>剩余460.80万元，分别于第二年和第三年进行支付。</w:t>
      </w:r>
      <w:r>
        <w:rPr>
          <w:rFonts w:hint="default" w:ascii="Times New Roman" w:hAnsi="Times New Roman" w:cs="Times New Roman"/>
          <w:color w:val="auto"/>
          <w:szCs w:val="32"/>
          <w:highlight w:val="none"/>
        </w:rPr>
        <w:t>结合本项目的预算情况，本项目的预算执行率约=（项目实际支出÷预算调整数）×100%=（</w:t>
      </w:r>
      <w:r>
        <w:rPr>
          <w:rFonts w:hint="eastAsia" w:ascii="Times New Roman" w:hAnsi="Times New Roman" w:cs="Times New Roman"/>
          <w:color w:val="auto"/>
          <w:szCs w:val="32"/>
          <w:highlight w:val="none"/>
          <w:lang w:val="en-US" w:eastAsia="zh-CN"/>
        </w:rPr>
        <w:t>307.20</w:t>
      </w:r>
      <w:r>
        <w:rPr>
          <w:rFonts w:hint="default" w:ascii="Times New Roman" w:hAnsi="Times New Roman" w:cs="Times New Roman"/>
          <w:color w:val="auto"/>
          <w:szCs w:val="32"/>
          <w:highlight w:val="none"/>
        </w:rPr>
        <w:t>万元÷</w:t>
      </w:r>
      <w:r>
        <w:rPr>
          <w:rFonts w:hint="eastAsia" w:ascii="Times New Roman" w:hAnsi="Times New Roman" w:cs="Times New Roman"/>
          <w:color w:val="auto"/>
          <w:szCs w:val="32"/>
          <w:highlight w:val="none"/>
          <w:lang w:val="en-US" w:eastAsia="zh-CN"/>
        </w:rPr>
        <w:t>307.20</w:t>
      </w:r>
      <w:r>
        <w:rPr>
          <w:rFonts w:hint="default" w:ascii="Times New Roman" w:hAnsi="Times New Roman" w:cs="Times New Roman"/>
          <w:color w:val="auto"/>
          <w:szCs w:val="32"/>
          <w:highlight w:val="none"/>
        </w:rPr>
        <w:t>万元）×100%=</w:t>
      </w:r>
      <w:r>
        <w:rPr>
          <w:rFonts w:hint="eastAsia" w:ascii="Times New Roman" w:hAnsi="Times New Roman" w:cs="Times New Roman"/>
          <w:color w:val="auto"/>
          <w:szCs w:val="32"/>
          <w:highlight w:val="none"/>
          <w:lang w:val="en-US" w:eastAsia="zh-CN"/>
        </w:rPr>
        <w:t>100.00</w:t>
      </w:r>
      <w:r>
        <w:rPr>
          <w:rFonts w:hint="default" w:ascii="Times New Roman" w:hAnsi="Times New Roman" w:cs="Times New Roman"/>
          <w:color w:val="auto"/>
          <w:szCs w:val="32"/>
          <w:highlight w:val="none"/>
        </w:rPr>
        <w:t>%。</w:t>
      </w:r>
    </w:p>
    <w:bookmarkEnd w:id="7"/>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表1-3 项目资金使用情况</w:t>
      </w:r>
    </w:p>
    <w:tbl>
      <w:tblPr>
        <w:tblStyle w:val="13"/>
        <w:tblpPr w:leftFromText="180" w:rightFromText="180" w:vertAnchor="text" w:horzAnchor="page" w:tblpX="1597" w:tblpY="1172"/>
        <w:tblOverlap w:val="never"/>
        <w:tblW w:w="5000" w:type="pct"/>
        <w:tblInd w:w="0" w:type="dxa"/>
        <w:tblLayout w:type="fixed"/>
        <w:tblCellMar>
          <w:top w:w="0" w:type="dxa"/>
          <w:left w:w="108" w:type="dxa"/>
          <w:bottom w:w="0" w:type="dxa"/>
          <w:right w:w="108" w:type="dxa"/>
        </w:tblCellMar>
      </w:tblPr>
      <w:tblGrid>
        <w:gridCol w:w="620"/>
        <w:gridCol w:w="1122"/>
        <w:gridCol w:w="2812"/>
        <w:gridCol w:w="1180"/>
        <w:gridCol w:w="3327"/>
      </w:tblGrid>
      <w:tr>
        <w:tblPrEx>
          <w:tblCellMar>
            <w:top w:w="0" w:type="dxa"/>
            <w:left w:w="108" w:type="dxa"/>
            <w:bottom w:w="0" w:type="dxa"/>
            <w:right w:w="108" w:type="dxa"/>
          </w:tblCellMar>
        </w:tblPrEx>
        <w:trPr>
          <w:trHeight w:val="30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bookmarkStart w:id="8" w:name="_Hlk118752618"/>
            <w:r>
              <w:rPr>
                <w:rFonts w:hint="default" w:ascii="Times New Roman" w:hAnsi="Times New Roman" w:cs="Times New Roman"/>
                <w:b/>
                <w:bCs/>
                <w:color w:val="auto"/>
                <w:kern w:val="0"/>
                <w:sz w:val="24"/>
                <w:highlight w:val="none"/>
                <w:lang w:bidi="ar"/>
              </w:rPr>
              <w:t>序号</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支出日期</w:t>
            </w:r>
          </w:p>
        </w:tc>
        <w:tc>
          <w:tcPr>
            <w:tcW w:w="1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支出方向</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金额</w:t>
            </w:r>
          </w:p>
        </w:tc>
        <w:tc>
          <w:tcPr>
            <w:tcW w:w="1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对方公司</w:t>
            </w:r>
          </w:p>
        </w:tc>
      </w:tr>
      <w:tr>
        <w:tblPrEx>
          <w:tblCellMar>
            <w:top w:w="0" w:type="dxa"/>
            <w:left w:w="108" w:type="dxa"/>
            <w:bottom w:w="0" w:type="dxa"/>
            <w:right w:w="108" w:type="dxa"/>
          </w:tblCellMar>
        </w:tblPrEx>
        <w:trPr>
          <w:trHeight w:val="300" w:hRule="atLeast"/>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1</w:t>
            </w:r>
          </w:p>
        </w:tc>
        <w:tc>
          <w:tcPr>
            <w:tcW w:w="6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kern w:val="0"/>
                <w:sz w:val="24"/>
                <w:highlight w:val="none"/>
                <w:lang w:bidi="ar"/>
              </w:rPr>
              <w:t>202</w:t>
            </w:r>
            <w:r>
              <w:rPr>
                <w:rFonts w:hint="eastAsia" w:ascii="Times New Roman" w:hAnsi="Times New Roman" w:cs="Times New Roman"/>
                <w:color w:val="auto"/>
                <w:kern w:val="0"/>
                <w:sz w:val="24"/>
                <w:highlight w:val="none"/>
                <w:lang w:val="en-US" w:eastAsia="zh-CN" w:bidi="ar"/>
              </w:rPr>
              <w:t>2</w:t>
            </w:r>
            <w:r>
              <w:rPr>
                <w:rFonts w:hint="default" w:ascii="Times New Roman" w:hAnsi="Times New Roman" w:cs="Times New Roman"/>
                <w:color w:val="auto"/>
                <w:kern w:val="0"/>
                <w:sz w:val="24"/>
                <w:highlight w:val="none"/>
                <w:lang w:bidi="ar"/>
              </w:rPr>
              <w:t>.</w:t>
            </w:r>
            <w:r>
              <w:rPr>
                <w:rFonts w:hint="eastAsia" w:ascii="Times New Roman" w:hAnsi="Times New Roman" w:cs="Times New Roman"/>
                <w:color w:val="auto"/>
                <w:kern w:val="0"/>
                <w:sz w:val="24"/>
                <w:highlight w:val="none"/>
                <w:lang w:val="en-US" w:eastAsia="zh-CN" w:bidi="ar"/>
              </w:rPr>
              <w:t>12</w:t>
            </w:r>
            <w:r>
              <w:rPr>
                <w:rFonts w:hint="default" w:ascii="Times New Roman" w:hAnsi="Times New Roman" w:cs="Times New Roman"/>
                <w:color w:val="auto"/>
                <w:kern w:val="0"/>
                <w:sz w:val="24"/>
                <w:highlight w:val="none"/>
                <w:lang w:bidi="ar"/>
              </w:rPr>
              <w:t>.</w:t>
            </w:r>
            <w:r>
              <w:rPr>
                <w:rFonts w:hint="eastAsia" w:ascii="Times New Roman" w:hAnsi="Times New Roman" w:cs="Times New Roman"/>
                <w:color w:val="auto"/>
                <w:kern w:val="0"/>
                <w:sz w:val="24"/>
                <w:highlight w:val="none"/>
                <w:lang w:val="en-US" w:eastAsia="zh-CN" w:bidi="ar"/>
              </w:rPr>
              <w:t>20</w:t>
            </w:r>
          </w:p>
        </w:tc>
        <w:tc>
          <w:tcPr>
            <w:tcW w:w="1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eastAsia" w:ascii="Times New Roman" w:hAnsi="Times New Roman" w:cs="Times New Roman"/>
                <w:color w:val="auto"/>
                <w:kern w:val="0"/>
                <w:sz w:val="24"/>
                <w:highlight w:val="none"/>
                <w:lang w:eastAsia="zh-CN" w:bidi="ar"/>
              </w:rPr>
              <w:t>“</w:t>
            </w:r>
            <w:r>
              <w:rPr>
                <w:rFonts w:hint="eastAsia" w:ascii="Times New Roman" w:hAnsi="Times New Roman" w:cs="Times New Roman"/>
                <w:color w:val="auto"/>
                <w:kern w:val="0"/>
                <w:sz w:val="24"/>
                <w:highlight w:val="none"/>
                <w:lang w:val="en-US" w:eastAsia="zh-CN" w:bidi="ar"/>
              </w:rPr>
              <w:t>应急指挥运营服务采购项目</w:t>
            </w:r>
            <w:r>
              <w:rPr>
                <w:rFonts w:hint="eastAsia" w:ascii="Times New Roman" w:hAnsi="Times New Roman" w:cs="Times New Roman"/>
                <w:color w:val="auto"/>
                <w:kern w:val="0"/>
                <w:sz w:val="24"/>
                <w:highlight w:val="none"/>
                <w:lang w:eastAsia="zh-CN" w:bidi="ar"/>
              </w:rPr>
              <w:t>”</w:t>
            </w:r>
            <w:r>
              <w:rPr>
                <w:rFonts w:hint="eastAsia" w:ascii="Times New Roman" w:hAnsi="Times New Roman" w:cs="Times New Roman"/>
                <w:color w:val="auto"/>
                <w:kern w:val="0"/>
                <w:sz w:val="24"/>
                <w:highlight w:val="none"/>
                <w:lang w:val="en-US" w:eastAsia="zh-CN" w:bidi="ar"/>
              </w:rPr>
              <w:t>4</w:t>
            </w:r>
            <w:r>
              <w:rPr>
                <w:rFonts w:hint="default" w:ascii="Times New Roman" w:hAnsi="Times New Roman" w:cs="Times New Roman"/>
                <w:color w:val="auto"/>
                <w:kern w:val="0"/>
                <w:sz w:val="24"/>
                <w:highlight w:val="none"/>
                <w:lang w:bidi="ar"/>
              </w:rPr>
              <w:t>0%费用</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307.20</w:t>
            </w:r>
          </w:p>
        </w:tc>
        <w:tc>
          <w:tcPr>
            <w:tcW w:w="1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德阳市罗江区市民通</w:t>
            </w:r>
            <w:r>
              <w:rPr>
                <w:rFonts w:hint="eastAsia" w:ascii="Times New Roman" w:hAnsi="Times New Roman" w:cs="Times New Roman"/>
                <w:color w:val="auto"/>
                <w:kern w:val="0"/>
                <w:sz w:val="24"/>
                <w:highlight w:val="none"/>
                <w:lang w:eastAsia="zh-CN" w:bidi="ar"/>
              </w:rPr>
              <w:t>数字</w:t>
            </w:r>
            <w:r>
              <w:rPr>
                <w:rFonts w:hint="default" w:ascii="Times New Roman" w:hAnsi="Times New Roman" w:cs="Times New Roman"/>
                <w:color w:val="auto"/>
                <w:kern w:val="0"/>
                <w:sz w:val="24"/>
                <w:highlight w:val="none"/>
                <w:lang w:bidi="ar"/>
              </w:rPr>
              <w:t>科技有限公司</w:t>
            </w:r>
          </w:p>
        </w:tc>
      </w:tr>
      <w:tr>
        <w:tblPrEx>
          <w:tblCellMar>
            <w:top w:w="0" w:type="dxa"/>
            <w:left w:w="108" w:type="dxa"/>
            <w:bottom w:w="0" w:type="dxa"/>
            <w:right w:w="108" w:type="dxa"/>
          </w:tblCellMar>
        </w:tblPrEx>
        <w:trPr>
          <w:trHeight w:val="300" w:hRule="atLeast"/>
        </w:trPr>
        <w:tc>
          <w:tcPr>
            <w:tcW w:w="251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合计</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b/>
                <w:bCs/>
                <w:color w:val="auto"/>
                <w:sz w:val="24"/>
                <w:highlight w:val="none"/>
                <w:lang w:val="en-US" w:eastAsia="zh-CN"/>
              </w:rPr>
            </w:pPr>
            <w:r>
              <w:rPr>
                <w:rFonts w:hint="eastAsia" w:ascii="Times New Roman" w:hAnsi="Times New Roman" w:cs="Times New Roman"/>
                <w:b/>
                <w:bCs/>
                <w:color w:val="auto"/>
                <w:sz w:val="24"/>
                <w:highlight w:val="none"/>
                <w:lang w:val="en-US" w:eastAsia="zh-CN"/>
              </w:rPr>
              <w:t>307.20</w:t>
            </w:r>
          </w:p>
        </w:tc>
        <w:tc>
          <w:tcPr>
            <w:tcW w:w="18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rPr>
                <w:rFonts w:hint="default" w:ascii="Times New Roman" w:hAnsi="Times New Roman" w:cs="Times New Roman"/>
                <w:b/>
                <w:bCs/>
                <w:color w:val="auto"/>
                <w:sz w:val="24"/>
                <w:highlight w:val="none"/>
              </w:rPr>
            </w:pPr>
          </w:p>
        </w:tc>
      </w:tr>
      <w:bookmarkEnd w:id="8"/>
    </w:tbl>
    <w:p>
      <w:pPr>
        <w:spacing w:line="580" w:lineRule="exact"/>
        <w:ind w:firstLine="482"/>
        <w:jc w:val="right"/>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单位：</w:t>
      </w:r>
      <w:r>
        <w:rPr>
          <w:rFonts w:hint="eastAsia" w:ascii="Times New Roman" w:hAnsi="Times New Roman" w:cs="Times New Roman"/>
          <w:b/>
          <w:bCs/>
          <w:color w:val="auto"/>
          <w:sz w:val="24"/>
          <w:highlight w:val="none"/>
          <w:lang w:val="en-US" w:eastAsia="zh-CN"/>
        </w:rPr>
        <w:t>万</w:t>
      </w:r>
      <w:r>
        <w:rPr>
          <w:rFonts w:hint="default" w:ascii="Times New Roman" w:hAnsi="Times New Roman" w:cs="Times New Roman"/>
          <w:b/>
          <w:bCs/>
          <w:color w:val="auto"/>
          <w:sz w:val="24"/>
          <w:highlight w:val="none"/>
        </w:rPr>
        <w:t>元</w:t>
      </w:r>
    </w:p>
    <w:p>
      <w:pPr>
        <w:pStyle w:val="4"/>
        <w:spacing w:before="312" w:beforeLines="100" w:after="0" w:line="580" w:lineRule="exact"/>
        <w:ind w:firstLine="643"/>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2.组织实施情况</w:t>
      </w:r>
    </w:p>
    <w:p>
      <w:pPr>
        <w:spacing w:line="580" w:lineRule="exact"/>
        <w:ind w:firstLine="640"/>
        <w:rPr>
          <w:rFonts w:hint="default" w:ascii="Times New Roman" w:hAnsi="Times New Roman" w:cs="Times New Roman"/>
          <w:color w:val="auto"/>
          <w:szCs w:val="32"/>
          <w:highlight w:val="none"/>
        </w:rPr>
      </w:pPr>
      <w:bookmarkStart w:id="9" w:name="_Hlk118753290"/>
      <w:r>
        <w:rPr>
          <w:rFonts w:hint="default" w:ascii="Times New Roman" w:hAnsi="Times New Roman" w:cs="Times New Roman"/>
          <w:color w:val="auto"/>
          <w:szCs w:val="32"/>
          <w:highlight w:val="none"/>
        </w:rPr>
        <w:t>德阳市</w:t>
      </w:r>
      <w:r>
        <w:rPr>
          <w:rFonts w:hint="eastAsia" w:ascii="Times New Roman" w:hAnsi="Times New Roman" w:cs="Times New Roman"/>
          <w:color w:val="auto"/>
          <w:szCs w:val="32"/>
          <w:highlight w:val="none"/>
          <w:lang w:val="en-US" w:eastAsia="zh-CN"/>
        </w:rPr>
        <w:t>罗江区行政审批局</w:t>
      </w:r>
      <w:r>
        <w:rPr>
          <w:rFonts w:hint="default" w:ascii="Times New Roman" w:hAnsi="Times New Roman" w:cs="Times New Roman"/>
          <w:color w:val="auto"/>
          <w:szCs w:val="32"/>
          <w:highlight w:val="none"/>
        </w:rPr>
        <w:t>作为采购方，与</w:t>
      </w:r>
      <w:r>
        <w:rPr>
          <w:rFonts w:hint="default" w:ascii="Times New Roman" w:hAnsi="Times New Roman" w:cs="Times New Roman"/>
          <w:color w:val="auto"/>
          <w:highlight w:val="none"/>
        </w:rPr>
        <w:t>德阳市罗江区</w:t>
      </w:r>
      <w:r>
        <w:rPr>
          <w:rFonts w:hint="eastAsia" w:ascii="Times New Roman" w:hAnsi="Times New Roman" w:cs="Times New Roman"/>
          <w:color w:val="auto"/>
          <w:highlight w:val="none"/>
          <w:lang w:val="en-US" w:eastAsia="zh-CN"/>
        </w:rPr>
        <w:t>市民通数字科技有限公司</w:t>
      </w:r>
      <w:r>
        <w:rPr>
          <w:rFonts w:hint="default" w:ascii="Times New Roman" w:hAnsi="Times New Roman" w:cs="Times New Roman"/>
          <w:color w:val="auto"/>
          <w:szCs w:val="32"/>
          <w:highlight w:val="none"/>
        </w:rPr>
        <w:t>签订了服务</w:t>
      </w:r>
      <w:r>
        <w:rPr>
          <w:rFonts w:hint="eastAsia" w:ascii="Times New Roman" w:hAnsi="Times New Roman" w:cs="Times New Roman"/>
          <w:color w:val="auto"/>
          <w:szCs w:val="32"/>
          <w:highlight w:val="none"/>
          <w:lang w:val="en-US" w:eastAsia="zh-CN"/>
        </w:rPr>
        <w:t>采购</w:t>
      </w:r>
      <w:r>
        <w:rPr>
          <w:rFonts w:hint="default" w:ascii="Times New Roman" w:hAnsi="Times New Roman" w:cs="Times New Roman"/>
          <w:color w:val="auto"/>
          <w:szCs w:val="32"/>
          <w:highlight w:val="none"/>
        </w:rPr>
        <w:t>合同。根据《</w:t>
      </w:r>
      <w:r>
        <w:rPr>
          <w:rFonts w:hint="eastAsia" w:ascii="Times New Roman" w:hAnsi="Times New Roman" w:cs="Times New Roman"/>
          <w:color w:val="auto"/>
          <w:szCs w:val="32"/>
          <w:highlight w:val="none"/>
          <w:lang w:eastAsia="zh-CN"/>
        </w:rPr>
        <w:t>德阳市罗江区应急指挥运营服务采购项目</w:t>
      </w:r>
      <w:r>
        <w:rPr>
          <w:rFonts w:hint="default" w:ascii="Times New Roman" w:hAnsi="Times New Roman" w:cs="Times New Roman"/>
          <w:color w:val="auto"/>
          <w:szCs w:val="32"/>
          <w:highlight w:val="none"/>
        </w:rPr>
        <w:t>合同》约定，</w:t>
      </w:r>
      <w:r>
        <w:rPr>
          <w:rFonts w:hint="default" w:ascii="Times New Roman" w:hAnsi="Times New Roman" w:cs="Times New Roman"/>
          <w:color w:val="auto"/>
          <w:highlight w:val="none"/>
        </w:rPr>
        <w:t>德阳市罗江区</w:t>
      </w:r>
      <w:r>
        <w:rPr>
          <w:rFonts w:hint="eastAsia" w:ascii="Times New Roman" w:hAnsi="Times New Roman" w:cs="Times New Roman"/>
          <w:color w:val="auto"/>
          <w:highlight w:val="none"/>
          <w:lang w:val="en-US" w:eastAsia="zh-CN"/>
        </w:rPr>
        <w:t>市民通数字科技有限公司应利用罗江区公安分局5楼323.8平方米的场所作为罗江区应急指挥调度中心，包含应急指挥大联勤操作席位、快处中心、观摩区、会商室、茶水间等功能区建设，同时配备必要的信息化软、硬件设施设备，实现应急指挥、项目调度、新冠疫情防控等多功能。</w:t>
      </w:r>
      <w:r>
        <w:rPr>
          <w:rFonts w:hint="default" w:ascii="Times New Roman" w:hAnsi="Times New Roman" w:cs="Times New Roman"/>
          <w:color w:val="auto"/>
          <w:szCs w:val="32"/>
          <w:highlight w:val="none"/>
        </w:rPr>
        <w:t>德阳市罗江区</w:t>
      </w:r>
      <w:r>
        <w:rPr>
          <w:rFonts w:hint="eastAsia" w:ascii="Times New Roman" w:hAnsi="Times New Roman" w:cs="Times New Roman"/>
          <w:color w:val="auto"/>
          <w:szCs w:val="32"/>
          <w:highlight w:val="none"/>
          <w:lang w:val="en-US" w:eastAsia="zh-CN"/>
        </w:rPr>
        <w:t>行政审批局</w:t>
      </w:r>
      <w:r>
        <w:rPr>
          <w:rFonts w:hint="default" w:ascii="Times New Roman" w:hAnsi="Times New Roman" w:cs="Times New Roman"/>
          <w:color w:val="auto"/>
          <w:szCs w:val="32"/>
          <w:highlight w:val="none"/>
        </w:rPr>
        <w:t>负责对项目进行验收并提交资金拨付申请。</w:t>
      </w:r>
      <w:bookmarkEnd w:id="9"/>
    </w:p>
    <w:p>
      <w:pPr>
        <w:pStyle w:val="4"/>
        <w:spacing w:before="0" w:after="0" w:line="580" w:lineRule="exact"/>
        <w:ind w:firstLine="643"/>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3.完成情况</w:t>
      </w:r>
    </w:p>
    <w:p>
      <w:pPr>
        <w:spacing w:line="580" w:lineRule="exact"/>
        <w:ind w:firstLine="640"/>
        <w:rPr>
          <w:rFonts w:hint="default" w:ascii="Times New Roman" w:hAnsi="Times New Roman" w:cs="Times New Roman"/>
          <w:color w:val="auto"/>
          <w:szCs w:val="32"/>
          <w:highlight w:val="none"/>
          <w:lang w:val="en-US" w:eastAsia="zh-CN"/>
        </w:rPr>
      </w:pPr>
      <w:bookmarkStart w:id="10" w:name="_Hlk118753369"/>
      <w:r>
        <w:rPr>
          <w:rFonts w:hint="default" w:ascii="Times New Roman" w:hAnsi="Times New Roman" w:cs="Times New Roman"/>
          <w:color w:val="auto"/>
          <w:szCs w:val="32"/>
          <w:highlight w:val="none"/>
        </w:rPr>
        <w:t>德阳市罗江区</w:t>
      </w:r>
      <w:r>
        <w:rPr>
          <w:rFonts w:hint="eastAsia" w:ascii="Times New Roman" w:hAnsi="Times New Roman" w:cs="Times New Roman"/>
          <w:color w:val="auto"/>
          <w:szCs w:val="32"/>
          <w:highlight w:val="none"/>
          <w:lang w:val="en-US" w:eastAsia="zh-CN"/>
        </w:rPr>
        <w:t>行政审批局</w:t>
      </w:r>
      <w:r>
        <w:rPr>
          <w:rFonts w:hint="eastAsia" w:ascii="Times New Roman" w:hAnsi="Times New Roman" w:cs="Times New Roman"/>
          <w:color w:val="auto"/>
          <w:szCs w:val="32"/>
          <w:highlight w:val="none"/>
          <w:lang w:eastAsia="zh-CN"/>
        </w:rPr>
        <w:t>“</w:t>
      </w:r>
      <w:r>
        <w:rPr>
          <w:rFonts w:hint="eastAsia" w:ascii="Times New Roman" w:hAnsi="Times New Roman" w:cs="Times New Roman"/>
          <w:color w:val="auto"/>
          <w:szCs w:val="32"/>
          <w:highlight w:val="none"/>
          <w:lang w:val="en-US" w:eastAsia="zh-CN"/>
        </w:rPr>
        <w:t>应急指挥运营服务采购项目</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围绕</w:t>
      </w:r>
      <w:r>
        <w:rPr>
          <w:rFonts w:hint="eastAsia" w:ascii="Times New Roman" w:hAnsi="Times New Roman" w:cs="Times New Roman"/>
          <w:color w:val="auto"/>
          <w:highlight w:val="none"/>
          <w:lang w:val="en-US" w:eastAsia="zh-CN"/>
        </w:rPr>
        <w:t>罗江区公安分局5楼323.8平方米的场所作为罗江区应急指挥调度中心，包含应急指挥大联勤操作席位、快处中心、观摩区、会商室、茶水间等功能区建设，同时配备必要的信息化软、硬件设施设备，实现应急指挥、项目调度、新冠疫情防控等多功能。旨在解决目前应急管理工作防的差抗的弱、救的难、信息散的问题，拟通过建立应急管理信息化服务体系，实现部－省－市－县－乡全国五级应急体系上下贯通、左右协同、数据共享、高效调度，实现扁平化、一体化指挥作战，极大地提升罗江区应急指挥调度能力，进一步保障罗江人民群众的生命财产安全。截至2022年12月31日，</w:t>
      </w:r>
      <w:r>
        <w:rPr>
          <w:rFonts w:hint="eastAsia" w:ascii="Times New Roman" w:hAnsi="Times New Roman" w:cs="Times New Roman"/>
          <w:color w:val="auto"/>
          <w:szCs w:val="32"/>
          <w:highlight w:val="none"/>
          <w:lang w:val="en-US" w:eastAsia="zh-CN"/>
        </w:rPr>
        <w:t>应急指挥运营服务采购项目已完成实施，并通过验收。</w:t>
      </w:r>
    </w:p>
    <w:bookmarkEnd w:id="10"/>
    <w:p>
      <w:pPr>
        <w:pStyle w:val="2"/>
        <w:spacing w:before="0" w:after="0" w:line="580" w:lineRule="exact"/>
        <w:ind w:firstLine="640"/>
        <w:rPr>
          <w:rFonts w:hint="default" w:ascii="Times New Roman" w:hAnsi="Times New Roman" w:eastAsia="黑体" w:cs="Times New Roman"/>
          <w:b w:val="0"/>
          <w:bCs/>
          <w:color w:val="auto"/>
          <w:sz w:val="32"/>
          <w:szCs w:val="20"/>
          <w:highlight w:val="none"/>
        </w:rPr>
      </w:pPr>
      <w:bookmarkStart w:id="11" w:name="_Toc9532"/>
      <w:r>
        <w:rPr>
          <w:rFonts w:hint="default" w:ascii="Times New Roman" w:hAnsi="Times New Roman" w:eastAsia="黑体" w:cs="Times New Roman"/>
          <w:b w:val="0"/>
          <w:bCs/>
          <w:color w:val="auto"/>
          <w:sz w:val="32"/>
          <w:szCs w:val="20"/>
          <w:highlight w:val="none"/>
        </w:rPr>
        <w:t>二、评价工作开展情况</w:t>
      </w:r>
      <w:bookmarkEnd w:id="11"/>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2" w:name="_Toc4964"/>
      <w:r>
        <w:rPr>
          <w:rFonts w:hint="default" w:ascii="Times New Roman" w:hAnsi="Times New Roman" w:eastAsia="楷体_GB2312" w:cs="Times New Roman"/>
          <w:color w:val="auto"/>
          <w:sz w:val="32"/>
          <w:szCs w:val="32"/>
          <w:highlight w:val="none"/>
        </w:rPr>
        <w:t>（一）绩效评价的目的</w:t>
      </w:r>
      <w:bookmarkEnd w:id="12"/>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本次以评价德阳市罗江</w:t>
      </w:r>
      <w:r>
        <w:rPr>
          <w:rFonts w:hint="eastAsia" w:ascii="Times New Roman" w:hAnsi="Times New Roman" w:cs="Times New Roman"/>
          <w:color w:val="auto"/>
          <w:highlight w:val="none"/>
          <w:lang w:val="en-US" w:eastAsia="zh-CN"/>
        </w:rPr>
        <w:t>区行政审批局</w:t>
      </w:r>
      <w:r>
        <w:rPr>
          <w:rFonts w:hint="eastAsia" w:ascii="Times New Roman" w:hAnsi="Times New Roman" w:cs="Times New Roman"/>
          <w:color w:val="auto"/>
          <w:highlight w:val="none"/>
          <w:lang w:eastAsia="zh-CN"/>
        </w:rPr>
        <w:t>“</w:t>
      </w:r>
      <w:r>
        <w:rPr>
          <w:rFonts w:hint="eastAsia" w:ascii="Times New Roman" w:hAnsi="Times New Roman" w:cs="Times New Roman"/>
          <w:color w:val="auto"/>
          <w:szCs w:val="32"/>
          <w:highlight w:val="none"/>
          <w:lang w:val="en-US" w:eastAsia="zh-CN"/>
        </w:rPr>
        <w:t>应急指挥运营服务采购项目</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项目产生的效果为导向，通过系统整理和分析项目的</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决策</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过程</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产出</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效果</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等情况，对本项目的经济性、效率性、效益性和公平性进行客观、公正</w:t>
      </w:r>
      <w:r>
        <w:rPr>
          <w:rFonts w:hint="eastAsia" w:ascii="Times New Roman" w:hAnsi="Times New Roman" w:cs="Times New Roman"/>
          <w:color w:val="auto"/>
          <w:highlight w:val="none"/>
          <w:lang w:eastAsia="zh-CN"/>
        </w:rPr>
        <w:t>地</w:t>
      </w:r>
      <w:r>
        <w:rPr>
          <w:rFonts w:hint="default" w:ascii="Times New Roman" w:hAnsi="Times New Roman" w:cs="Times New Roman"/>
          <w:color w:val="auto"/>
          <w:highlight w:val="none"/>
        </w:rPr>
        <w:t>测量、分析和评判。同时，梳理项目存在的主要问题，提出改善后继管理的建议，为优化财政支出管理，进一步完善和实施绩效目标制定、绩效动态跟踪、绩效评价、结果应用等全过程预算绩效管理提供决策依据，为下一步实施预算绩效管理奠定基础。具体目标如下：</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1.通过评价，了解德阳市罗江区</w:t>
      </w:r>
      <w:r>
        <w:rPr>
          <w:rFonts w:hint="eastAsia" w:ascii="Times New Roman" w:hAnsi="Times New Roman" w:cs="Times New Roman"/>
          <w:color w:val="auto"/>
          <w:highlight w:val="none"/>
          <w:lang w:val="en-US" w:eastAsia="zh-CN"/>
        </w:rPr>
        <w:t>行政审批局</w:t>
      </w:r>
      <w:r>
        <w:rPr>
          <w:rFonts w:hint="eastAsia" w:ascii="Times New Roman" w:hAnsi="Times New Roman" w:cs="Times New Roman"/>
          <w:color w:val="auto"/>
          <w:highlight w:val="none"/>
          <w:lang w:eastAsia="zh-CN"/>
        </w:rPr>
        <w:t>“</w:t>
      </w:r>
      <w:r>
        <w:rPr>
          <w:rFonts w:hint="eastAsia" w:ascii="Times New Roman" w:hAnsi="Times New Roman" w:cs="Times New Roman"/>
          <w:color w:val="auto"/>
          <w:szCs w:val="32"/>
          <w:highlight w:val="none"/>
          <w:lang w:val="en-US" w:eastAsia="zh-CN"/>
        </w:rPr>
        <w:t>德阳市罗江区应急指挥运营服务采购项目</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项目的基本状况，对项目的实施背景和目的、实施内容和现状、预算安排及使用情况深入调研和分析；</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2.通过评价，了解德阳市罗江区</w:t>
      </w:r>
      <w:r>
        <w:rPr>
          <w:rFonts w:hint="eastAsia" w:ascii="Times New Roman" w:hAnsi="Times New Roman" w:cs="Times New Roman"/>
          <w:color w:val="auto"/>
          <w:highlight w:val="none"/>
          <w:lang w:val="en-US" w:eastAsia="zh-CN"/>
        </w:rPr>
        <w:t>行政审批局</w:t>
      </w:r>
      <w:r>
        <w:rPr>
          <w:rFonts w:hint="eastAsia" w:ascii="Times New Roman" w:hAnsi="Times New Roman" w:cs="Times New Roman"/>
          <w:color w:val="auto"/>
          <w:highlight w:val="none"/>
          <w:lang w:eastAsia="zh-CN"/>
        </w:rPr>
        <w:t>“</w:t>
      </w:r>
      <w:r>
        <w:rPr>
          <w:rFonts w:hint="eastAsia" w:ascii="Times New Roman" w:hAnsi="Times New Roman" w:cs="Times New Roman"/>
          <w:color w:val="auto"/>
          <w:szCs w:val="32"/>
          <w:highlight w:val="none"/>
          <w:lang w:val="en-US" w:eastAsia="zh-CN"/>
        </w:rPr>
        <w:t>德阳市罗江区应急指挥运营服务采购项目</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的实际完成情况，了解项目相关组织实施主体在实施过程中的履职情况，评估项目的整体绩效状况；</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3.通过评价，发掘德阳市罗江区</w:t>
      </w:r>
      <w:r>
        <w:rPr>
          <w:rFonts w:hint="eastAsia" w:ascii="Times New Roman" w:hAnsi="Times New Roman" w:cs="Times New Roman"/>
          <w:color w:val="auto"/>
          <w:highlight w:val="none"/>
          <w:lang w:val="en-US" w:eastAsia="zh-CN"/>
        </w:rPr>
        <w:t>行政审批局</w:t>
      </w:r>
      <w:r>
        <w:rPr>
          <w:rFonts w:hint="eastAsia" w:ascii="Times New Roman" w:hAnsi="Times New Roman" w:cs="Times New Roman"/>
          <w:color w:val="auto"/>
          <w:highlight w:val="none"/>
          <w:lang w:eastAsia="zh-CN"/>
        </w:rPr>
        <w:t>“</w:t>
      </w:r>
      <w:r>
        <w:rPr>
          <w:rFonts w:hint="eastAsia" w:ascii="Times New Roman" w:hAnsi="Times New Roman" w:cs="Times New Roman"/>
          <w:color w:val="auto"/>
          <w:szCs w:val="32"/>
          <w:highlight w:val="none"/>
          <w:lang w:val="en-US" w:eastAsia="zh-CN"/>
        </w:rPr>
        <w:t>德阳市罗江区应急指挥运营服务采购项目</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项目所产生的现实意义和实际价值，总结本项目对促进</w:t>
      </w:r>
      <w:r>
        <w:rPr>
          <w:rFonts w:hint="eastAsia" w:ascii="Times New Roman" w:hAnsi="Times New Roman" w:cs="Times New Roman"/>
          <w:color w:val="auto"/>
          <w:highlight w:val="none"/>
          <w:lang w:val="en-US" w:eastAsia="zh-CN"/>
        </w:rPr>
        <w:t>应急指挥能力</w:t>
      </w:r>
      <w:r>
        <w:rPr>
          <w:rFonts w:hint="default" w:ascii="Times New Roman" w:hAnsi="Times New Roman" w:cs="Times New Roman"/>
          <w:color w:val="auto"/>
          <w:highlight w:val="none"/>
        </w:rPr>
        <w:t>的现实指导意义；</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4.通过评价，从</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全面预算绩效管理</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的角度发现项目在决策、实施和管理过程中存在的问题，寻求解决方案，为进一步深化项目管理工作提供依据，促进德阳市罗江区</w:t>
      </w:r>
      <w:r>
        <w:rPr>
          <w:rFonts w:hint="eastAsia" w:ascii="Times New Roman" w:hAnsi="Times New Roman" w:cs="Times New Roman"/>
          <w:color w:val="auto"/>
          <w:highlight w:val="none"/>
          <w:lang w:val="en-US" w:eastAsia="zh-CN"/>
        </w:rPr>
        <w:t>行政审批局</w:t>
      </w:r>
      <w:r>
        <w:rPr>
          <w:rFonts w:hint="default" w:ascii="Times New Roman" w:hAnsi="Times New Roman" w:cs="Times New Roman"/>
          <w:color w:val="auto"/>
          <w:highlight w:val="none"/>
        </w:rPr>
        <w:t>的管理水平，提高财政资金的使用效率和效果，推进预算绩效管理。</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3" w:name="_Toc21170"/>
      <w:r>
        <w:rPr>
          <w:rFonts w:hint="default" w:ascii="Times New Roman" w:hAnsi="Times New Roman" w:eastAsia="楷体_GB2312" w:cs="Times New Roman"/>
          <w:color w:val="auto"/>
          <w:sz w:val="32"/>
          <w:szCs w:val="32"/>
          <w:highlight w:val="none"/>
        </w:rPr>
        <w:t>（二）评价的思路、原则、依据及方法</w:t>
      </w:r>
      <w:bookmarkEnd w:id="13"/>
    </w:p>
    <w:p>
      <w:pPr>
        <w:pStyle w:val="4"/>
        <w:spacing w:before="0" w:after="0" w:line="580" w:lineRule="exact"/>
        <w:ind w:firstLine="643"/>
        <w:rPr>
          <w:rFonts w:hint="default" w:ascii="Times New Roman" w:hAnsi="Times New Roman" w:cs="Times New Roman"/>
          <w:bCs/>
          <w:color w:val="auto"/>
          <w:szCs w:val="32"/>
          <w:highlight w:val="none"/>
        </w:rPr>
      </w:pPr>
      <w:r>
        <w:rPr>
          <w:rFonts w:hint="default" w:ascii="Times New Roman" w:hAnsi="Times New Roman" w:cs="Times New Roman"/>
          <w:bCs/>
          <w:color w:val="auto"/>
          <w:szCs w:val="32"/>
          <w:highlight w:val="none"/>
        </w:rPr>
        <w:t>1.评价思路</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评价小组以既顾及全面，又突出重点作为本次绩效评价工作的总体思路开展绩效评价工作。通过分析</w:t>
      </w:r>
      <w:r>
        <w:rPr>
          <w:rFonts w:hint="eastAsia" w:ascii="Times New Roman" w:hAnsi="Times New Roman" w:cs="Times New Roman"/>
          <w:color w:val="auto"/>
          <w:szCs w:val="32"/>
          <w:highlight w:val="none"/>
          <w:lang w:eastAsia="zh-CN"/>
        </w:rPr>
        <w:t>德阳市罗江区行政审批局</w:t>
      </w:r>
      <w:r>
        <w:rPr>
          <w:rFonts w:hint="default" w:ascii="Times New Roman" w:hAnsi="Times New Roman" w:cs="Times New Roman"/>
          <w:color w:val="auto"/>
          <w:highlight w:val="none"/>
        </w:rPr>
        <w:t>等</w:t>
      </w:r>
      <w:r>
        <w:rPr>
          <w:rFonts w:hint="default" w:ascii="Times New Roman" w:hAnsi="Times New Roman" w:cs="Times New Roman"/>
          <w:color w:val="auto"/>
          <w:szCs w:val="32"/>
          <w:highlight w:val="none"/>
        </w:rPr>
        <w:t>组织实施主体提供的《四川省应急管理信息化发展规划（2020</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2022年）》（川急〔2020〕85号）、《2020年四川省应急管理信息化工作要点》、德阳市罗江区政府投资建设项目推进办公室《关于研究罗江区购买应急指挥调度运维服务有关事宜的通知》（德市罗项目推进办函2022-5号）</w:t>
      </w:r>
      <w:r>
        <w:rPr>
          <w:rFonts w:hint="eastAsia" w:ascii="Times New Roman" w:hAnsi="Times New Roman" w:cs="Times New Roman"/>
          <w:color w:val="auto"/>
          <w:szCs w:val="32"/>
          <w:highlight w:val="none"/>
          <w:lang w:val="en-US" w:eastAsia="zh-CN"/>
        </w:rPr>
        <w:t>以及</w:t>
      </w:r>
      <w:r>
        <w:rPr>
          <w:rFonts w:hint="default" w:ascii="Times New Roman" w:hAnsi="Times New Roman" w:cs="Times New Roman"/>
          <w:color w:val="auto"/>
          <w:szCs w:val="32"/>
          <w:highlight w:val="none"/>
        </w:rPr>
        <w:t>德阳市罗江区人民政府办公室关于印发</w:t>
      </w:r>
      <w:r>
        <w:rPr>
          <w:rFonts w:hint="eastAsia" w:ascii="Times New Roman" w:hAnsi="Times New Roman" w:cs="Times New Roman"/>
          <w:color w:val="auto"/>
          <w:szCs w:val="32"/>
          <w:highlight w:val="none"/>
          <w:lang w:eastAsia="zh-CN"/>
        </w:rPr>
        <w:t>《德阳市罗江区财政局关于开展2022年重点绩效评价工作的通知》（德市罗财绩〔2023〕6号）</w:t>
      </w:r>
      <w:r>
        <w:rPr>
          <w:rFonts w:hint="default" w:ascii="Times New Roman" w:hAnsi="Times New Roman" w:cs="Times New Roman"/>
          <w:color w:val="auto"/>
          <w:szCs w:val="32"/>
          <w:highlight w:val="none"/>
        </w:rPr>
        <w:t>等立项文件及资金使用明细、质量验收等资料，全面把握</w:t>
      </w:r>
      <w:r>
        <w:rPr>
          <w:rFonts w:hint="eastAsia" w:ascii="Times New Roman" w:hAnsi="Times New Roman" w:cs="Times New Roman"/>
          <w:color w:val="auto"/>
          <w:szCs w:val="32"/>
          <w:highlight w:val="none"/>
          <w:lang w:eastAsia="zh-CN"/>
        </w:rPr>
        <w:t>“德阳市罗江区应急指挥运营服务采购项目”</w:t>
      </w:r>
      <w:r>
        <w:rPr>
          <w:rFonts w:hint="default" w:ascii="Times New Roman" w:hAnsi="Times New Roman" w:cs="Times New Roman"/>
          <w:color w:val="auto"/>
          <w:szCs w:val="32"/>
          <w:highlight w:val="none"/>
        </w:rPr>
        <w:t>的总体目标及资金使用情况，全面了解项目的立项、预算申请与批复、组织实施、项目验收移交、决算、资金拨付、监督管理等工作流程。通过社会调研、访谈等途径获取</w:t>
      </w:r>
      <w:r>
        <w:rPr>
          <w:rFonts w:hint="eastAsia" w:ascii="Times New Roman" w:hAnsi="Times New Roman" w:cs="Times New Roman"/>
          <w:color w:val="auto"/>
          <w:szCs w:val="32"/>
          <w:highlight w:val="none"/>
          <w:lang w:eastAsia="zh-CN"/>
        </w:rPr>
        <w:t>“德阳市罗江区应急指挥运营服务采购项目”</w:t>
      </w:r>
      <w:r>
        <w:rPr>
          <w:rFonts w:hint="default" w:ascii="Times New Roman" w:hAnsi="Times New Roman" w:cs="Times New Roman"/>
          <w:color w:val="auto"/>
          <w:szCs w:val="32"/>
          <w:highlight w:val="none"/>
        </w:rPr>
        <w:t>项目的基础资料，综合使用政策研究、数据分析、归纳总结等方式，深挖项目中存在的问题，并提出切实可行的解决方案。</w:t>
      </w:r>
    </w:p>
    <w:p>
      <w:pPr>
        <w:pStyle w:val="4"/>
        <w:spacing w:before="0" w:after="0" w:line="580" w:lineRule="exact"/>
        <w:ind w:firstLine="643"/>
        <w:rPr>
          <w:rFonts w:hint="default" w:ascii="Times New Roman" w:hAnsi="Times New Roman" w:cs="Times New Roman"/>
          <w:bCs/>
          <w:color w:val="auto"/>
          <w:szCs w:val="32"/>
          <w:highlight w:val="none"/>
        </w:rPr>
      </w:pPr>
      <w:r>
        <w:rPr>
          <w:rFonts w:hint="default" w:ascii="Times New Roman" w:hAnsi="Times New Roman" w:cs="Times New Roman"/>
          <w:bCs/>
          <w:color w:val="auto"/>
          <w:szCs w:val="32"/>
          <w:highlight w:val="none"/>
        </w:rPr>
        <w:t>2.评价原则</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（1）科学规范原则</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szCs w:val="32"/>
          <w:highlight w:val="none"/>
        </w:rPr>
        <w:t>根据《关于全面实施预算绩效管理的意见》（中发〔2018〕</w:t>
      </w:r>
      <w:r>
        <w:rPr>
          <w:rFonts w:hint="default" w:ascii="Times New Roman" w:hAnsi="Times New Roman" w:cs="Times New Roman"/>
          <w:color w:val="auto"/>
          <w:highlight w:val="none"/>
        </w:rPr>
        <w:t>34号）、财政部《关于印发〈预算绩效评价共性指标体系框架〉的通知》（财预〔2013〕53号）及《项目支出绩效评价管理办法》（财预〔2020〕10号）、</w:t>
      </w:r>
      <w:r>
        <w:rPr>
          <w:rFonts w:hint="default" w:ascii="Times New Roman" w:hAnsi="Times New Roman" w:cs="Times New Roman"/>
          <w:color w:val="auto"/>
          <w:szCs w:val="32"/>
          <w:highlight w:val="none"/>
        </w:rPr>
        <w:t>《中共四川省委 四川省人民政府关于全面实施预算绩效管理的实施意见》（川委发〔2019〕8号）、《德阳市罗江区财政局关于开展2022年重点绩效评价工作的通知》（</w:t>
      </w:r>
      <w:r>
        <w:rPr>
          <w:rFonts w:hint="eastAsia" w:ascii="Times New Roman" w:hAnsi="Times New Roman" w:cs="Times New Roman"/>
          <w:color w:val="auto"/>
          <w:szCs w:val="32"/>
          <w:highlight w:val="none"/>
          <w:lang w:eastAsia="zh-CN"/>
        </w:rPr>
        <w:t>德市罗财绩〔2023〕6号</w:t>
      </w:r>
      <w:r>
        <w:rPr>
          <w:rFonts w:hint="default" w:ascii="Times New Roman" w:hAnsi="Times New Roman" w:cs="Times New Roman"/>
          <w:color w:val="auto"/>
          <w:szCs w:val="32"/>
          <w:highlight w:val="none"/>
        </w:rPr>
        <w:t>）</w:t>
      </w:r>
      <w:r>
        <w:rPr>
          <w:rFonts w:hint="default" w:ascii="Times New Roman" w:hAnsi="Times New Roman" w:cs="Times New Roman"/>
          <w:color w:val="auto"/>
          <w:highlight w:val="none"/>
        </w:rPr>
        <w:t>中对项目支出绩效评价的相关要求，评价小组对收集到的数据进行整理，并对发现的问题及时处理，保证评价程序的科学性、规范性。</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（2）公开公正原则</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从评价目标的设定、指标体系的设计、数据收集与填报、复核等所有环节，都必须保障评价过程的公开性、程序的规范性和合理性，评价小组应及时处理评价过程中发现的问题，以此保证评价结果的准确性和科学性。</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（3）独立客观原则</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评价以数据为准绳，坚持评价的客观性。即由相关部门填报或提供数据，评价小组根据填报或提供的数据，在进行汇总、分析、评价的基础上独立开展绩效评价工作，得出评价结论，并形成评价报告。</w:t>
      </w:r>
    </w:p>
    <w:p>
      <w:pPr>
        <w:pStyle w:val="4"/>
        <w:spacing w:before="0" w:after="0" w:line="580" w:lineRule="exact"/>
        <w:ind w:firstLine="643"/>
        <w:rPr>
          <w:rFonts w:hint="default" w:ascii="Times New Roman" w:hAnsi="Times New Roman" w:cs="Times New Roman"/>
          <w:bCs/>
          <w:color w:val="auto"/>
          <w:szCs w:val="32"/>
          <w:highlight w:val="none"/>
        </w:rPr>
      </w:pPr>
      <w:r>
        <w:rPr>
          <w:rFonts w:hint="default" w:ascii="Times New Roman" w:hAnsi="Times New Roman" w:cs="Times New Roman"/>
          <w:bCs/>
          <w:color w:val="auto"/>
          <w:szCs w:val="32"/>
          <w:highlight w:val="none"/>
        </w:rPr>
        <w:t>3.评价依据及方法</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评价小组在绩效评价过程中，参照的评价依据包括但不限于：国家、省、市、区或县相关法律法规、方针政策、规章制度；国家、省、市、区或县各级政府制定的国民经济与社会发展规划；各级财政部门制定的绩效管理制度及工作规范；部门（单位）职能职责；中长期发展规划和年度工作计划；绩效目标等，具体如下：</w:t>
      </w:r>
    </w:p>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表2-1 项目支出绩效评价依据</w:t>
      </w:r>
    </w:p>
    <w:tbl>
      <w:tblPr>
        <w:tblStyle w:val="13"/>
        <w:tblW w:w="887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76"/>
        <w:gridCol w:w="578"/>
        <w:gridCol w:w="69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atLeast"/>
          <w:tblHeader/>
        </w:trPr>
        <w:tc>
          <w:tcPr>
            <w:tcW w:w="1376"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类型</w:t>
            </w: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序号</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文件名称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376" w:type="dxa"/>
            <w:vMerge w:val="restart"/>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绩效管理类</w:t>
            </w: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1</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《关于全面实施预算绩效管理的意见》（中发〔2018〕34号）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376" w:type="dxa"/>
            <w:vMerge w:val="continue"/>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2</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《关于印发〈预算绩效评价共性指标体系框架〉的通知》（财预〔2013〕53号）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376" w:type="dxa"/>
            <w:vMerge w:val="continue"/>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3</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《项目支出绩效评价管理办法》（财预〔2020〕10号）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376" w:type="dxa"/>
            <w:vMerge w:val="continue"/>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4</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《中共四川省委 四川省人民政府关于全面实施预算绩效管理的实施意见》（川委发〔2019〕8号）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376" w:type="dxa"/>
            <w:vMerge w:val="continue"/>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5</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《德阳市罗江区财政局关于开展2022年重点绩效评价工作的通知》（</w:t>
            </w:r>
            <w:r>
              <w:rPr>
                <w:rFonts w:hint="eastAsia" w:ascii="Times New Roman" w:hAnsi="Times New Roman" w:cs="Times New Roman"/>
                <w:color w:val="auto"/>
                <w:sz w:val="24"/>
                <w:highlight w:val="none"/>
                <w:lang w:eastAsia="zh-CN"/>
              </w:rPr>
              <w:t>德市罗财绩〔2023〕6号</w:t>
            </w:r>
            <w:r>
              <w:rPr>
                <w:rFonts w:hint="default" w:ascii="Times New Roman" w:hAnsi="Times New Roman" w:cs="Times New Roman"/>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376" w:type="dxa"/>
            <w:vMerge w:val="restart"/>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业务相关类</w:t>
            </w: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6</w:t>
            </w:r>
          </w:p>
        </w:tc>
        <w:tc>
          <w:tcPr>
            <w:tcW w:w="6921"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rPr>
              <w:t>《四川省</w:t>
            </w:r>
            <w:r>
              <w:rPr>
                <w:rFonts w:hint="eastAsia" w:ascii="Times New Roman" w:hAnsi="Times New Roman" w:cs="Times New Roman"/>
                <w:color w:val="auto"/>
                <w:sz w:val="24"/>
                <w:highlight w:val="none"/>
                <w:lang w:val="en-US" w:eastAsia="zh-CN"/>
              </w:rPr>
              <w:t>应急管理信息化发展规划（2020—2022年）》（川急</w:t>
            </w:r>
            <w:r>
              <w:rPr>
                <w:rFonts w:hint="default" w:ascii="Times New Roman" w:hAnsi="Times New Roman" w:cs="Times New Roman"/>
                <w:color w:val="auto"/>
                <w:sz w:val="24"/>
                <w:highlight w:val="none"/>
              </w:rPr>
              <w:t>〔2020〕</w:t>
            </w:r>
            <w:r>
              <w:rPr>
                <w:rFonts w:hint="eastAsia" w:ascii="Times New Roman" w:hAnsi="Times New Roman" w:cs="Times New Roman"/>
                <w:color w:val="auto"/>
                <w:sz w:val="24"/>
                <w:highlight w:val="none"/>
                <w:lang w:val="en-US" w:eastAsia="zh-CN"/>
              </w:rPr>
              <w:t>85</w:t>
            </w:r>
            <w:r>
              <w:rPr>
                <w:rFonts w:hint="default" w:ascii="Times New Roman" w:hAnsi="Times New Roman" w:cs="Times New Roman"/>
                <w:color w:val="auto"/>
                <w:sz w:val="24"/>
                <w:highlight w:val="none"/>
              </w:rPr>
              <w:t>号</w:t>
            </w:r>
            <w:r>
              <w:rPr>
                <w:rFonts w:hint="eastAsia" w:ascii="Times New Roman" w:hAnsi="Times New Roman" w:cs="Times New Roman"/>
                <w:color w:val="auto"/>
                <w:sz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376" w:type="dxa"/>
            <w:vMerge w:val="continue"/>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kern w:val="0"/>
                <w:sz w:val="24"/>
                <w:highlight w:val="none"/>
                <w:lang w:bidi="ar"/>
              </w:rPr>
            </w:pPr>
            <w:r>
              <w:rPr>
                <w:rFonts w:hint="default" w:ascii="Times New Roman" w:hAnsi="Times New Roman" w:cs="Times New Roman"/>
                <w:color w:val="auto"/>
                <w:kern w:val="0"/>
                <w:sz w:val="24"/>
                <w:highlight w:val="none"/>
                <w:lang w:bidi="ar"/>
              </w:rPr>
              <w:t>7</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eastAsia" w:ascii="Times New Roman" w:hAnsi="Times New Roman" w:eastAsia="仿宋_GB2312" w:cs="Times New Roman"/>
                <w:color w:val="auto"/>
                <w:kern w:val="0"/>
                <w:sz w:val="24"/>
                <w:highlight w:val="none"/>
                <w:lang w:eastAsia="zh-CN" w:bidi="ar"/>
              </w:rPr>
            </w:pPr>
            <w:r>
              <w:rPr>
                <w:rFonts w:hint="eastAsia" w:ascii="Times New Roman" w:hAnsi="Times New Roman" w:cs="Times New Roman"/>
                <w:color w:val="auto"/>
                <w:kern w:val="0"/>
                <w:sz w:val="24"/>
                <w:highlight w:val="none"/>
                <w:lang w:eastAsia="zh-CN" w:bidi="ar"/>
              </w:rPr>
              <w:t>《</w:t>
            </w:r>
            <w:r>
              <w:rPr>
                <w:rFonts w:hint="eastAsia" w:ascii="Times New Roman" w:hAnsi="Times New Roman" w:cs="Times New Roman"/>
                <w:color w:val="auto"/>
                <w:kern w:val="0"/>
                <w:sz w:val="24"/>
                <w:highlight w:val="none"/>
                <w:lang w:val="en-US" w:eastAsia="zh-CN" w:bidi="ar"/>
              </w:rPr>
              <w:t>2020年四川省应急管理信息化工作要点</w:t>
            </w:r>
            <w:r>
              <w:rPr>
                <w:rFonts w:hint="eastAsia" w:ascii="Times New Roman" w:hAnsi="Times New Roman" w:cs="Times New Roman"/>
                <w:color w:val="auto"/>
                <w:kern w:val="0"/>
                <w:sz w:val="24"/>
                <w:highlight w:val="none"/>
                <w:lang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376" w:type="dxa"/>
            <w:vMerge w:val="continue"/>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kern w:val="0"/>
                <w:sz w:val="24"/>
                <w:highlight w:val="none"/>
                <w:lang w:bidi="ar"/>
              </w:rPr>
            </w:pPr>
            <w:r>
              <w:rPr>
                <w:rFonts w:hint="default" w:ascii="Times New Roman" w:hAnsi="Times New Roman" w:cs="Times New Roman"/>
                <w:color w:val="auto"/>
                <w:kern w:val="0"/>
                <w:sz w:val="24"/>
                <w:highlight w:val="none"/>
                <w:lang w:bidi="ar"/>
              </w:rPr>
              <w:t>8</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kern w:val="0"/>
                <w:sz w:val="24"/>
                <w:highlight w:val="none"/>
                <w:lang w:bidi="ar"/>
              </w:rPr>
            </w:pPr>
            <w:r>
              <w:rPr>
                <w:rFonts w:hint="eastAsia" w:ascii="Times New Roman" w:hAnsi="Times New Roman" w:cs="Times New Roman"/>
                <w:color w:val="auto"/>
                <w:sz w:val="24"/>
                <w:highlight w:val="none"/>
                <w:lang w:val="en-US" w:eastAsia="zh-CN"/>
              </w:rPr>
              <w:t>德阳市罗江区政府投资建设项目推进办公室《关于研究罗江区购买应急指挥调度运维服务有关事宜的通知》（德市罗项目推进办函 2022-5号）</w:t>
            </w:r>
          </w:p>
        </w:tc>
      </w:tr>
    </w:tbl>
    <w:p>
      <w:pPr>
        <w:keepNext w:val="0"/>
        <w:keepLines w:val="0"/>
        <w:pageBreakBefore w:val="0"/>
        <w:widowControl w:val="0"/>
        <w:kinsoku/>
        <w:wordWrap/>
        <w:overflowPunct/>
        <w:topLinePunct w:val="0"/>
        <w:autoSpaceDE/>
        <w:autoSpaceDN/>
        <w:bidi w:val="0"/>
        <w:adjustRightInd/>
        <w:snapToGrid/>
        <w:spacing w:before="312" w:beforeLines="100" w:line="580" w:lineRule="exact"/>
        <w:ind w:firstLine="640"/>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rPr>
        <w:t>本项目采用的绩效评价方法主要包括文献研究法、目标评价法、抽样复核法、公众评判法、逻辑分析法等。</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4" w:name="_Toc1314"/>
      <w:r>
        <w:rPr>
          <w:rFonts w:hint="default" w:ascii="Times New Roman" w:hAnsi="Times New Roman" w:eastAsia="楷体_GB2312" w:cs="Times New Roman"/>
          <w:color w:val="auto"/>
          <w:sz w:val="32"/>
          <w:szCs w:val="32"/>
          <w:highlight w:val="none"/>
        </w:rPr>
        <w:t>（三）数据采集方法及过程</w:t>
      </w:r>
      <w:bookmarkEnd w:id="14"/>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本次绩效评价工作需要的数据包括定性数据和定量数据两种类别，定性数据主要是通过实地考察、现场访谈、电话沟通等社会调查方式进行采集，定量数据主要通过项目单位和其他相关单位填报基础数据采集表的方式进行采集；此外，调查组对采集的数据进行了复核，确保数据的准确性。</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5" w:name="_Toc13241"/>
      <w:r>
        <w:rPr>
          <w:rFonts w:hint="default" w:ascii="Times New Roman" w:hAnsi="Times New Roman" w:eastAsia="楷体_GB2312" w:cs="Times New Roman"/>
          <w:color w:val="auto"/>
          <w:sz w:val="32"/>
          <w:szCs w:val="32"/>
          <w:highlight w:val="none"/>
        </w:rPr>
        <w:t>（四）绩效评价实施过程</w:t>
      </w:r>
      <w:bookmarkEnd w:id="15"/>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highlight w:val="none"/>
        </w:rPr>
        <w:t>德阳市罗江区</w:t>
      </w:r>
      <w:r>
        <w:rPr>
          <w:rFonts w:hint="eastAsia" w:ascii="Times New Roman" w:hAnsi="Times New Roman" w:cs="Times New Roman"/>
          <w:color w:val="auto"/>
          <w:highlight w:val="none"/>
          <w:lang w:val="en-US" w:eastAsia="zh-CN"/>
        </w:rPr>
        <w:t>行政审批局</w:t>
      </w:r>
      <w:r>
        <w:rPr>
          <w:rFonts w:hint="eastAsia" w:ascii="Times New Roman" w:hAnsi="Times New Roman" w:cs="Times New Roman"/>
          <w:color w:val="auto"/>
          <w:highlight w:val="none"/>
          <w:lang w:eastAsia="zh-CN"/>
        </w:rPr>
        <w:t>“</w:t>
      </w:r>
      <w:r>
        <w:rPr>
          <w:rFonts w:hint="eastAsia" w:ascii="Times New Roman" w:hAnsi="Times New Roman" w:cs="Times New Roman"/>
          <w:color w:val="auto"/>
          <w:szCs w:val="32"/>
          <w:highlight w:val="none"/>
          <w:lang w:val="en-US" w:eastAsia="zh-CN"/>
        </w:rPr>
        <w:t>德阳市罗江区应急指挥运营服务采购项目</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项</w:t>
      </w:r>
      <w:r>
        <w:rPr>
          <w:rFonts w:hint="default" w:ascii="Times New Roman" w:hAnsi="Times New Roman" w:cs="Times New Roman"/>
          <w:color w:val="auto"/>
          <w:szCs w:val="32"/>
          <w:highlight w:val="none"/>
        </w:rPr>
        <w:t>目绩效评价的具体实施程序如下：</w:t>
      </w:r>
    </w:p>
    <w:p>
      <w:pPr>
        <w:spacing w:line="580" w:lineRule="exact"/>
        <w:ind w:firstLine="643"/>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1.前期沟通与基础资料收集</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成立绩效评价小组，搜集项目资料，全面了解项目基本情况，就项目内容和绩效评价中的关键问题同</w:t>
      </w:r>
      <w:r>
        <w:rPr>
          <w:rFonts w:hint="default" w:ascii="Times New Roman" w:hAnsi="Times New Roman" w:cs="Times New Roman"/>
          <w:color w:val="auto"/>
          <w:szCs w:val="32"/>
          <w:highlight w:val="none"/>
          <w:lang w:val="en-US" w:eastAsia="zh-CN"/>
        </w:rPr>
        <w:t>罗江</w:t>
      </w:r>
      <w:r>
        <w:rPr>
          <w:rFonts w:hint="default" w:ascii="Times New Roman" w:hAnsi="Times New Roman" w:cs="Times New Roman"/>
          <w:color w:val="auto"/>
          <w:szCs w:val="32"/>
          <w:highlight w:val="none"/>
        </w:rPr>
        <w:t>区财政局、德阳市</w:t>
      </w:r>
      <w:r>
        <w:rPr>
          <w:rFonts w:hint="eastAsia" w:ascii="Times New Roman" w:hAnsi="Times New Roman" w:cs="Times New Roman"/>
          <w:color w:val="auto"/>
          <w:szCs w:val="32"/>
          <w:highlight w:val="none"/>
          <w:lang w:val="en-US" w:eastAsia="zh-CN"/>
        </w:rPr>
        <w:t>罗江区行政审批局</w:t>
      </w:r>
      <w:r>
        <w:rPr>
          <w:rFonts w:hint="default" w:ascii="Times New Roman" w:hAnsi="Times New Roman" w:cs="Times New Roman"/>
          <w:color w:val="auto"/>
          <w:szCs w:val="32"/>
          <w:highlight w:val="none"/>
        </w:rPr>
        <w:t>等部门进行初步沟通，完成项目基础资料收集，该阶段的实施时间为：202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17</w:t>
      </w:r>
      <w:r>
        <w:rPr>
          <w:rFonts w:hint="default" w:ascii="Times New Roman" w:hAnsi="Times New Roman" w:cs="Times New Roman"/>
          <w:color w:val="auto"/>
          <w:szCs w:val="32"/>
          <w:highlight w:val="none"/>
        </w:rPr>
        <w:t>日至20</w:t>
      </w:r>
      <w:r>
        <w:rPr>
          <w:rFonts w:hint="eastAsia" w:ascii="Times New Roman" w:hAnsi="Times New Roman" w:cs="Times New Roman"/>
          <w:color w:val="auto"/>
          <w:szCs w:val="32"/>
          <w:highlight w:val="none"/>
          <w:lang w:val="en-US" w:eastAsia="zh-CN"/>
        </w:rPr>
        <w:t>23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月21日。</w:t>
      </w:r>
    </w:p>
    <w:p>
      <w:pPr>
        <w:spacing w:line="580" w:lineRule="exact"/>
        <w:ind w:firstLine="643"/>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2.评价方案设计阶段</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评价小组根据前期调研材料梳理项目背景，同时根据项目特点及项目绩效目标有针对性</w:t>
      </w:r>
      <w:r>
        <w:rPr>
          <w:rFonts w:hint="eastAsia" w:ascii="Times New Roman" w:hAnsi="Times New Roman" w:cs="Times New Roman"/>
          <w:color w:val="auto"/>
          <w:szCs w:val="32"/>
          <w:highlight w:val="none"/>
          <w:lang w:eastAsia="zh-CN"/>
        </w:rPr>
        <w:t>地</w:t>
      </w:r>
      <w:r>
        <w:rPr>
          <w:rFonts w:hint="default" w:ascii="Times New Roman" w:hAnsi="Times New Roman" w:cs="Times New Roman"/>
          <w:color w:val="auto"/>
          <w:szCs w:val="32"/>
          <w:highlight w:val="none"/>
        </w:rPr>
        <w:t>设计</w:t>
      </w:r>
      <w:r>
        <w:rPr>
          <w:rFonts w:hint="default" w:ascii="Times New Roman" w:hAnsi="Times New Roman" w:cs="Times New Roman"/>
          <w:color w:val="auto"/>
          <w:szCs w:val="32"/>
          <w:highlight w:val="none"/>
          <w:lang w:eastAsia="zh-Hans"/>
        </w:rPr>
        <w:t>了</w:t>
      </w:r>
      <w:r>
        <w:rPr>
          <w:rFonts w:hint="default" w:ascii="Times New Roman" w:hAnsi="Times New Roman" w:cs="Times New Roman"/>
          <w:color w:val="auto"/>
          <w:szCs w:val="32"/>
          <w:highlight w:val="none"/>
        </w:rPr>
        <w:t>评价指标体系、调查问卷、访谈提纲等，并确定科学、合理的评价方法和评价标准，设计绩效评价工作整体时间进度表。对项目执行过程中可能存在的问题进行预估，并细化评分标准和取证所需的材料。同时，作为受托方，我司建立了专门的质量控制部门，质控部门的质控师针对评价方案的可行性、全面性、简明性等提出了独立、客观、公正的评审意见。评价小组根据质控意见，对项目工作方案进行了调整和完善。该阶段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月22日至202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25</w:t>
      </w:r>
      <w:r>
        <w:rPr>
          <w:rFonts w:hint="default" w:ascii="Times New Roman" w:hAnsi="Times New Roman" w:cs="Times New Roman"/>
          <w:color w:val="auto"/>
          <w:szCs w:val="32"/>
          <w:highlight w:val="none"/>
        </w:rPr>
        <w:t>日。</w:t>
      </w:r>
    </w:p>
    <w:p>
      <w:pPr>
        <w:spacing w:line="580" w:lineRule="exact"/>
        <w:ind w:firstLine="643"/>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3.实地调研与数据分析</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（1）开展社会调研及数据采集</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评价小组对德阳市</w:t>
      </w:r>
      <w:r>
        <w:rPr>
          <w:rFonts w:hint="eastAsia" w:ascii="Times New Roman" w:hAnsi="Times New Roman" w:cs="Times New Roman"/>
          <w:color w:val="auto"/>
          <w:szCs w:val="32"/>
          <w:highlight w:val="none"/>
          <w:lang w:val="en-US" w:eastAsia="zh-CN"/>
        </w:rPr>
        <w:t>罗江区行政审批局</w:t>
      </w:r>
      <w:r>
        <w:rPr>
          <w:rFonts w:hint="eastAsia" w:ascii="Times New Roman" w:hAnsi="Times New Roman" w:cs="Times New Roman"/>
          <w:color w:val="auto"/>
          <w:szCs w:val="32"/>
          <w:highlight w:val="none"/>
          <w:lang w:eastAsia="zh-CN"/>
        </w:rPr>
        <w:t>“</w:t>
      </w:r>
      <w:r>
        <w:rPr>
          <w:rFonts w:hint="eastAsia" w:ascii="Times New Roman" w:hAnsi="Times New Roman" w:cs="Times New Roman"/>
          <w:color w:val="auto"/>
          <w:szCs w:val="32"/>
          <w:highlight w:val="none"/>
          <w:lang w:val="en-US" w:eastAsia="zh-CN"/>
        </w:rPr>
        <w:t>德阳市罗江区应急指挥运营服务采购项目</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项目绩效评价实地调研阶段所涉及的部门有：</w:t>
      </w:r>
      <w:r>
        <w:rPr>
          <w:rFonts w:hint="eastAsia" w:ascii="Times New Roman" w:hAnsi="Times New Roman" w:cs="Times New Roman"/>
          <w:color w:val="auto"/>
          <w:szCs w:val="32"/>
          <w:highlight w:val="none"/>
          <w:lang w:eastAsia="zh-CN"/>
        </w:rPr>
        <w:t>德阳市罗江区行政审批局</w:t>
      </w:r>
      <w:r>
        <w:rPr>
          <w:rFonts w:hint="default" w:ascii="Times New Roman" w:hAnsi="Times New Roman" w:cs="Times New Roman"/>
          <w:color w:val="auto"/>
          <w:szCs w:val="32"/>
          <w:highlight w:val="none"/>
        </w:rPr>
        <w:t>财务部门与业务部门，采取的主要调研手段是资料收集、现场核查、访谈和社会调查。该阶段的实施时间为：202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26</w:t>
      </w:r>
      <w:r>
        <w:rPr>
          <w:rFonts w:hint="default" w:ascii="Times New Roman" w:hAnsi="Times New Roman" w:cs="Times New Roman"/>
          <w:color w:val="auto"/>
          <w:szCs w:val="32"/>
          <w:highlight w:val="none"/>
        </w:rPr>
        <w:t>日至202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31</w:t>
      </w:r>
      <w:r>
        <w:rPr>
          <w:rFonts w:hint="default" w:ascii="Times New Roman" w:hAnsi="Times New Roman" w:cs="Times New Roman"/>
          <w:color w:val="auto"/>
          <w:szCs w:val="32"/>
          <w:highlight w:val="none"/>
        </w:rPr>
        <w:t>日。</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（2）数据整理和分析</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评价小组对采集的数据进行了整理并剔除了部分错误数据，根据整理后的数据和一定的基准衡量指标开展数据分析工作，回答了关键评价问题，并对发现的问题进行了原因解释。该阶段的实施时间为</w:t>
      </w:r>
      <w:r>
        <w:rPr>
          <w:rFonts w:hint="default"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1</w:t>
      </w:r>
      <w:r>
        <w:rPr>
          <w:rFonts w:hint="default" w:ascii="Times New Roman" w:hAnsi="Times New Roman" w:cs="Times New Roman"/>
          <w:color w:val="auto"/>
          <w:szCs w:val="32"/>
          <w:highlight w:val="none"/>
        </w:rPr>
        <w:t>日至202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5</w:t>
      </w:r>
      <w:r>
        <w:rPr>
          <w:rFonts w:hint="default" w:ascii="Times New Roman" w:hAnsi="Times New Roman" w:cs="Times New Roman"/>
          <w:color w:val="auto"/>
          <w:szCs w:val="32"/>
          <w:highlight w:val="none"/>
        </w:rPr>
        <w:t>日。</w:t>
      </w:r>
    </w:p>
    <w:p>
      <w:pPr>
        <w:spacing w:line="580" w:lineRule="exact"/>
        <w:ind w:firstLine="643"/>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4.报告撰写阶段</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评价报告撰写工作的实施时间为：202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6</w:t>
      </w:r>
      <w:r>
        <w:rPr>
          <w:rFonts w:hint="default" w:ascii="Times New Roman" w:hAnsi="Times New Roman" w:cs="Times New Roman"/>
          <w:color w:val="auto"/>
          <w:szCs w:val="32"/>
          <w:highlight w:val="none"/>
        </w:rPr>
        <w:t>日至202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1日。评价组依据制定的评价标准和评分规则，对项目进行了量化打分。依据评价结论和项目管理机制、项目实施过程及项目取得的成效，撰写绩效评价报告，总结经验、分析不足，并针对存在问题提出改进建议。在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9</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1</w:t>
      </w:r>
      <w:r>
        <w:rPr>
          <w:rFonts w:hint="default" w:ascii="Times New Roman" w:hAnsi="Times New Roman" w:cs="Times New Roman"/>
          <w:color w:val="auto"/>
          <w:szCs w:val="32"/>
          <w:highlight w:val="none"/>
        </w:rPr>
        <w:t>日形成了审议稿。</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评价报告修改的实施时间为：202</w:t>
      </w:r>
      <w:r>
        <w:rPr>
          <w:rFonts w:hint="eastAsia"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eastAsia" w:ascii="Times New Roman" w:hAnsi="Times New Roman" w:cs="Times New Roman"/>
          <w:color w:val="auto"/>
          <w:szCs w:val="32"/>
          <w:highlight w:val="none"/>
          <w:lang w:val="en-US" w:eastAsia="zh-CN"/>
        </w:rPr>
        <w:t>9</w:t>
      </w:r>
      <w:r>
        <w:rPr>
          <w:rFonts w:hint="default" w:ascii="Times New Roman" w:hAnsi="Times New Roman" w:cs="Times New Roman"/>
          <w:color w:val="auto"/>
          <w:szCs w:val="32"/>
          <w:highlight w:val="none"/>
        </w:rPr>
        <w:t>月</w:t>
      </w:r>
      <w:r>
        <w:rPr>
          <w:rFonts w:hint="eastAsia" w:ascii="Times New Roman" w:hAnsi="Times New Roman" w:cs="Times New Roman"/>
          <w:color w:val="auto"/>
          <w:szCs w:val="32"/>
          <w:highlight w:val="none"/>
          <w:lang w:val="en-US" w:eastAsia="zh-CN"/>
        </w:rPr>
        <w:t>1</w:t>
      </w:r>
      <w:r>
        <w:rPr>
          <w:rFonts w:hint="default" w:ascii="Times New Roman" w:hAnsi="Times New Roman" w:cs="Times New Roman"/>
          <w:color w:val="auto"/>
          <w:szCs w:val="32"/>
          <w:highlight w:val="none"/>
        </w:rPr>
        <w:t>日</w:t>
      </w:r>
      <w:r>
        <w:rPr>
          <w:rFonts w:hint="default" w:ascii="Times New Roman" w:hAnsi="Times New Roman" w:cs="Times New Roman"/>
          <w:color w:val="auto"/>
          <w:szCs w:val="32"/>
          <w:highlight w:val="none"/>
          <w:lang w:eastAsia="zh-Hans"/>
        </w:rPr>
        <w:t>后</w:t>
      </w:r>
      <w:r>
        <w:rPr>
          <w:rFonts w:hint="default" w:ascii="Times New Roman" w:hAnsi="Times New Roman" w:cs="Times New Roman"/>
          <w:color w:val="auto"/>
          <w:szCs w:val="32"/>
          <w:highlight w:val="none"/>
        </w:rPr>
        <w:t>。我司质控师针对评价报告的可行性、全面性、简明性等提出了独立、客观、公正的评审意见。评价小组根据质控意见，对评价报告进行了修改和完善。</w:t>
      </w:r>
    </w:p>
    <w:p>
      <w:pPr>
        <w:pStyle w:val="2"/>
        <w:spacing w:before="0" w:after="0" w:line="580" w:lineRule="exact"/>
        <w:ind w:firstLine="640"/>
        <w:rPr>
          <w:rFonts w:hint="default" w:ascii="Times New Roman" w:hAnsi="Times New Roman" w:eastAsia="黑体" w:cs="Times New Roman"/>
          <w:b w:val="0"/>
          <w:bCs/>
          <w:color w:val="auto"/>
          <w:sz w:val="32"/>
          <w:szCs w:val="20"/>
          <w:highlight w:val="none"/>
        </w:rPr>
      </w:pPr>
      <w:bookmarkStart w:id="16" w:name="_Toc20852"/>
      <w:r>
        <w:rPr>
          <w:rFonts w:hint="default" w:ascii="Times New Roman" w:hAnsi="Times New Roman" w:eastAsia="黑体" w:cs="Times New Roman"/>
          <w:b w:val="0"/>
          <w:bCs/>
          <w:color w:val="auto"/>
          <w:sz w:val="32"/>
          <w:szCs w:val="20"/>
          <w:highlight w:val="none"/>
        </w:rPr>
        <w:t>三、评价结果与结论</w:t>
      </w:r>
      <w:bookmarkEnd w:id="16"/>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7" w:name="_Toc18993"/>
      <w:r>
        <w:rPr>
          <w:rFonts w:hint="default" w:ascii="Times New Roman" w:hAnsi="Times New Roman" w:eastAsia="楷体_GB2312" w:cs="Times New Roman"/>
          <w:color w:val="auto"/>
          <w:sz w:val="32"/>
          <w:szCs w:val="32"/>
          <w:highlight w:val="none"/>
        </w:rPr>
        <w:t>（一）评价得分与绩效等级</w:t>
      </w:r>
      <w:bookmarkEnd w:id="17"/>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依据《项目支出绩效评价管理办法》（财预〔2020〕10号）提出的项目支出绩效评价框架体系，结合本项目的特点，评价小组设计研发了本项目的绩效评价指标体系（指标、评价要点、评分规则）。</w:t>
      </w:r>
    </w:p>
    <w:p>
      <w:pPr>
        <w:spacing w:line="580" w:lineRule="exact"/>
        <w:ind w:firstLine="640"/>
        <w:rPr>
          <w:rFonts w:hint="default" w:ascii="Times New Roman" w:hAnsi="Times New Roman" w:cs="Times New Roman"/>
          <w:bCs/>
          <w:color w:val="auto"/>
          <w:szCs w:val="32"/>
          <w:highlight w:val="none"/>
        </w:rPr>
      </w:pPr>
      <w:r>
        <w:rPr>
          <w:rFonts w:hint="default" w:ascii="Times New Roman" w:hAnsi="Times New Roman" w:cs="Times New Roman"/>
          <w:color w:val="auto"/>
          <w:szCs w:val="32"/>
          <w:highlight w:val="none"/>
        </w:rPr>
        <w:t>通过数据采集、问卷调查及访谈等方法，评价小组对</w:t>
      </w:r>
      <w:r>
        <w:rPr>
          <w:rFonts w:hint="eastAsia" w:ascii="Times New Roman" w:hAnsi="Times New Roman" w:cs="Times New Roman"/>
          <w:color w:val="auto"/>
          <w:szCs w:val="32"/>
          <w:highlight w:val="none"/>
          <w:lang w:eastAsia="zh-CN"/>
        </w:rPr>
        <w:t>德阳市罗江区行政审批局“德阳市罗江区应急指挥运营服务采购项目”</w:t>
      </w:r>
      <w:r>
        <w:rPr>
          <w:rFonts w:hint="default" w:ascii="Times New Roman" w:hAnsi="Times New Roman" w:cs="Times New Roman"/>
          <w:color w:val="auto"/>
          <w:szCs w:val="32"/>
          <w:highlight w:val="none"/>
        </w:rPr>
        <w:t>项目进行客观公正的绩效评价，最终评分得分为</w:t>
      </w:r>
      <w:r>
        <w:rPr>
          <w:rFonts w:hint="eastAsia" w:ascii="Times New Roman" w:hAnsi="Times New Roman" w:cs="Times New Roman"/>
          <w:color w:val="auto"/>
          <w:szCs w:val="32"/>
          <w:highlight w:val="none"/>
          <w:lang w:val="en-US" w:eastAsia="zh-CN"/>
        </w:rPr>
        <w:t>97.25</w:t>
      </w:r>
      <w:r>
        <w:rPr>
          <w:rFonts w:hint="default" w:ascii="Times New Roman" w:hAnsi="Times New Roman" w:cs="Times New Roman"/>
          <w:color w:val="auto"/>
          <w:szCs w:val="32"/>
          <w:highlight w:val="none"/>
        </w:rPr>
        <w:t>分，根据《项目支</w:t>
      </w:r>
      <w:r>
        <w:rPr>
          <w:rFonts w:hint="default" w:ascii="Times New Roman" w:hAnsi="Times New Roman" w:cs="Times New Roman"/>
          <w:bCs/>
          <w:color w:val="auto"/>
          <w:szCs w:val="32"/>
          <w:highlight w:val="none"/>
        </w:rPr>
        <w:t>出绩效评价管理办法》（财预〔2020〕10号）提出的绩效评价等级相关规定，本项目的绩效评价结果定级为</w:t>
      </w:r>
      <w:r>
        <w:rPr>
          <w:rFonts w:hint="eastAsia" w:ascii="Times New Roman" w:hAnsi="Times New Roman" w:cs="Times New Roman"/>
          <w:bCs/>
          <w:color w:val="auto"/>
          <w:szCs w:val="32"/>
          <w:highlight w:val="none"/>
          <w:lang w:eastAsia="zh-CN"/>
        </w:rPr>
        <w:t>“</w:t>
      </w:r>
      <w:r>
        <w:rPr>
          <w:rFonts w:hint="default" w:ascii="Times New Roman" w:hAnsi="Times New Roman" w:cs="Times New Roman"/>
          <w:bCs/>
          <w:color w:val="auto"/>
          <w:szCs w:val="32"/>
          <w:highlight w:val="none"/>
          <w:lang w:val="en-US" w:eastAsia="zh-CN"/>
        </w:rPr>
        <w:t>优</w:t>
      </w:r>
      <w:r>
        <w:rPr>
          <w:rFonts w:hint="eastAsia" w:ascii="Times New Roman" w:hAnsi="Times New Roman" w:cs="Times New Roman"/>
          <w:bCs/>
          <w:color w:val="auto"/>
          <w:szCs w:val="32"/>
          <w:highlight w:val="none"/>
          <w:lang w:eastAsia="zh-CN"/>
        </w:rPr>
        <w:t>”</w:t>
      </w:r>
      <w:r>
        <w:rPr>
          <w:rFonts w:hint="default" w:ascii="Times New Roman" w:hAnsi="Times New Roman" w:cs="Times New Roman"/>
          <w:bCs/>
          <w:color w:val="auto"/>
          <w:szCs w:val="32"/>
          <w:highlight w:val="none"/>
        </w:rPr>
        <w:t>。</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其中，</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决策</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指标权重为12分，得分为</w:t>
      </w:r>
      <w:r>
        <w:rPr>
          <w:rFonts w:hint="eastAsia" w:ascii="Times New Roman" w:hAnsi="Times New Roman" w:cs="Times New Roman"/>
          <w:color w:val="auto"/>
          <w:szCs w:val="32"/>
          <w:highlight w:val="none"/>
          <w:lang w:val="en-US" w:eastAsia="zh-CN"/>
        </w:rPr>
        <w:t>10.5</w:t>
      </w:r>
      <w:r>
        <w:rPr>
          <w:rFonts w:hint="default" w:ascii="Times New Roman" w:hAnsi="Times New Roman" w:cs="Times New Roman"/>
          <w:color w:val="auto"/>
          <w:szCs w:val="32"/>
          <w:highlight w:val="none"/>
        </w:rPr>
        <w:t>分，得分率为</w:t>
      </w:r>
      <w:r>
        <w:rPr>
          <w:rFonts w:hint="eastAsia" w:ascii="Times New Roman" w:hAnsi="Times New Roman" w:cs="Times New Roman"/>
          <w:color w:val="auto"/>
          <w:szCs w:val="32"/>
          <w:highlight w:val="none"/>
          <w:lang w:val="en-US" w:eastAsia="zh-CN"/>
        </w:rPr>
        <w:t>87.50</w:t>
      </w:r>
      <w:r>
        <w:rPr>
          <w:rFonts w:hint="default" w:ascii="Times New Roman" w:hAnsi="Times New Roman" w:cs="Times New Roman"/>
          <w:color w:val="auto"/>
          <w:szCs w:val="32"/>
          <w:highlight w:val="none"/>
        </w:rPr>
        <w:t>%；</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过程</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指标权重为18分，得分为1</w:t>
      </w:r>
      <w:r>
        <w:rPr>
          <w:rFonts w:hint="eastAsia" w:ascii="Times New Roman" w:hAnsi="Times New Roman" w:cs="Times New Roman"/>
          <w:color w:val="auto"/>
          <w:szCs w:val="32"/>
          <w:highlight w:val="none"/>
          <w:lang w:val="en-US" w:eastAsia="zh-CN"/>
        </w:rPr>
        <w:t>8.00</w:t>
      </w:r>
      <w:r>
        <w:rPr>
          <w:rFonts w:hint="default" w:ascii="Times New Roman" w:hAnsi="Times New Roman" w:cs="Times New Roman"/>
          <w:color w:val="auto"/>
          <w:szCs w:val="32"/>
          <w:highlight w:val="none"/>
        </w:rPr>
        <w:t>分，得分率为</w:t>
      </w:r>
      <w:r>
        <w:rPr>
          <w:rFonts w:hint="eastAsia" w:ascii="Times New Roman" w:hAnsi="Times New Roman" w:cs="Times New Roman"/>
          <w:color w:val="auto"/>
          <w:szCs w:val="32"/>
          <w:highlight w:val="none"/>
          <w:lang w:val="en-US" w:eastAsia="zh-CN"/>
        </w:rPr>
        <w:t>100.00</w:t>
      </w:r>
      <w:r>
        <w:rPr>
          <w:rFonts w:hint="default" w:ascii="Times New Roman" w:hAnsi="Times New Roman" w:cs="Times New Roman"/>
          <w:color w:val="auto"/>
          <w:szCs w:val="32"/>
          <w:highlight w:val="none"/>
        </w:rPr>
        <w:t>%；</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产出</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指标权重为20分，得分为</w:t>
      </w:r>
      <w:r>
        <w:rPr>
          <w:rFonts w:hint="eastAsia" w:ascii="Times New Roman" w:hAnsi="Times New Roman" w:cs="Times New Roman"/>
          <w:color w:val="auto"/>
          <w:szCs w:val="32"/>
          <w:highlight w:val="none"/>
          <w:lang w:val="en-US" w:eastAsia="zh-CN"/>
        </w:rPr>
        <w:t>20</w:t>
      </w:r>
      <w:r>
        <w:rPr>
          <w:rFonts w:hint="default" w:ascii="Times New Roman" w:hAnsi="Times New Roman" w:cs="Times New Roman"/>
          <w:color w:val="auto"/>
          <w:szCs w:val="32"/>
          <w:highlight w:val="none"/>
        </w:rPr>
        <w:t>分，得分率为</w:t>
      </w:r>
      <w:r>
        <w:rPr>
          <w:rFonts w:hint="eastAsia" w:ascii="Times New Roman" w:hAnsi="Times New Roman" w:cs="Times New Roman"/>
          <w:color w:val="auto"/>
          <w:szCs w:val="32"/>
          <w:highlight w:val="none"/>
          <w:lang w:val="en-US" w:eastAsia="zh-CN"/>
        </w:rPr>
        <w:t>100.00</w:t>
      </w:r>
      <w:r>
        <w:rPr>
          <w:rFonts w:hint="default" w:ascii="Times New Roman" w:hAnsi="Times New Roman" w:cs="Times New Roman"/>
          <w:color w:val="auto"/>
          <w:szCs w:val="32"/>
          <w:highlight w:val="none"/>
        </w:rPr>
        <w:t>%；</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效益</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指标权重为50分，得分为4</w:t>
      </w:r>
      <w:r>
        <w:rPr>
          <w:rFonts w:hint="eastAsia" w:ascii="Times New Roman" w:hAnsi="Times New Roman" w:cs="Times New Roman"/>
          <w:color w:val="auto"/>
          <w:szCs w:val="32"/>
          <w:highlight w:val="none"/>
          <w:lang w:val="en-US" w:eastAsia="zh-CN"/>
        </w:rPr>
        <w:t>8.75</w:t>
      </w:r>
      <w:r>
        <w:rPr>
          <w:rFonts w:hint="default" w:ascii="Times New Roman" w:hAnsi="Times New Roman" w:cs="Times New Roman"/>
          <w:color w:val="auto"/>
          <w:szCs w:val="32"/>
          <w:highlight w:val="none"/>
        </w:rPr>
        <w:t>分，得分率为</w:t>
      </w:r>
      <w:r>
        <w:rPr>
          <w:rFonts w:hint="eastAsia" w:ascii="Times New Roman" w:hAnsi="Times New Roman" w:cs="Times New Roman"/>
          <w:color w:val="auto"/>
          <w:szCs w:val="32"/>
          <w:highlight w:val="none"/>
          <w:lang w:val="en-US" w:eastAsia="zh-CN"/>
        </w:rPr>
        <w:t>97.50</w:t>
      </w:r>
      <w:r>
        <w:rPr>
          <w:rFonts w:hint="default" w:ascii="Times New Roman" w:hAnsi="Times New Roman" w:cs="Times New Roman"/>
          <w:color w:val="auto"/>
          <w:szCs w:val="32"/>
          <w:highlight w:val="none"/>
        </w:rPr>
        <w:t>%。</w:t>
      </w:r>
    </w:p>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 xml:space="preserve">表3-1 </w:t>
      </w:r>
      <w:r>
        <w:rPr>
          <w:rFonts w:hint="eastAsia" w:ascii="Times New Roman" w:hAnsi="Times New Roman" w:cs="Times New Roman"/>
          <w:b/>
          <w:bCs/>
          <w:color w:val="auto"/>
          <w:sz w:val="28"/>
          <w:szCs w:val="28"/>
          <w:highlight w:val="none"/>
          <w:lang w:eastAsia="zh-CN"/>
        </w:rPr>
        <w:t>“德阳市罗江区应急指挥运营服务采购项目”</w:t>
      </w:r>
      <w:r>
        <w:rPr>
          <w:rFonts w:hint="default" w:ascii="Times New Roman" w:hAnsi="Times New Roman" w:cs="Times New Roman"/>
          <w:b/>
          <w:bCs/>
          <w:color w:val="auto"/>
          <w:sz w:val="28"/>
          <w:szCs w:val="28"/>
          <w:highlight w:val="none"/>
        </w:rPr>
        <w:t>绩效评价得分情况</w:t>
      </w:r>
    </w:p>
    <w:tbl>
      <w:tblPr>
        <w:tblStyle w:val="13"/>
        <w:tblW w:w="8871" w:type="dxa"/>
        <w:jc w:val="center"/>
        <w:tblLayout w:type="fixed"/>
        <w:tblCellMar>
          <w:top w:w="0" w:type="dxa"/>
          <w:left w:w="0" w:type="dxa"/>
          <w:bottom w:w="0" w:type="dxa"/>
          <w:right w:w="0" w:type="dxa"/>
        </w:tblCellMar>
      </w:tblPr>
      <w:tblGrid>
        <w:gridCol w:w="2578"/>
        <w:gridCol w:w="2190"/>
        <w:gridCol w:w="2106"/>
        <w:gridCol w:w="1997"/>
      </w:tblGrid>
      <w:tr>
        <w:tblPrEx>
          <w:tblCellMar>
            <w:top w:w="0" w:type="dxa"/>
            <w:left w:w="0" w:type="dxa"/>
            <w:bottom w:w="0" w:type="dxa"/>
            <w:right w:w="0" w:type="dxa"/>
          </w:tblCellMar>
        </w:tblPrEx>
        <w:trPr>
          <w:trHeight w:val="280"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一级指标</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权重</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得分</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得分率</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lang w:eastAsia="zh-Hans"/>
              </w:rPr>
            </w:pPr>
            <w:r>
              <w:rPr>
                <w:rFonts w:hint="default" w:ascii="Times New Roman" w:hAnsi="Times New Roman" w:cs="Times New Roman"/>
                <w:color w:val="auto"/>
                <w:highlight w:val="none"/>
              </w:rPr>
              <w:t>决策</w:t>
            </w:r>
            <w:r>
              <w:rPr>
                <w:rFonts w:hint="default" w:ascii="Times New Roman" w:hAnsi="Times New Roman" w:cs="Times New Roman"/>
                <w:color w:val="auto"/>
                <w:highlight w:val="none"/>
                <w:lang w:eastAsia="zh-Hans"/>
              </w:rPr>
              <w:t>投入</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12.00</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eastAsia="仿宋_GB2312" w:cs="Times New Roman"/>
                <w:color w:val="auto"/>
                <w:highlight w:val="none"/>
                <w:lang w:val="en-US" w:eastAsia="zh-CN"/>
              </w:rPr>
            </w:pPr>
            <w:r>
              <w:rPr>
                <w:rFonts w:hint="eastAsia" w:ascii="Times New Roman" w:hAnsi="Times New Roman" w:cs="Times New Roman"/>
                <w:color w:val="auto"/>
                <w:highlight w:val="none"/>
                <w:lang w:val="en-US" w:eastAsia="zh-CN"/>
              </w:rPr>
              <w:t>10.5</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eastAsia" w:ascii="Times New Roman" w:hAnsi="Times New Roman" w:cs="Times New Roman"/>
                <w:color w:val="auto"/>
                <w:highlight w:val="none"/>
                <w:lang w:val="en-US" w:eastAsia="zh-CN"/>
              </w:rPr>
              <w:t>87.50</w:t>
            </w:r>
            <w:r>
              <w:rPr>
                <w:rFonts w:hint="default" w:ascii="Times New Roman" w:hAnsi="Times New Roman" w:cs="Times New Roman"/>
                <w:color w:val="auto"/>
                <w:highlight w:val="none"/>
              </w:rPr>
              <w:t>%</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Hans"/>
              </w:rPr>
              <w:t>过程</w:t>
            </w:r>
            <w:r>
              <w:rPr>
                <w:rFonts w:hint="default" w:ascii="Times New Roman" w:hAnsi="Times New Roman" w:cs="Times New Roman"/>
                <w:color w:val="auto"/>
                <w:highlight w:val="none"/>
              </w:rPr>
              <w:t>管理</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18.00</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eastAsia="仿宋_GB2312" w:cs="Times New Roman"/>
                <w:color w:val="auto"/>
                <w:highlight w:val="none"/>
                <w:lang w:val="en-US" w:eastAsia="zh-CN"/>
              </w:rPr>
            </w:pPr>
            <w:r>
              <w:rPr>
                <w:rFonts w:hint="default" w:ascii="Times New Roman" w:hAnsi="Times New Roman" w:cs="Times New Roman"/>
                <w:color w:val="auto"/>
                <w:highlight w:val="none"/>
              </w:rPr>
              <w:t>1</w:t>
            </w:r>
            <w:r>
              <w:rPr>
                <w:rFonts w:hint="eastAsia" w:ascii="Times New Roman" w:hAnsi="Times New Roman" w:cs="Times New Roman"/>
                <w:color w:val="auto"/>
                <w:highlight w:val="none"/>
                <w:lang w:val="en-US" w:eastAsia="zh-CN"/>
              </w:rPr>
              <w:t>8.00</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eastAsia" w:ascii="Times New Roman" w:hAnsi="Times New Roman" w:cs="Times New Roman"/>
                <w:color w:val="auto"/>
                <w:highlight w:val="none"/>
                <w:lang w:val="en-US" w:eastAsia="zh-CN"/>
              </w:rPr>
              <w:t>100.00</w:t>
            </w:r>
            <w:r>
              <w:rPr>
                <w:rFonts w:hint="default" w:ascii="Times New Roman" w:hAnsi="Times New Roman" w:cs="Times New Roman"/>
                <w:color w:val="auto"/>
                <w:highlight w:val="none"/>
              </w:rPr>
              <w:t>%</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项目产出</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20.00</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eastAsia="仿宋_GB2312" w:cs="Times New Roman"/>
                <w:color w:val="auto"/>
                <w:highlight w:val="none"/>
                <w:lang w:val="en-US" w:eastAsia="zh-CN"/>
              </w:rPr>
            </w:pPr>
            <w:r>
              <w:rPr>
                <w:rFonts w:hint="eastAsia" w:ascii="Times New Roman" w:hAnsi="Times New Roman" w:cs="Times New Roman"/>
                <w:color w:val="auto"/>
                <w:highlight w:val="none"/>
                <w:lang w:val="en-US" w:eastAsia="zh-CN"/>
              </w:rPr>
              <w:t>20.00</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eastAsia" w:ascii="Times New Roman" w:hAnsi="Times New Roman" w:cs="Times New Roman"/>
                <w:color w:val="auto"/>
                <w:highlight w:val="none"/>
                <w:lang w:val="en-US" w:eastAsia="zh-CN"/>
              </w:rPr>
              <w:t>100.00</w:t>
            </w:r>
            <w:r>
              <w:rPr>
                <w:rFonts w:hint="default" w:ascii="Times New Roman" w:hAnsi="Times New Roman" w:cs="Times New Roman"/>
                <w:color w:val="auto"/>
                <w:highlight w:val="none"/>
              </w:rPr>
              <w:t>%</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项目效益</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50.00</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eastAsia="仿宋_GB2312" w:cs="Times New Roman"/>
                <w:color w:val="auto"/>
                <w:highlight w:val="none"/>
                <w:lang w:val="en-US" w:eastAsia="zh-CN"/>
              </w:rPr>
            </w:pPr>
            <w:r>
              <w:rPr>
                <w:rFonts w:hint="default" w:ascii="Times New Roman" w:hAnsi="Times New Roman" w:cs="Times New Roman"/>
                <w:color w:val="auto"/>
                <w:highlight w:val="none"/>
              </w:rPr>
              <w:t>4</w:t>
            </w:r>
            <w:r>
              <w:rPr>
                <w:rFonts w:hint="eastAsia" w:ascii="Times New Roman" w:hAnsi="Times New Roman" w:cs="Times New Roman"/>
                <w:color w:val="auto"/>
                <w:highlight w:val="none"/>
                <w:lang w:val="en-US" w:eastAsia="zh-CN"/>
              </w:rPr>
              <w:t>8.75</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9</w:t>
            </w:r>
            <w:r>
              <w:rPr>
                <w:rFonts w:hint="eastAsia" w:ascii="Times New Roman" w:hAnsi="Times New Roman" w:cs="Times New Roman"/>
                <w:color w:val="auto"/>
                <w:highlight w:val="none"/>
                <w:lang w:val="en-US" w:eastAsia="zh-CN"/>
              </w:rPr>
              <w:t>7.50</w:t>
            </w:r>
            <w:r>
              <w:rPr>
                <w:rFonts w:hint="default" w:ascii="Times New Roman" w:hAnsi="Times New Roman" w:cs="Times New Roman"/>
                <w:color w:val="auto"/>
                <w:highlight w:val="none"/>
              </w:rPr>
              <w:t>%</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合计</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100.00</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eastAsia="仿宋_GB2312" w:cs="Times New Roman"/>
                <w:color w:val="auto"/>
                <w:highlight w:val="none"/>
                <w:lang w:val="en-US" w:eastAsia="zh-CN"/>
              </w:rPr>
            </w:pPr>
            <w:r>
              <w:rPr>
                <w:rFonts w:hint="default" w:ascii="Times New Roman" w:hAnsi="Times New Roman" w:cs="Times New Roman"/>
                <w:color w:val="auto"/>
                <w:highlight w:val="none"/>
                <w:lang w:val="en-US" w:eastAsia="zh-CN"/>
              </w:rPr>
              <w:t>9</w:t>
            </w:r>
            <w:r>
              <w:rPr>
                <w:rFonts w:hint="eastAsia" w:ascii="Times New Roman" w:hAnsi="Times New Roman" w:cs="Times New Roman"/>
                <w:color w:val="auto"/>
                <w:highlight w:val="none"/>
                <w:lang w:val="en-US" w:eastAsia="zh-CN"/>
              </w:rPr>
              <w:t>7.25</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0"/>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9</w:t>
            </w:r>
            <w:r>
              <w:rPr>
                <w:rFonts w:hint="eastAsia" w:ascii="Times New Roman" w:hAnsi="Times New Roman" w:cs="Times New Roman"/>
                <w:color w:val="auto"/>
                <w:highlight w:val="none"/>
                <w:lang w:val="en-US" w:eastAsia="zh-CN"/>
              </w:rPr>
              <w:t>7.25</w:t>
            </w:r>
            <w:r>
              <w:rPr>
                <w:rFonts w:hint="default" w:ascii="Times New Roman" w:hAnsi="Times New Roman" w:cs="Times New Roman"/>
                <w:color w:val="auto"/>
                <w:highlight w:val="none"/>
              </w:rPr>
              <w:t>%</w:t>
            </w:r>
          </w:p>
        </w:tc>
      </w:tr>
    </w:tbl>
    <w:p>
      <w:pPr>
        <w:pStyle w:val="3"/>
        <w:spacing w:before="312" w:beforeLines="100"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8" w:name="_Toc16098"/>
      <w:r>
        <w:rPr>
          <w:rFonts w:hint="default" w:ascii="Times New Roman" w:hAnsi="Times New Roman" w:eastAsia="楷体_GB2312" w:cs="Times New Roman"/>
          <w:color w:val="auto"/>
          <w:sz w:val="32"/>
          <w:szCs w:val="32"/>
          <w:highlight w:val="none"/>
        </w:rPr>
        <w:t>（二）评价结论</w:t>
      </w:r>
      <w:bookmarkEnd w:id="18"/>
    </w:p>
    <w:p>
      <w:pPr>
        <w:pStyle w:val="5"/>
        <w:spacing w:after="0"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从项目决策方面来看，</w:t>
      </w:r>
      <w:r>
        <w:rPr>
          <w:rFonts w:hint="eastAsia" w:ascii="Times New Roman" w:hAnsi="Times New Roman" w:cs="Times New Roman"/>
          <w:color w:val="auto"/>
          <w:highlight w:val="none"/>
          <w:lang w:eastAsia="zh-CN"/>
        </w:rPr>
        <w:t>“</w:t>
      </w:r>
      <w:r>
        <w:rPr>
          <w:rFonts w:hint="eastAsia" w:ascii="Times New Roman" w:hAnsi="Times New Roman" w:cs="Times New Roman"/>
          <w:color w:val="auto"/>
          <w:szCs w:val="32"/>
          <w:highlight w:val="none"/>
          <w:lang w:val="en-US" w:eastAsia="zh-CN"/>
        </w:rPr>
        <w:t>德阳市罗江区应急指挥运营服务采购项目</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项目立项依据充分、立项过程规范，</w:t>
      </w:r>
      <w:r>
        <w:rPr>
          <w:rFonts w:hint="eastAsia" w:ascii="Times New Roman" w:hAnsi="Times New Roman" w:cs="Times New Roman"/>
          <w:color w:val="auto"/>
          <w:highlight w:val="none"/>
          <w:lang w:val="en-US" w:eastAsia="zh-CN"/>
        </w:rPr>
        <w:t>有</w:t>
      </w:r>
      <w:r>
        <w:rPr>
          <w:rFonts w:hint="default" w:ascii="Times New Roman" w:hAnsi="Times New Roman" w:cs="Times New Roman"/>
          <w:color w:val="auto"/>
          <w:highlight w:val="none"/>
        </w:rPr>
        <w:t>绩效目标申报</w:t>
      </w:r>
      <w:r>
        <w:rPr>
          <w:rFonts w:hint="eastAsia" w:ascii="Times New Roman" w:hAnsi="Times New Roman" w:cs="Times New Roman"/>
          <w:color w:val="auto"/>
          <w:highlight w:val="none"/>
          <w:lang w:val="en-US" w:eastAsia="zh-CN"/>
        </w:rPr>
        <w:t>表</w:t>
      </w:r>
      <w:r>
        <w:rPr>
          <w:rFonts w:hint="default" w:ascii="Times New Roman" w:hAnsi="Times New Roman" w:cs="Times New Roman"/>
          <w:color w:val="auto"/>
          <w:highlight w:val="none"/>
        </w:rPr>
        <w:t>，</w:t>
      </w:r>
      <w:r>
        <w:rPr>
          <w:rFonts w:hint="eastAsia" w:ascii="Times New Roman" w:hAnsi="Times New Roman" w:cs="Times New Roman"/>
          <w:color w:val="auto"/>
          <w:highlight w:val="none"/>
          <w:lang w:val="en-US" w:eastAsia="zh-CN"/>
        </w:rPr>
        <w:t>但</w:t>
      </w:r>
      <w:r>
        <w:rPr>
          <w:rFonts w:hint="default" w:ascii="Times New Roman" w:hAnsi="Times New Roman" w:cs="Times New Roman"/>
          <w:color w:val="auto"/>
          <w:highlight w:val="none"/>
        </w:rPr>
        <w:t>项目绩效目标</w:t>
      </w:r>
      <w:r>
        <w:rPr>
          <w:rFonts w:hint="eastAsia" w:ascii="Times New Roman" w:hAnsi="Times New Roman" w:cs="Times New Roman"/>
          <w:color w:val="auto"/>
          <w:highlight w:val="none"/>
          <w:lang w:val="en-US" w:eastAsia="zh-CN"/>
        </w:rPr>
        <w:t>设置存在不科学、不合理现象</w:t>
      </w:r>
      <w:r>
        <w:rPr>
          <w:rFonts w:hint="default" w:ascii="Times New Roman" w:hAnsi="Times New Roman" w:cs="Times New Roman"/>
          <w:color w:val="auto"/>
          <w:highlight w:val="none"/>
        </w:rPr>
        <w:t>。</w:t>
      </w:r>
    </w:p>
    <w:p>
      <w:pPr>
        <w:pStyle w:val="5"/>
        <w:spacing w:after="0"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从资金投入管理方面来看，</w:t>
      </w:r>
      <w:r>
        <w:rPr>
          <w:rFonts w:hint="eastAsia" w:ascii="Times New Roman" w:hAnsi="Times New Roman" w:cs="Times New Roman"/>
          <w:color w:val="auto"/>
          <w:highlight w:val="none"/>
          <w:lang w:eastAsia="zh-CN"/>
        </w:rPr>
        <w:t>“</w:t>
      </w:r>
      <w:r>
        <w:rPr>
          <w:rFonts w:hint="eastAsia" w:ascii="Times New Roman" w:hAnsi="Times New Roman" w:cs="Times New Roman"/>
          <w:color w:val="auto"/>
          <w:szCs w:val="32"/>
          <w:highlight w:val="none"/>
          <w:lang w:val="en-US" w:eastAsia="zh-CN"/>
        </w:rPr>
        <w:t>德阳市罗江区应急指挥运营服务采购项目</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项目预算编制科学，资金分配合理，资金使用合规，不存在截留、挤占、挪用、虚列支出等情况。但存在项目资金支付进度缓慢的问题。</w:t>
      </w:r>
    </w:p>
    <w:p>
      <w:pPr>
        <w:pStyle w:val="5"/>
        <w:spacing w:after="0" w:line="580" w:lineRule="exact"/>
        <w:ind w:firstLine="640"/>
        <w:rPr>
          <w:rFonts w:hint="default" w:ascii="Times New Roman" w:hAnsi="Times New Roman" w:eastAsia="仿宋_GB2312" w:cs="Times New Roman"/>
          <w:color w:val="auto"/>
          <w:highlight w:val="none"/>
          <w:lang w:val="en-US" w:eastAsia="zh-CN"/>
        </w:rPr>
      </w:pPr>
      <w:r>
        <w:rPr>
          <w:rFonts w:hint="default" w:ascii="Times New Roman" w:hAnsi="Times New Roman" w:cs="Times New Roman"/>
          <w:color w:val="auto"/>
          <w:highlight w:val="none"/>
        </w:rPr>
        <w:t>从项目管理方面来看，项目相关财务、业务管理制度</w:t>
      </w:r>
      <w:r>
        <w:rPr>
          <w:rFonts w:hint="eastAsia" w:ascii="Times New Roman" w:hAnsi="Times New Roman" w:cs="Times New Roman"/>
          <w:color w:val="auto"/>
          <w:highlight w:val="none"/>
          <w:lang w:val="en-US" w:eastAsia="zh-CN"/>
        </w:rPr>
        <w:t>等相关内部控制制度</w:t>
      </w:r>
      <w:r>
        <w:rPr>
          <w:rFonts w:hint="default" w:ascii="Times New Roman" w:hAnsi="Times New Roman" w:cs="Times New Roman"/>
          <w:color w:val="auto"/>
          <w:highlight w:val="none"/>
        </w:rPr>
        <w:t>建立健全，</w:t>
      </w:r>
      <w:r>
        <w:rPr>
          <w:rFonts w:hint="eastAsia" w:ascii="Times New Roman" w:hAnsi="Times New Roman" w:cs="Times New Roman"/>
          <w:color w:val="auto"/>
          <w:highlight w:val="none"/>
          <w:lang w:val="en-US" w:eastAsia="zh-CN"/>
        </w:rPr>
        <w:t>并且单位内部严格落实制度执行问题。</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highlight w:val="none"/>
        </w:rPr>
        <w:t>从产出和</w:t>
      </w:r>
      <w:r>
        <w:rPr>
          <w:rFonts w:hint="eastAsia" w:ascii="Times New Roman" w:hAnsi="Times New Roman" w:cs="Times New Roman"/>
          <w:color w:val="auto"/>
          <w:highlight w:val="none"/>
          <w:lang w:val="en-US" w:eastAsia="zh-CN"/>
        </w:rPr>
        <w:t>效益</w:t>
      </w:r>
      <w:r>
        <w:rPr>
          <w:rFonts w:hint="default" w:ascii="Times New Roman" w:hAnsi="Times New Roman" w:cs="Times New Roman"/>
          <w:color w:val="auto"/>
          <w:highlight w:val="none"/>
        </w:rPr>
        <w:t>方面来看，项目完成及时</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达到项目建设内容目标，并达到验收交付标准</w:t>
      </w:r>
      <w:r>
        <w:rPr>
          <w:rFonts w:hint="default" w:ascii="Times New Roman" w:hAnsi="Times New Roman" w:cs="Times New Roman"/>
          <w:color w:val="auto"/>
          <w:highlight w:val="none"/>
        </w:rPr>
        <w:t>。</w:t>
      </w:r>
      <w:r>
        <w:rPr>
          <w:rFonts w:hint="eastAsia" w:ascii="Times New Roman" w:hAnsi="Times New Roman" w:cs="Times New Roman"/>
          <w:color w:val="auto"/>
          <w:highlight w:val="none"/>
          <w:lang w:val="en-US" w:eastAsia="zh-CN"/>
        </w:rPr>
        <w:t>此外，项目的实施有效提升了单位应急指挥、项目调度的能力，同时也提高了单位内部业务工作人员应急工作效率，</w:t>
      </w:r>
      <w:r>
        <w:rPr>
          <w:rFonts w:hint="default" w:ascii="Times New Roman" w:hAnsi="Times New Roman" w:cs="Times New Roman"/>
          <w:color w:val="auto"/>
          <w:highlight w:val="none"/>
        </w:rPr>
        <w:t>受益对象满意度较高。</w:t>
      </w:r>
    </w:p>
    <w:p>
      <w:pPr>
        <w:pStyle w:val="2"/>
        <w:spacing w:before="0" w:after="0" w:line="580" w:lineRule="exact"/>
        <w:ind w:firstLine="640"/>
        <w:rPr>
          <w:rFonts w:hint="default" w:ascii="Times New Roman" w:hAnsi="Times New Roman" w:eastAsia="黑体" w:cs="Times New Roman"/>
          <w:b w:val="0"/>
          <w:bCs/>
          <w:color w:val="auto"/>
          <w:sz w:val="32"/>
          <w:szCs w:val="20"/>
          <w:highlight w:val="none"/>
        </w:rPr>
      </w:pPr>
      <w:bookmarkStart w:id="19" w:name="_Toc1542"/>
      <w:r>
        <w:rPr>
          <w:rFonts w:hint="default" w:ascii="Times New Roman" w:hAnsi="Times New Roman" w:eastAsia="黑体" w:cs="Times New Roman"/>
          <w:b w:val="0"/>
          <w:bCs/>
          <w:color w:val="auto"/>
          <w:sz w:val="32"/>
          <w:szCs w:val="20"/>
          <w:highlight w:val="none"/>
        </w:rPr>
        <w:t>四、问题及建议</w:t>
      </w:r>
      <w:bookmarkEnd w:id="19"/>
    </w:p>
    <w:p>
      <w:pPr>
        <w:spacing w:line="580" w:lineRule="exact"/>
        <w:ind w:firstLine="643"/>
        <w:rPr>
          <w:rFonts w:hint="default" w:ascii="Times New Roman" w:hAnsi="Times New Roman" w:eastAsia="楷体_GB2312" w:cs="Times New Roman"/>
          <w:b/>
          <w:bCs/>
          <w:color w:val="auto"/>
          <w:szCs w:val="32"/>
          <w:highlight w:val="none"/>
        </w:rPr>
      </w:pPr>
      <w:bookmarkStart w:id="20" w:name="_Toc30141"/>
      <w:r>
        <w:rPr>
          <w:rFonts w:hint="default" w:ascii="Times New Roman" w:hAnsi="Times New Roman" w:eastAsia="楷体_GB2312" w:cs="Times New Roman"/>
          <w:b/>
          <w:bCs/>
          <w:color w:val="auto"/>
          <w:szCs w:val="32"/>
          <w:highlight w:val="none"/>
        </w:rPr>
        <w:t>（一）</w:t>
      </w:r>
      <w:r>
        <w:rPr>
          <w:rFonts w:hint="eastAsia" w:ascii="Times New Roman" w:hAnsi="Times New Roman" w:eastAsia="楷体_GB2312" w:cs="Times New Roman"/>
          <w:b/>
          <w:bCs/>
          <w:color w:val="auto"/>
          <w:szCs w:val="32"/>
          <w:highlight w:val="none"/>
          <w:lang w:val="en-US" w:eastAsia="zh-CN"/>
        </w:rPr>
        <w:t>绩效目标设置不科学、不合理</w:t>
      </w:r>
      <w:r>
        <w:rPr>
          <w:rFonts w:hint="default" w:ascii="Times New Roman" w:hAnsi="Times New Roman" w:eastAsia="楷体_GB2312" w:cs="Times New Roman"/>
          <w:b/>
          <w:bCs/>
          <w:color w:val="auto"/>
          <w:szCs w:val="32"/>
          <w:highlight w:val="none"/>
        </w:rPr>
        <w:t>，削弱项目绩效可控性</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评价小组根据被评价单位提供的相关资料发现，该项目</w:t>
      </w:r>
      <w:r>
        <w:rPr>
          <w:rFonts w:hint="eastAsia" w:ascii="Times New Roman" w:hAnsi="Times New Roman" w:cs="Times New Roman"/>
          <w:color w:val="auto"/>
          <w:highlight w:val="none"/>
          <w:lang w:val="en-US" w:eastAsia="zh-CN"/>
        </w:rPr>
        <w:t>在</w:t>
      </w:r>
      <w:r>
        <w:rPr>
          <w:rFonts w:hint="default" w:ascii="Times New Roman" w:hAnsi="Times New Roman" w:cs="Times New Roman"/>
          <w:color w:val="auto"/>
          <w:highlight w:val="none"/>
        </w:rPr>
        <w:t>编制绩效目标表</w:t>
      </w:r>
      <w:r>
        <w:rPr>
          <w:rFonts w:hint="eastAsia" w:ascii="Times New Roman" w:hAnsi="Times New Roman" w:cs="Times New Roman"/>
          <w:color w:val="auto"/>
          <w:highlight w:val="none"/>
          <w:lang w:val="en-US" w:eastAsia="zh-CN"/>
        </w:rPr>
        <w:t>时将数量指标中“提供应急指挥运营服务期限”设为1年</w:t>
      </w:r>
      <w:r>
        <w:rPr>
          <w:rFonts w:hint="default" w:ascii="Times New Roman" w:hAnsi="Times New Roman" w:cs="Times New Roman"/>
          <w:color w:val="auto"/>
          <w:highlight w:val="none"/>
        </w:rPr>
        <w:t>，</w:t>
      </w:r>
      <w:r>
        <w:rPr>
          <w:rFonts w:hint="eastAsia" w:ascii="Times New Roman" w:hAnsi="Times New Roman" w:cs="Times New Roman"/>
          <w:color w:val="auto"/>
          <w:highlight w:val="none"/>
          <w:lang w:val="en-US" w:eastAsia="zh-CN"/>
        </w:rPr>
        <w:t>将时效指标中“履约验收合格后的服务期限”设置为1年，将可持续影响指标“可持续发挥作用的期限”设置为100年，三者互为矛盾关系，</w:t>
      </w:r>
      <w:r>
        <w:rPr>
          <w:rFonts w:hint="default" w:ascii="Times New Roman" w:hAnsi="Times New Roman" w:cs="Times New Roman"/>
          <w:color w:val="auto"/>
          <w:highlight w:val="none"/>
        </w:rPr>
        <w:t>影响项目执行过程中的绩效目标</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监控</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实施和对该项目开展绩效评价工作的可控性，从而增大了项目管理风险，违背了</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花钱必有效</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的预算绩效管理原则。</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针对上述问题，建议被评价单位加强项目绩效目标表的填报及目标</w:t>
      </w:r>
      <w:r>
        <w:rPr>
          <w:rFonts w:hint="eastAsia" w:ascii="Times New Roman" w:hAnsi="Times New Roman" w:cs="Times New Roman"/>
          <w:color w:val="auto"/>
          <w:highlight w:val="none"/>
          <w:lang w:val="en-US" w:eastAsia="zh-CN"/>
        </w:rPr>
        <w:t>科学、合理</w:t>
      </w:r>
      <w:r>
        <w:rPr>
          <w:rFonts w:hint="default" w:ascii="Times New Roman" w:hAnsi="Times New Roman" w:cs="Times New Roman"/>
          <w:color w:val="auto"/>
          <w:highlight w:val="none"/>
        </w:rPr>
        <w:t>性的审核工作，同时需根据相关法律法规制定单位内部的《项目支出绩效管理办法》，业务股室配合财务股室做好项目的目标管理、事前评估、过程监控、绩效评价、结果应用等绩效管理过程。特别是在绩效目标申报时要求各业务股室申报的绩效目标要对申报项目的目的、范围、对象、产出、结果等要素进行概括性的文字描述；绩效指标内容健全，指标值清晰明确且可衡量，以此作为申报和审核预算的依据，为建立</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全过程</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预算绩效管理体系打下扎实的基础。</w:t>
      </w:r>
    </w:p>
    <w:bookmarkEnd w:id="20"/>
    <w:p>
      <w:pPr>
        <w:pStyle w:val="2"/>
        <w:spacing w:before="0" w:after="0" w:line="580" w:lineRule="exact"/>
        <w:ind w:firstLine="640"/>
        <w:rPr>
          <w:rFonts w:hint="default" w:ascii="Times New Roman" w:hAnsi="Times New Roman" w:eastAsia="黑体" w:cs="Times New Roman"/>
          <w:b w:val="0"/>
          <w:bCs/>
          <w:color w:val="auto"/>
          <w:sz w:val="32"/>
          <w:szCs w:val="20"/>
          <w:highlight w:val="none"/>
        </w:rPr>
      </w:pPr>
      <w:bookmarkStart w:id="21" w:name="_Toc15135"/>
      <w:r>
        <w:rPr>
          <w:rFonts w:hint="default" w:ascii="Times New Roman" w:hAnsi="Times New Roman" w:eastAsia="黑体" w:cs="Times New Roman"/>
          <w:b w:val="0"/>
          <w:bCs/>
          <w:color w:val="auto"/>
          <w:sz w:val="32"/>
          <w:szCs w:val="20"/>
          <w:highlight w:val="none"/>
        </w:rPr>
        <w:t>五、其他需要说明的问题</w:t>
      </w:r>
      <w:bookmarkEnd w:id="21"/>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我司作为专业的第三方预算绩效管理服务机构，严格遵守《中华人民共和国预算法》《中华人民共和国预算法实施条例》《中共中央 国务院关于全面实施预算绩效管理的意见》《关于委托第三方机构参与预算绩效管理的指导意见》等预算绩效管理法律法规和第三方评价（估）行业准则，始终秉承独立、客观、公正的立场开展评价（估）工作，实施了必要的评价（估）程序，获取了充分和恰当的证据，并对评价（估）发现的问题进行了充分披露，对评价（估）结果提供合理保证。根据上述法律法规及相关行业准则，被评价（估）部门（单位）对评价（估）过程中提交的材料和有关信息的真实性、完整性承担责任。</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br w:type="page"/>
      </w:r>
    </w:p>
    <w:p>
      <w:pPr>
        <w:pStyle w:val="2"/>
        <w:spacing w:before="0" w:after="0" w:line="580" w:lineRule="exact"/>
        <w:ind w:firstLine="0" w:firstLineChars="0"/>
        <w:rPr>
          <w:rFonts w:hint="default" w:ascii="Times New Roman" w:hAnsi="Times New Roman" w:cs="Times New Roman"/>
          <w:color w:val="auto"/>
          <w:szCs w:val="32"/>
          <w:highlight w:val="none"/>
        </w:rPr>
        <w:sectPr>
          <w:footerReference r:id="rId12" w:type="default"/>
          <w:pgSz w:w="11906" w:h="16838"/>
          <w:pgMar w:top="2098" w:right="1474" w:bottom="1928" w:left="1587" w:header="851" w:footer="992" w:gutter="0"/>
          <w:cols w:space="425" w:num="1"/>
          <w:docGrid w:type="lines" w:linePitch="312" w:charSpace="0"/>
        </w:sectPr>
      </w:pPr>
    </w:p>
    <w:p>
      <w:pPr>
        <w:pStyle w:val="2"/>
        <w:spacing w:before="0" w:after="0" w:line="580" w:lineRule="exact"/>
        <w:ind w:firstLine="0" w:firstLineChars="0"/>
        <w:rPr>
          <w:rFonts w:hint="default" w:ascii="Times New Roman" w:hAnsi="Times New Roman" w:eastAsia="黑体" w:cs="Times New Roman"/>
          <w:b w:val="0"/>
          <w:bCs/>
          <w:color w:val="auto"/>
          <w:sz w:val="32"/>
          <w:szCs w:val="20"/>
          <w:highlight w:val="none"/>
        </w:rPr>
      </w:pPr>
      <w:bookmarkStart w:id="22" w:name="_Toc19892"/>
      <w:r>
        <w:rPr>
          <w:rFonts w:hint="default" w:ascii="Times New Roman" w:hAnsi="Times New Roman" w:eastAsia="黑体" w:cs="Times New Roman"/>
          <w:b w:val="0"/>
          <w:bCs/>
          <w:color w:val="auto"/>
          <w:sz w:val="32"/>
          <w:szCs w:val="20"/>
          <w:highlight w:val="none"/>
          <w:lang w:eastAsia="zh-Hans"/>
        </w:rPr>
        <w:t>附件</w:t>
      </w:r>
      <w:r>
        <w:rPr>
          <w:rFonts w:hint="eastAsia" w:ascii="Times New Roman" w:hAnsi="Times New Roman" w:eastAsia="黑体" w:cs="Times New Roman"/>
          <w:b w:val="0"/>
          <w:bCs/>
          <w:color w:val="auto"/>
          <w:sz w:val="32"/>
          <w:szCs w:val="20"/>
          <w:highlight w:val="none"/>
          <w:lang w:val="en-US" w:eastAsia="zh-CN"/>
        </w:rPr>
        <w:t xml:space="preserve"> </w:t>
      </w:r>
      <w:r>
        <w:rPr>
          <w:rFonts w:hint="default" w:ascii="Times New Roman" w:hAnsi="Times New Roman" w:eastAsia="黑体" w:cs="Times New Roman"/>
          <w:b w:val="0"/>
          <w:bCs/>
          <w:color w:val="auto"/>
          <w:sz w:val="32"/>
          <w:szCs w:val="20"/>
          <w:highlight w:val="none"/>
        </w:rPr>
        <w:t>项目支出绩效评价指标体系</w:t>
      </w:r>
      <w:bookmarkEnd w:id="22"/>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65"/>
        <w:gridCol w:w="1376"/>
        <w:gridCol w:w="1391"/>
        <w:gridCol w:w="1154"/>
        <w:gridCol w:w="1248"/>
        <w:gridCol w:w="2347"/>
        <w:gridCol w:w="4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9" w:hRule="atLeast"/>
          <w:tblHeader/>
        </w:trPr>
        <w:tc>
          <w:tcPr>
            <w:tcW w:w="524"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一级指标</w:t>
            </w:r>
          </w:p>
        </w:tc>
        <w:tc>
          <w:tcPr>
            <w:tcW w:w="528"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二级指标</w:t>
            </w:r>
          </w:p>
        </w:tc>
        <w:tc>
          <w:tcPr>
            <w:tcW w:w="534"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三级指标</w:t>
            </w:r>
          </w:p>
        </w:tc>
        <w:tc>
          <w:tcPr>
            <w:tcW w:w="922" w:type="pct"/>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得分情况</w:t>
            </w:r>
          </w:p>
        </w:tc>
        <w:tc>
          <w:tcPr>
            <w:tcW w:w="901"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指标解释</w:t>
            </w:r>
          </w:p>
        </w:tc>
        <w:tc>
          <w:tcPr>
            <w:tcW w:w="1590"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评价要点与评分规则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blHeader/>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b/>
                <w:bCs/>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b/>
                <w:bCs/>
                <w:i w:val="0"/>
                <w:iCs w:val="0"/>
                <w:color w:val="auto"/>
                <w:sz w:val="24"/>
                <w:szCs w:val="24"/>
                <w:highlight w:val="none"/>
                <w:u w:val="none"/>
              </w:rPr>
            </w:pPr>
          </w:p>
        </w:tc>
        <w:tc>
          <w:tcPr>
            <w:tcW w:w="534"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b/>
                <w:bCs/>
                <w:i w:val="0"/>
                <w:iCs w:val="0"/>
                <w:color w:val="auto"/>
                <w:sz w:val="24"/>
                <w:szCs w:val="24"/>
                <w:highlight w:val="none"/>
                <w:u w:val="none"/>
              </w:rPr>
            </w:pP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分值</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得分</w:t>
            </w:r>
          </w:p>
        </w:tc>
        <w:tc>
          <w:tcPr>
            <w:tcW w:w="901"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default" w:ascii="Times New Roman" w:hAnsi="Times New Roman" w:eastAsia="仿宋_GB2312" w:cs="Times New Roman"/>
                <w:b/>
                <w:bCs/>
                <w:i w:val="0"/>
                <w:iCs w:val="0"/>
                <w:color w:val="auto"/>
                <w:sz w:val="24"/>
                <w:szCs w:val="24"/>
                <w:highlight w:val="none"/>
                <w:u w:val="none"/>
              </w:rPr>
            </w:pPr>
          </w:p>
        </w:tc>
        <w:tc>
          <w:tcPr>
            <w:tcW w:w="1590"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default" w:ascii="Times New Roman" w:hAnsi="Times New Roman" w:eastAsia="仿宋_GB2312" w:cs="Times New Roman"/>
                <w:b/>
                <w:bCs/>
                <w:i w:val="0"/>
                <w:iCs w:val="0"/>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0" w:hRule="atLeast"/>
        </w:trPr>
        <w:tc>
          <w:tcPr>
            <w:tcW w:w="524"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决策</w:t>
            </w:r>
          </w:p>
        </w:tc>
        <w:tc>
          <w:tcPr>
            <w:tcW w:w="528"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A1</w:t>
            </w:r>
            <w:r>
              <w:rPr>
                <w:rFonts w:hint="default" w:ascii="Times New Roman" w:hAnsi="Times New Roman" w:eastAsia="仿宋_GB2312" w:cs="Times New Roman"/>
                <w:i w:val="0"/>
                <w:iCs w:val="0"/>
                <w:color w:val="auto"/>
                <w:kern w:val="0"/>
                <w:sz w:val="24"/>
                <w:szCs w:val="24"/>
                <w:highlight w:val="none"/>
                <w:u w:val="none"/>
                <w:lang w:val="en-US" w:eastAsia="zh-CN" w:bidi="ar"/>
              </w:rPr>
              <w:t>立项依据</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A11</w:t>
            </w:r>
            <w:r>
              <w:rPr>
                <w:rFonts w:hint="default" w:ascii="Times New Roman" w:hAnsi="Times New Roman" w:eastAsia="仿宋_GB2312" w:cs="Times New Roman"/>
                <w:i w:val="0"/>
                <w:iCs w:val="0"/>
                <w:color w:val="auto"/>
                <w:kern w:val="0"/>
                <w:sz w:val="24"/>
                <w:szCs w:val="24"/>
                <w:highlight w:val="none"/>
                <w:u w:val="none"/>
                <w:lang w:val="en-US" w:eastAsia="zh-CN" w:bidi="ar"/>
              </w:rPr>
              <w:t>立项依据充分性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项目立项是否符合法律法规、相关政策、发展规划以及部门职责，用以反映和考核项目立项依据情况。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①项目立项是否符合国家法律法规、国民经济发展规划和相关政策；</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②项目立项是否符合行业发展规划和政策要求；</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③项目立项是否与部门职责范围相符，属于部门履职所需；</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④项目是否属于公共财政支持范围，是否符合中央、地方事权支出责任划分原则；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⑤项目是否与相关部门同类项目或部门内部相关项目重复。</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符合以上①—⑤得满分，否则不得分。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A12</w:t>
            </w:r>
            <w:r>
              <w:rPr>
                <w:rFonts w:hint="default" w:ascii="Times New Roman" w:hAnsi="Times New Roman" w:eastAsia="仿宋_GB2312" w:cs="Times New Roman"/>
                <w:i w:val="0"/>
                <w:iCs w:val="0"/>
                <w:color w:val="auto"/>
                <w:kern w:val="0"/>
                <w:sz w:val="24"/>
                <w:szCs w:val="24"/>
                <w:highlight w:val="none"/>
                <w:u w:val="none"/>
                <w:lang w:val="en-US" w:eastAsia="zh-CN" w:bidi="ar"/>
              </w:rPr>
              <w:t>立项程序规范性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项目申请、设立过程是否符合相关要求，用以反映和考核项目立项的规范情况。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①项目是否按照规定的程序申请设立；</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②审批文件、材料是否符合相关要求；</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③事前是否已经过必要的可行性研究、专家论证、风险评估、绩效评估、集体决策。</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符合以上①—③得满分，否则不得分。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A2</w:t>
            </w:r>
            <w:r>
              <w:rPr>
                <w:rFonts w:hint="default" w:ascii="Times New Roman" w:hAnsi="Times New Roman" w:eastAsia="仿宋_GB2312" w:cs="Times New Roman"/>
                <w:i w:val="0"/>
                <w:iCs w:val="0"/>
                <w:color w:val="auto"/>
                <w:kern w:val="0"/>
                <w:sz w:val="24"/>
                <w:szCs w:val="24"/>
                <w:highlight w:val="none"/>
                <w:u w:val="none"/>
                <w:lang w:val="en-US" w:eastAsia="zh-CN" w:bidi="ar"/>
              </w:rPr>
              <w:t>绩效目标</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A21</w:t>
            </w:r>
            <w:r>
              <w:rPr>
                <w:rFonts w:hint="default" w:ascii="Times New Roman" w:hAnsi="Times New Roman" w:eastAsia="仿宋_GB2312" w:cs="Times New Roman"/>
                <w:i w:val="0"/>
                <w:iCs w:val="0"/>
                <w:color w:val="auto"/>
                <w:kern w:val="0"/>
                <w:sz w:val="24"/>
                <w:szCs w:val="24"/>
                <w:highlight w:val="none"/>
                <w:u w:val="none"/>
                <w:lang w:val="en-US" w:eastAsia="zh-CN" w:bidi="ar"/>
              </w:rPr>
              <w:t>绩效目标合理性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eastAsia="zh-CN"/>
              </w:rPr>
            </w:pPr>
            <w:r>
              <w:rPr>
                <w:rFonts w:hint="eastAsia" w:ascii="Times New Roman" w:hAnsi="Times New Roman" w:cs="Times New Roman"/>
                <w:i w:val="0"/>
                <w:iCs w:val="0"/>
                <w:color w:val="auto"/>
                <w:sz w:val="24"/>
                <w:szCs w:val="24"/>
                <w:highlight w:val="none"/>
                <w:u w:val="none"/>
                <w:lang w:val="en-US" w:eastAsia="zh-CN"/>
              </w:rPr>
              <w:t>1.5</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项目所设定的绩效目标是否依据充分，是否符合客观实际，用以反映和考核项目绩效目标与项目实施的相符情况。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①项目是否有绩效目标（如未设定预算绩效目标，也可考核其他工作任务目标）；</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②项目绩效目标与实际工作内容是否具有相关性；</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③项目预期产出效益和效果是否符合正常的业绩水平；</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④是否与预算确定的项目投资额或资金量相匹配。</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符合以上①—④得满分，每缺失一项扣25%，直至扣除比例达到100%。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A22</w:t>
            </w:r>
            <w:r>
              <w:rPr>
                <w:rFonts w:hint="default" w:ascii="Times New Roman" w:hAnsi="Times New Roman" w:eastAsia="仿宋_GB2312" w:cs="Times New Roman"/>
                <w:i w:val="0"/>
                <w:iCs w:val="0"/>
                <w:color w:val="auto"/>
                <w:kern w:val="0"/>
                <w:sz w:val="24"/>
                <w:szCs w:val="24"/>
                <w:highlight w:val="none"/>
                <w:u w:val="none"/>
                <w:lang w:val="en-US" w:eastAsia="zh-CN" w:bidi="ar"/>
              </w:rPr>
              <w:t>绩效目标明确性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Times New Roman" w:hAnsi="Times New Roman" w:eastAsia="仿宋_GB2312" w:cs="Times New Roman"/>
                <w:i w:val="0"/>
                <w:iCs w:val="0"/>
                <w:color w:val="auto"/>
                <w:sz w:val="24"/>
                <w:szCs w:val="24"/>
                <w:highlight w:val="none"/>
                <w:u w:val="none"/>
                <w:lang w:val="en-US" w:eastAsia="zh-CN"/>
              </w:rPr>
            </w:pPr>
            <w:r>
              <w:rPr>
                <w:rFonts w:hint="eastAsia" w:ascii="Times New Roman" w:hAnsi="Times New Roman" w:cs="Times New Roman"/>
                <w:i w:val="0"/>
                <w:iCs w:val="0"/>
                <w:color w:val="auto"/>
                <w:sz w:val="24"/>
                <w:szCs w:val="24"/>
                <w:highlight w:val="none"/>
                <w:u w:val="none"/>
                <w:lang w:val="en-US" w:eastAsia="zh-CN"/>
              </w:rPr>
              <w:t>1</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依据绩效目标设定的绩效指标是否清晰、细化、可衡量等，用以反映和考核项目绩效目标的明细化情况。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①是否将项目绩效目标细化分解为具体的绩效指标；</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②是否通过清晰、可衡量的指标值予以体现；</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③是否与项目目标任务数或计划数相对应。</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符合以上①—③得满分，每缺失一项扣除三分之一，直至扣除比例达到100%。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A3</w:t>
            </w:r>
            <w:r>
              <w:rPr>
                <w:rFonts w:hint="default" w:ascii="Times New Roman" w:hAnsi="Times New Roman" w:eastAsia="仿宋_GB2312" w:cs="Times New Roman"/>
                <w:i w:val="0"/>
                <w:iCs w:val="0"/>
                <w:color w:val="auto"/>
                <w:kern w:val="0"/>
                <w:sz w:val="24"/>
                <w:szCs w:val="24"/>
                <w:highlight w:val="none"/>
                <w:u w:val="none"/>
                <w:lang w:val="en-US" w:eastAsia="zh-CN" w:bidi="ar"/>
              </w:rPr>
              <w:t>资金投入</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A31</w:t>
            </w:r>
            <w:r>
              <w:rPr>
                <w:rFonts w:hint="default" w:ascii="Times New Roman" w:hAnsi="Times New Roman" w:eastAsia="仿宋_GB2312" w:cs="Times New Roman"/>
                <w:i w:val="0"/>
                <w:iCs w:val="0"/>
                <w:color w:val="auto"/>
                <w:kern w:val="0"/>
                <w:sz w:val="24"/>
                <w:szCs w:val="24"/>
                <w:highlight w:val="none"/>
                <w:u w:val="none"/>
                <w:lang w:val="en-US" w:eastAsia="zh-CN" w:bidi="ar"/>
              </w:rPr>
              <w:t>预算编制科学性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项目预算编制是否经过科学论证、有明确标准，资金额度与年度目标是否相适应，用以反映和考核项目预算编制的科学性、合理性情况。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①预算编制是否经过科学论证；</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②预算内容与项目内容是否匹配；</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③预算额度测算依据是否充分，是否按照标准编制；</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④预算确定的项目投资额或资金量是否与工作任务相匹配。</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符合以上①—④得满分，每缺失一项扣除25%，直至扣除比例达到100%。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A32</w:t>
            </w:r>
            <w:r>
              <w:rPr>
                <w:rFonts w:hint="default" w:ascii="Times New Roman" w:hAnsi="Times New Roman" w:eastAsia="仿宋_GB2312" w:cs="Times New Roman"/>
                <w:i w:val="0"/>
                <w:iCs w:val="0"/>
                <w:color w:val="auto"/>
                <w:kern w:val="0"/>
                <w:sz w:val="24"/>
                <w:szCs w:val="24"/>
                <w:highlight w:val="none"/>
                <w:u w:val="none"/>
                <w:lang w:val="en-US" w:eastAsia="zh-CN" w:bidi="ar"/>
              </w:rPr>
              <w:t>资金分配合理性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项目预算资金分配是否有测算依据，与补助单位或地方实际是否相适应，用以反映和考核项目预算资金分配的科学性、合理性情况。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①预算资金分配依据是否充分；</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②资金分配额度是否合理，与项目单位或地方实际是否相适应。</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符合以上①—②得满分，每缺失一项扣除50%，直至扣除比例达到100%。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524"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过程</w:t>
            </w:r>
          </w:p>
        </w:tc>
        <w:tc>
          <w:tcPr>
            <w:tcW w:w="528"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B1</w:t>
            </w:r>
            <w:r>
              <w:rPr>
                <w:rFonts w:hint="default" w:ascii="Times New Roman" w:hAnsi="Times New Roman" w:eastAsia="仿宋_GB2312" w:cs="Times New Roman"/>
                <w:i w:val="0"/>
                <w:iCs w:val="0"/>
                <w:color w:val="auto"/>
                <w:kern w:val="0"/>
                <w:sz w:val="24"/>
                <w:szCs w:val="24"/>
                <w:highlight w:val="none"/>
                <w:u w:val="none"/>
                <w:lang w:val="en-US" w:eastAsia="zh-CN" w:bidi="ar"/>
              </w:rPr>
              <w:t>资金管理</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B11</w:t>
            </w:r>
            <w:r>
              <w:rPr>
                <w:rFonts w:hint="default" w:ascii="Times New Roman" w:hAnsi="Times New Roman" w:eastAsia="仿宋_GB2312" w:cs="Times New Roman"/>
                <w:i w:val="0"/>
                <w:iCs w:val="0"/>
                <w:color w:val="auto"/>
                <w:kern w:val="0"/>
                <w:sz w:val="24"/>
                <w:szCs w:val="24"/>
                <w:highlight w:val="none"/>
                <w:u w:val="none"/>
                <w:lang w:val="en-US" w:eastAsia="zh-CN" w:bidi="ar"/>
              </w:rPr>
              <w:t>资金到位率</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3</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3</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实际到位资金与预算资金的比率，用以反映和考核资金落实情况对项目实施的总体保障程度。</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资金到位率=（实际到位资金/预算资金）×100%。</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实际到位资金：一定时期（本年度或项目期）内落实到具体项目的资金。</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预算资金：一定时期（本年度或项目期）内预算安排到具体项目的资金。</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得分=资金到位率×本指标分值，实际到位资金≥预算资金得满分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B12</w:t>
            </w:r>
            <w:r>
              <w:rPr>
                <w:rFonts w:hint="default" w:ascii="Times New Roman" w:hAnsi="Times New Roman" w:eastAsia="仿宋_GB2312" w:cs="Times New Roman"/>
                <w:i w:val="0"/>
                <w:iCs w:val="0"/>
                <w:color w:val="auto"/>
                <w:kern w:val="0"/>
                <w:sz w:val="24"/>
                <w:szCs w:val="24"/>
                <w:highlight w:val="none"/>
                <w:u w:val="none"/>
                <w:lang w:val="en-US" w:eastAsia="zh-CN" w:bidi="ar"/>
              </w:rPr>
              <w:t>预算执行率</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3</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Times New Roman" w:hAnsi="Times New Roman" w:eastAsia="仿宋_GB2312" w:cs="Times New Roman"/>
                <w:i w:val="0"/>
                <w:iCs w:val="0"/>
                <w:color w:val="auto"/>
                <w:sz w:val="24"/>
                <w:szCs w:val="24"/>
                <w:highlight w:val="none"/>
                <w:u w:val="none"/>
                <w:lang w:val="en-US" w:eastAsia="zh-CN"/>
              </w:rPr>
            </w:pPr>
            <w:r>
              <w:rPr>
                <w:rFonts w:hint="eastAsia" w:ascii="Times New Roman" w:hAnsi="Times New Roman" w:cs="Times New Roman"/>
                <w:i w:val="0"/>
                <w:iCs w:val="0"/>
                <w:color w:val="auto"/>
                <w:sz w:val="24"/>
                <w:szCs w:val="24"/>
                <w:highlight w:val="none"/>
                <w:u w:val="none"/>
                <w:lang w:val="en-US" w:eastAsia="zh-CN"/>
              </w:rPr>
              <w:t>3</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项目预算资金是否按照计划执行，用以反映或考核项目预算执行情况，超预算执行不得分，若存在政策调整等因素可采用预算调整数。</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得分=分值×预算执行率</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预算执行率=（实际支出资金/实际到位资金）×100%</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实际支出资金：一定时期（本年度或项目期）内项目实际拨付的资金</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得分=预算执行率×本指标分值，预算执行率〉100%不得分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1"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B13</w:t>
            </w:r>
            <w:r>
              <w:rPr>
                <w:rFonts w:hint="default" w:ascii="Times New Roman" w:hAnsi="Times New Roman" w:eastAsia="仿宋_GB2312" w:cs="Times New Roman"/>
                <w:i w:val="0"/>
                <w:iCs w:val="0"/>
                <w:color w:val="auto"/>
                <w:kern w:val="0"/>
                <w:sz w:val="24"/>
                <w:szCs w:val="24"/>
                <w:highlight w:val="none"/>
                <w:u w:val="none"/>
                <w:lang w:val="en-US" w:eastAsia="zh-CN" w:bidi="ar"/>
              </w:rPr>
              <w:t>资金使用合规性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4</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4</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项目资金使用是否符合相关的财务管理制度规定，用以反映和考核项目资金的规范运行情况。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①是否符合国家财经法规和财务管理制度以及有关专项资金管理办法的规定；</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②资金的拨付是否有完整的审批程序和手续；</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③是否符合项目预算批复或合同规定的用途；</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④是否存在截留、挤占、挪用、虚列支出等情况。</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符合以上①—④得满分，否则不得分。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B2</w:t>
            </w:r>
            <w:r>
              <w:rPr>
                <w:rFonts w:hint="default" w:ascii="Times New Roman" w:hAnsi="Times New Roman" w:eastAsia="仿宋_GB2312" w:cs="Times New Roman"/>
                <w:i w:val="0"/>
                <w:iCs w:val="0"/>
                <w:color w:val="auto"/>
                <w:kern w:val="0"/>
                <w:sz w:val="24"/>
                <w:szCs w:val="24"/>
                <w:highlight w:val="none"/>
                <w:u w:val="none"/>
                <w:lang w:val="en-US" w:eastAsia="zh-CN" w:bidi="ar"/>
              </w:rPr>
              <w:t>组织实施</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B21</w:t>
            </w:r>
            <w:r>
              <w:rPr>
                <w:rFonts w:hint="default" w:ascii="Times New Roman" w:hAnsi="Times New Roman" w:eastAsia="仿宋_GB2312" w:cs="Times New Roman"/>
                <w:i w:val="0"/>
                <w:iCs w:val="0"/>
                <w:color w:val="auto"/>
                <w:kern w:val="0"/>
                <w:sz w:val="24"/>
                <w:szCs w:val="24"/>
                <w:highlight w:val="none"/>
                <w:u w:val="none"/>
                <w:lang w:val="en-US" w:eastAsia="zh-CN" w:bidi="ar"/>
              </w:rPr>
              <w:t>管理制度健全性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4</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4</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项目实施单位的财务和业务管理制度是否健全，用以反映和考核财务和业务管理制度对项目顺利实施的保障情况。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①是否已制定或具有相应的财务和业务管理制度；</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②财务和业务管理制度是否合法、合规、完整。</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符合以上①—②得满分，每缺失一项扣除50%，直至扣除比例达到100%。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1"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B22</w:t>
            </w:r>
            <w:r>
              <w:rPr>
                <w:rFonts w:hint="default" w:ascii="Times New Roman" w:hAnsi="Times New Roman" w:eastAsia="仿宋_GB2312" w:cs="Times New Roman"/>
                <w:i w:val="0"/>
                <w:iCs w:val="0"/>
                <w:color w:val="auto"/>
                <w:kern w:val="0"/>
                <w:sz w:val="24"/>
                <w:szCs w:val="24"/>
                <w:highlight w:val="none"/>
                <w:u w:val="none"/>
                <w:lang w:val="en-US" w:eastAsia="zh-CN" w:bidi="ar"/>
              </w:rPr>
              <w:t>制度执行有效性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4</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4</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项目实施是否符合相关管理规定，用以反映和考核相关管理制度的有效执行情况。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①是否遵守相关法律法规和相关管理规定、项目调整及支出调整手续是否完备（如有调整）；</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②项目合同书、验收报告、技术鉴定等资料是否齐全并及时归档；</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③项目实施的人员条件、场地设备、信息支撑等是否落实到位。</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符合以上①—③得满分，每缺失一项扣除三分之一，直至扣除比例达到100%。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1" w:hRule="atLeast"/>
        </w:trPr>
        <w:tc>
          <w:tcPr>
            <w:tcW w:w="524"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产出</w:t>
            </w: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C1</w:t>
            </w:r>
            <w:r>
              <w:rPr>
                <w:rFonts w:hint="default" w:ascii="Times New Roman" w:hAnsi="Times New Roman" w:eastAsia="仿宋_GB2312" w:cs="Times New Roman"/>
                <w:i w:val="0"/>
                <w:iCs w:val="0"/>
                <w:color w:val="auto"/>
                <w:kern w:val="0"/>
                <w:sz w:val="24"/>
                <w:szCs w:val="24"/>
                <w:highlight w:val="none"/>
                <w:u w:val="none"/>
                <w:lang w:val="en-US" w:eastAsia="zh-CN" w:bidi="ar"/>
              </w:rPr>
              <w:t>产出数量</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rPr>
            </w:pPr>
            <w:r>
              <w:rPr>
                <w:rFonts w:hint="eastAsia" w:ascii="Times New Roman" w:hAnsi="Times New Roman" w:cs="Times New Roman"/>
                <w:i w:val="0"/>
                <w:iCs w:val="0"/>
                <w:color w:val="auto"/>
                <w:kern w:val="0"/>
                <w:sz w:val="24"/>
                <w:szCs w:val="24"/>
                <w:highlight w:val="none"/>
                <w:u w:val="none"/>
                <w:lang w:val="en-US" w:eastAsia="zh-CN" w:bidi="ar"/>
              </w:rPr>
              <w:t>C11应急指挥调度中心场地建设面积达标率</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Times New Roman" w:hAnsi="Times New Roman" w:eastAsia="仿宋_GB2312" w:cs="Times New Roman"/>
                <w:i w:val="0"/>
                <w:iCs w:val="0"/>
                <w:color w:val="auto"/>
                <w:sz w:val="24"/>
                <w:szCs w:val="24"/>
                <w:highlight w:val="none"/>
                <w:u w:val="none"/>
                <w:lang w:val="en-US" w:eastAsia="zh-CN"/>
              </w:rPr>
            </w:pPr>
            <w:r>
              <w:rPr>
                <w:rFonts w:hint="eastAsia" w:ascii="Times New Roman" w:hAnsi="Times New Roman" w:cs="Times New Roman"/>
                <w:i w:val="0"/>
                <w:iCs w:val="0"/>
                <w:color w:val="auto"/>
                <w:sz w:val="24"/>
                <w:szCs w:val="24"/>
                <w:highlight w:val="none"/>
                <w:u w:val="none"/>
                <w:lang w:val="en-US" w:eastAsia="zh-CN"/>
              </w:rPr>
              <w:t>5</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Times New Roman" w:hAnsi="Times New Roman" w:eastAsia="仿宋_GB2312" w:cs="Times New Roman"/>
                <w:i w:val="0"/>
                <w:iCs w:val="0"/>
                <w:color w:val="auto"/>
                <w:sz w:val="24"/>
                <w:szCs w:val="24"/>
                <w:highlight w:val="none"/>
                <w:u w:val="none"/>
                <w:lang w:val="en-US" w:eastAsia="zh-CN"/>
              </w:rPr>
            </w:pPr>
            <w:r>
              <w:rPr>
                <w:rFonts w:hint="eastAsia" w:ascii="Times New Roman" w:hAnsi="Times New Roman" w:cs="Times New Roman"/>
                <w:i w:val="0"/>
                <w:iCs w:val="0"/>
                <w:color w:val="auto"/>
                <w:sz w:val="24"/>
                <w:szCs w:val="24"/>
                <w:highlight w:val="none"/>
                <w:u w:val="none"/>
                <w:lang w:val="en-US" w:eastAsia="zh-CN"/>
              </w:rPr>
              <w:t>5</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项目实施的实际产出数与计划产出数的比率，用以反映和考核项目产出数量目标的实现程度。主要评价</w:t>
            </w:r>
            <w:r>
              <w:rPr>
                <w:rFonts w:hint="eastAsia" w:ascii="Times New Roman" w:hAnsi="Times New Roman" w:cs="Times New Roman"/>
                <w:i w:val="0"/>
                <w:iCs w:val="0"/>
                <w:color w:val="auto"/>
                <w:kern w:val="0"/>
                <w:sz w:val="24"/>
                <w:szCs w:val="24"/>
                <w:highlight w:val="none"/>
                <w:u w:val="none"/>
                <w:lang w:val="en-US" w:eastAsia="zh-CN" w:bidi="ar"/>
              </w:rPr>
              <w:t>建设应急指挥调度中心</w:t>
            </w:r>
            <w:r>
              <w:rPr>
                <w:rFonts w:hint="default" w:ascii="Times New Roman" w:hAnsi="Times New Roman" w:eastAsia="仿宋_GB2312" w:cs="Times New Roman"/>
                <w:i w:val="0"/>
                <w:iCs w:val="0"/>
                <w:color w:val="auto"/>
                <w:kern w:val="0"/>
                <w:sz w:val="24"/>
                <w:szCs w:val="24"/>
                <w:highlight w:val="none"/>
                <w:u w:val="none"/>
                <w:lang w:val="en-US" w:eastAsia="zh-CN" w:bidi="ar"/>
              </w:rPr>
              <w:t>的实际情况。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eastAsia" w:ascii="Times New Roman" w:hAnsi="Times New Roman" w:cs="Times New Roman"/>
                <w:i w:val="0"/>
                <w:iCs w:val="0"/>
                <w:color w:val="auto"/>
                <w:kern w:val="0"/>
                <w:sz w:val="24"/>
                <w:szCs w:val="24"/>
                <w:highlight w:val="none"/>
                <w:u w:val="none"/>
                <w:lang w:val="en-US" w:eastAsia="zh-CN" w:bidi="ar"/>
              </w:rPr>
              <w:t>应急指挥调度中心场地建设面积</w:t>
            </w:r>
            <w:r>
              <w:rPr>
                <w:rFonts w:hint="default" w:ascii="Times New Roman" w:hAnsi="Times New Roman" w:eastAsia="仿宋_GB2312" w:cs="Times New Roman"/>
                <w:i w:val="0"/>
                <w:iCs w:val="0"/>
                <w:color w:val="auto"/>
                <w:kern w:val="0"/>
                <w:sz w:val="24"/>
                <w:szCs w:val="24"/>
                <w:highlight w:val="none"/>
                <w:u w:val="none"/>
                <w:lang w:val="en-US" w:eastAsia="zh-CN" w:bidi="ar"/>
              </w:rPr>
              <w:t>达标率=（实际</w:t>
            </w:r>
            <w:r>
              <w:rPr>
                <w:rFonts w:hint="eastAsia" w:ascii="Times New Roman" w:hAnsi="Times New Roman" w:cs="Times New Roman"/>
                <w:i w:val="0"/>
                <w:iCs w:val="0"/>
                <w:color w:val="auto"/>
                <w:kern w:val="0"/>
                <w:sz w:val="24"/>
                <w:szCs w:val="24"/>
                <w:highlight w:val="none"/>
                <w:u w:val="none"/>
                <w:lang w:val="en-US" w:eastAsia="zh-CN" w:bidi="ar"/>
              </w:rPr>
              <w:t>建设面积</w:t>
            </w:r>
            <w:r>
              <w:rPr>
                <w:rFonts w:hint="default" w:ascii="Times New Roman" w:hAnsi="Times New Roman" w:eastAsia="仿宋_GB2312" w:cs="Times New Roman"/>
                <w:i w:val="0"/>
                <w:iCs w:val="0"/>
                <w:color w:val="auto"/>
                <w:kern w:val="0"/>
                <w:sz w:val="24"/>
                <w:szCs w:val="24"/>
                <w:highlight w:val="none"/>
                <w:u w:val="none"/>
                <w:lang w:val="en-US" w:eastAsia="zh-CN" w:bidi="ar"/>
              </w:rPr>
              <w:t>/</w:t>
            </w:r>
            <w:r>
              <w:rPr>
                <w:rFonts w:hint="eastAsia" w:ascii="Times New Roman" w:hAnsi="Times New Roman" w:cs="Times New Roman"/>
                <w:i w:val="0"/>
                <w:iCs w:val="0"/>
                <w:color w:val="auto"/>
                <w:kern w:val="0"/>
                <w:sz w:val="24"/>
                <w:szCs w:val="24"/>
                <w:highlight w:val="none"/>
                <w:u w:val="none"/>
                <w:lang w:val="en-US" w:eastAsia="zh-CN" w:bidi="ar"/>
              </w:rPr>
              <w:t>计划建设面积</w:t>
            </w:r>
            <w:r>
              <w:rPr>
                <w:rFonts w:hint="default" w:ascii="Times New Roman" w:hAnsi="Times New Roman" w:eastAsia="仿宋_GB2312" w:cs="Times New Roman"/>
                <w:i w:val="0"/>
                <w:iCs w:val="0"/>
                <w:color w:val="auto"/>
                <w:kern w:val="0"/>
                <w:sz w:val="24"/>
                <w:szCs w:val="24"/>
                <w:highlight w:val="none"/>
                <w:u w:val="none"/>
                <w:lang w:val="en-US" w:eastAsia="zh-CN" w:bidi="ar"/>
              </w:rPr>
              <w:t>）×100%。</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得分=</w:t>
            </w:r>
            <w:r>
              <w:rPr>
                <w:rFonts w:hint="eastAsia" w:ascii="Times New Roman" w:hAnsi="Times New Roman" w:cs="Times New Roman"/>
                <w:i w:val="0"/>
                <w:iCs w:val="0"/>
                <w:color w:val="auto"/>
                <w:kern w:val="0"/>
                <w:sz w:val="24"/>
                <w:szCs w:val="24"/>
                <w:highlight w:val="none"/>
                <w:u w:val="none"/>
                <w:lang w:val="en-US" w:eastAsia="zh-CN" w:bidi="ar"/>
              </w:rPr>
              <w:t>应急指挥调度中心场地建设面积</w:t>
            </w:r>
            <w:r>
              <w:rPr>
                <w:rFonts w:hint="default" w:ascii="Times New Roman" w:hAnsi="Times New Roman" w:eastAsia="仿宋_GB2312" w:cs="Times New Roman"/>
                <w:i w:val="0"/>
                <w:iCs w:val="0"/>
                <w:color w:val="auto"/>
                <w:kern w:val="0"/>
                <w:sz w:val="24"/>
                <w:szCs w:val="24"/>
                <w:highlight w:val="none"/>
                <w:u w:val="none"/>
                <w:lang w:val="en-US" w:eastAsia="zh-CN" w:bidi="ar"/>
              </w:rPr>
              <w:t>达标率×本指标分值，</w:t>
            </w:r>
            <w:r>
              <w:rPr>
                <w:rFonts w:hint="eastAsia" w:ascii="Times New Roman" w:hAnsi="Times New Roman" w:cs="Times New Roman"/>
                <w:i w:val="0"/>
                <w:iCs w:val="0"/>
                <w:color w:val="auto"/>
                <w:kern w:val="0"/>
                <w:sz w:val="24"/>
                <w:szCs w:val="24"/>
                <w:highlight w:val="none"/>
                <w:u w:val="none"/>
                <w:lang w:val="en-US" w:eastAsia="zh-CN" w:bidi="ar"/>
              </w:rPr>
              <w:t>应急指挥调度中心场地建设面积</w:t>
            </w:r>
            <w:r>
              <w:rPr>
                <w:rFonts w:hint="default" w:ascii="Times New Roman" w:hAnsi="Times New Roman" w:eastAsia="仿宋_GB2312" w:cs="Times New Roman"/>
                <w:i w:val="0"/>
                <w:iCs w:val="0"/>
                <w:color w:val="auto"/>
                <w:kern w:val="0"/>
                <w:sz w:val="24"/>
                <w:szCs w:val="24"/>
                <w:highlight w:val="none"/>
                <w:u w:val="none"/>
                <w:lang w:val="en-US" w:eastAsia="zh-CN" w:bidi="ar"/>
              </w:rPr>
              <w:t>达标率≥100%得满分。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C2</w:t>
            </w:r>
            <w:r>
              <w:rPr>
                <w:rFonts w:hint="default" w:ascii="Times New Roman" w:hAnsi="Times New Roman" w:eastAsia="仿宋_GB2312" w:cs="Times New Roman"/>
                <w:i w:val="0"/>
                <w:iCs w:val="0"/>
                <w:color w:val="auto"/>
                <w:kern w:val="0"/>
                <w:sz w:val="24"/>
                <w:szCs w:val="24"/>
                <w:highlight w:val="none"/>
                <w:u w:val="none"/>
                <w:lang w:val="en-US" w:eastAsia="zh-CN" w:bidi="ar"/>
              </w:rPr>
              <w:t>产出质量</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C21项目验收</w:t>
            </w:r>
            <w:r>
              <w:rPr>
                <w:rFonts w:hint="default" w:ascii="Times New Roman" w:hAnsi="Times New Roman" w:eastAsia="仿宋_GB2312" w:cs="Times New Roman"/>
                <w:i w:val="0"/>
                <w:iCs w:val="0"/>
                <w:color w:val="auto"/>
                <w:kern w:val="0"/>
                <w:sz w:val="24"/>
                <w:szCs w:val="24"/>
                <w:highlight w:val="none"/>
                <w:u w:val="none"/>
                <w:lang w:val="en-US" w:eastAsia="zh-CN" w:bidi="ar"/>
              </w:rPr>
              <w:t>合格率</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5</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5</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项目完成的质量达标产出数与实际产出数的比率，用以反映和考核项目产出质量目标的实现程度。反映项目实施后，</w:t>
            </w:r>
            <w:r>
              <w:rPr>
                <w:rFonts w:hint="eastAsia" w:ascii="Times New Roman" w:hAnsi="Times New Roman" w:cs="Times New Roman"/>
                <w:i w:val="0"/>
                <w:iCs w:val="0"/>
                <w:color w:val="auto"/>
                <w:kern w:val="0"/>
                <w:sz w:val="24"/>
                <w:szCs w:val="24"/>
                <w:highlight w:val="none"/>
                <w:u w:val="none"/>
                <w:lang w:val="en-US" w:eastAsia="zh-CN" w:bidi="ar"/>
              </w:rPr>
              <w:t>应急指挥运营服务采购项目</w:t>
            </w:r>
            <w:r>
              <w:rPr>
                <w:rFonts w:hint="default" w:ascii="Times New Roman" w:hAnsi="Times New Roman" w:eastAsia="仿宋_GB2312" w:cs="Times New Roman"/>
                <w:i w:val="0"/>
                <w:iCs w:val="0"/>
                <w:color w:val="auto"/>
                <w:kern w:val="0"/>
                <w:sz w:val="24"/>
                <w:szCs w:val="24"/>
                <w:highlight w:val="none"/>
                <w:u w:val="none"/>
                <w:lang w:val="en-US" w:eastAsia="zh-CN" w:bidi="ar"/>
              </w:rPr>
              <w:t>验收合格率。</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eastAsia" w:ascii="Times New Roman" w:hAnsi="Times New Roman" w:cs="Times New Roman"/>
                <w:i w:val="0"/>
                <w:iCs w:val="0"/>
                <w:color w:val="auto"/>
                <w:kern w:val="0"/>
                <w:sz w:val="24"/>
                <w:szCs w:val="24"/>
                <w:highlight w:val="none"/>
                <w:u w:val="none"/>
                <w:lang w:val="en-US" w:eastAsia="zh-CN" w:bidi="ar"/>
              </w:rPr>
              <w:t>应急指挥运营服务项目</w:t>
            </w:r>
            <w:r>
              <w:rPr>
                <w:rFonts w:hint="default" w:ascii="Times New Roman" w:hAnsi="Times New Roman" w:eastAsia="仿宋_GB2312" w:cs="Times New Roman"/>
                <w:i w:val="0"/>
                <w:iCs w:val="0"/>
                <w:color w:val="auto"/>
                <w:kern w:val="0"/>
                <w:sz w:val="24"/>
                <w:szCs w:val="24"/>
                <w:highlight w:val="none"/>
                <w:u w:val="none"/>
                <w:lang w:val="en-US" w:eastAsia="zh-CN" w:bidi="ar"/>
              </w:rPr>
              <w:t>验收合格率=（</w:t>
            </w:r>
            <w:r>
              <w:rPr>
                <w:rFonts w:hint="eastAsia" w:ascii="Times New Roman" w:hAnsi="Times New Roman" w:cs="Times New Roman"/>
                <w:i w:val="0"/>
                <w:iCs w:val="0"/>
                <w:color w:val="auto"/>
                <w:kern w:val="0"/>
                <w:sz w:val="24"/>
                <w:szCs w:val="24"/>
                <w:highlight w:val="none"/>
                <w:u w:val="none"/>
                <w:lang w:val="en-US" w:eastAsia="zh-CN" w:bidi="ar"/>
              </w:rPr>
              <w:t>各部门验收合格情况</w:t>
            </w:r>
            <w:r>
              <w:rPr>
                <w:rFonts w:hint="default" w:ascii="Times New Roman" w:hAnsi="Times New Roman" w:eastAsia="仿宋_GB2312" w:cs="Times New Roman"/>
                <w:i w:val="0"/>
                <w:iCs w:val="0"/>
                <w:color w:val="auto"/>
                <w:kern w:val="0"/>
                <w:sz w:val="24"/>
                <w:szCs w:val="24"/>
                <w:highlight w:val="none"/>
                <w:u w:val="none"/>
                <w:lang w:val="en-US" w:eastAsia="zh-CN" w:bidi="ar"/>
              </w:rPr>
              <w:t>/</w:t>
            </w:r>
            <w:r>
              <w:rPr>
                <w:rFonts w:hint="eastAsia" w:ascii="Times New Roman" w:hAnsi="Times New Roman" w:cs="Times New Roman"/>
                <w:i w:val="0"/>
                <w:iCs w:val="0"/>
                <w:color w:val="auto"/>
                <w:kern w:val="0"/>
                <w:sz w:val="24"/>
                <w:szCs w:val="24"/>
                <w:highlight w:val="none"/>
                <w:u w:val="none"/>
                <w:lang w:val="en-US" w:eastAsia="zh-CN" w:bidi="ar"/>
              </w:rPr>
              <w:t>各部门总体验收情况</w:t>
            </w:r>
            <w:r>
              <w:rPr>
                <w:rFonts w:hint="default" w:ascii="Times New Roman" w:hAnsi="Times New Roman" w:eastAsia="仿宋_GB2312" w:cs="Times New Roman"/>
                <w:i w:val="0"/>
                <w:iCs w:val="0"/>
                <w:color w:val="auto"/>
                <w:kern w:val="0"/>
                <w:sz w:val="24"/>
                <w:szCs w:val="24"/>
                <w:highlight w:val="none"/>
                <w:u w:val="none"/>
                <w:lang w:val="en-US" w:eastAsia="zh-CN" w:bidi="ar"/>
              </w:rPr>
              <w:t>）×100%。</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得分=</w:t>
            </w:r>
            <w:r>
              <w:rPr>
                <w:rFonts w:hint="eastAsia" w:ascii="Times New Roman" w:hAnsi="Times New Roman" w:cs="Times New Roman"/>
                <w:i w:val="0"/>
                <w:iCs w:val="0"/>
                <w:color w:val="auto"/>
                <w:kern w:val="0"/>
                <w:sz w:val="24"/>
                <w:szCs w:val="24"/>
                <w:highlight w:val="none"/>
                <w:u w:val="none"/>
                <w:lang w:val="en-US" w:eastAsia="zh-CN" w:bidi="ar"/>
              </w:rPr>
              <w:t>应急指挥运营服务采购项目</w:t>
            </w:r>
            <w:r>
              <w:rPr>
                <w:rFonts w:hint="default" w:ascii="Times New Roman" w:hAnsi="Times New Roman" w:eastAsia="仿宋_GB2312" w:cs="Times New Roman"/>
                <w:i w:val="0"/>
                <w:iCs w:val="0"/>
                <w:color w:val="auto"/>
                <w:kern w:val="0"/>
                <w:sz w:val="24"/>
                <w:szCs w:val="24"/>
                <w:highlight w:val="none"/>
                <w:u w:val="none"/>
                <w:lang w:val="en-US" w:eastAsia="zh-CN" w:bidi="ar"/>
              </w:rPr>
              <w:t>验收合格率×本指标分值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C3</w:t>
            </w:r>
            <w:r>
              <w:rPr>
                <w:rFonts w:hint="default" w:ascii="Times New Roman" w:hAnsi="Times New Roman" w:eastAsia="仿宋_GB2312" w:cs="Times New Roman"/>
                <w:i w:val="0"/>
                <w:iCs w:val="0"/>
                <w:color w:val="auto"/>
                <w:kern w:val="0"/>
                <w:sz w:val="24"/>
                <w:szCs w:val="24"/>
                <w:highlight w:val="none"/>
                <w:u w:val="none"/>
                <w:lang w:val="en-US" w:eastAsia="zh-CN" w:bidi="ar"/>
              </w:rPr>
              <w:t>产出时效</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C31应急指挥运营服务采购项目</w:t>
            </w:r>
            <w:r>
              <w:rPr>
                <w:rFonts w:hint="default" w:ascii="Times New Roman" w:hAnsi="Times New Roman" w:eastAsia="仿宋_GB2312" w:cs="Times New Roman"/>
                <w:i w:val="0"/>
                <w:iCs w:val="0"/>
                <w:color w:val="auto"/>
                <w:kern w:val="0"/>
                <w:sz w:val="24"/>
                <w:szCs w:val="24"/>
                <w:highlight w:val="none"/>
                <w:u w:val="none"/>
                <w:lang w:val="en-US" w:eastAsia="zh-CN" w:bidi="ar"/>
              </w:rPr>
              <w:t>完成及时性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5</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Times New Roman" w:hAnsi="Times New Roman" w:eastAsia="仿宋_GB2312" w:cs="Times New Roman"/>
                <w:i w:val="0"/>
                <w:iCs w:val="0"/>
                <w:color w:val="auto"/>
                <w:sz w:val="24"/>
                <w:szCs w:val="24"/>
                <w:highlight w:val="none"/>
                <w:u w:val="none"/>
                <w:lang w:val="en-US" w:eastAsia="zh-CN"/>
              </w:rPr>
            </w:pPr>
            <w:r>
              <w:rPr>
                <w:rFonts w:hint="eastAsia" w:ascii="Times New Roman" w:hAnsi="Times New Roman" w:cs="Times New Roman"/>
                <w:i w:val="0"/>
                <w:iCs w:val="0"/>
                <w:color w:val="auto"/>
                <w:sz w:val="24"/>
                <w:szCs w:val="24"/>
                <w:highlight w:val="none"/>
                <w:u w:val="none"/>
                <w:lang w:val="en-US" w:eastAsia="zh-CN"/>
              </w:rPr>
              <w:t>5</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项目实际完成时间与计划完成时间的比较，用以反映和考核项目产出时效目标的实现程度，各规定时间节点项目的完成情况。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eastAsia" w:ascii="Times New Roman" w:hAnsi="Times New Roman" w:cs="Times New Roman"/>
                <w:i w:val="0"/>
                <w:iCs w:val="0"/>
                <w:color w:val="auto"/>
                <w:kern w:val="0"/>
                <w:sz w:val="24"/>
                <w:szCs w:val="24"/>
                <w:highlight w:val="none"/>
                <w:u w:val="none"/>
                <w:lang w:val="en-US" w:eastAsia="zh-CN" w:bidi="ar"/>
              </w:rPr>
              <w:t>是否按照要求在1年内完成项目建设并完成验收</w:t>
            </w:r>
            <w:r>
              <w:rPr>
                <w:rFonts w:hint="default" w:ascii="Times New Roman" w:hAnsi="Times New Roman" w:eastAsia="仿宋_GB2312" w:cs="Times New Roman"/>
                <w:i w:val="0"/>
                <w:iCs w:val="0"/>
                <w:color w:val="auto"/>
                <w:kern w:val="0"/>
                <w:sz w:val="24"/>
                <w:szCs w:val="24"/>
                <w:highlight w:val="none"/>
                <w:u w:val="none"/>
                <w:lang w:val="en-US" w:eastAsia="zh-CN" w:bidi="ar"/>
              </w:rPr>
              <w:t>，</w:t>
            </w:r>
            <w:r>
              <w:rPr>
                <w:rFonts w:hint="eastAsia" w:ascii="Times New Roman" w:hAnsi="Times New Roman" w:cs="Times New Roman"/>
                <w:i w:val="0"/>
                <w:iCs w:val="0"/>
                <w:color w:val="auto"/>
                <w:kern w:val="0"/>
                <w:sz w:val="24"/>
                <w:szCs w:val="24"/>
                <w:highlight w:val="none"/>
                <w:u w:val="none"/>
                <w:lang w:val="en-US" w:eastAsia="zh-CN" w:bidi="ar"/>
              </w:rPr>
              <w:t>若按要求达到，则得满分，若未达到要求，按超出时间进行扣除，</w:t>
            </w:r>
            <w:r>
              <w:rPr>
                <w:rFonts w:hint="default" w:ascii="Times New Roman" w:hAnsi="Times New Roman" w:eastAsia="仿宋_GB2312" w:cs="Times New Roman"/>
                <w:i w:val="0"/>
                <w:iCs w:val="0"/>
                <w:color w:val="auto"/>
                <w:kern w:val="0"/>
                <w:sz w:val="24"/>
                <w:szCs w:val="24"/>
                <w:highlight w:val="none"/>
                <w:u w:val="none"/>
                <w:lang w:val="en-US" w:eastAsia="zh-CN" w:bidi="ar"/>
              </w:rPr>
              <w:t>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C4</w:t>
            </w:r>
            <w:r>
              <w:rPr>
                <w:rFonts w:hint="default" w:ascii="Times New Roman" w:hAnsi="Times New Roman" w:eastAsia="仿宋_GB2312" w:cs="Times New Roman"/>
                <w:i w:val="0"/>
                <w:iCs w:val="0"/>
                <w:color w:val="auto"/>
                <w:kern w:val="0"/>
                <w:sz w:val="24"/>
                <w:szCs w:val="24"/>
                <w:highlight w:val="none"/>
                <w:u w:val="none"/>
                <w:lang w:val="en-US" w:eastAsia="zh-CN" w:bidi="ar"/>
              </w:rPr>
              <w:t>产出成本</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C41</w:t>
            </w:r>
            <w:r>
              <w:rPr>
                <w:rFonts w:hint="default" w:ascii="Times New Roman" w:hAnsi="Times New Roman" w:eastAsia="仿宋_GB2312" w:cs="Times New Roman"/>
                <w:i w:val="0"/>
                <w:iCs w:val="0"/>
                <w:color w:val="auto"/>
                <w:kern w:val="0"/>
                <w:sz w:val="24"/>
                <w:szCs w:val="24"/>
                <w:highlight w:val="none"/>
                <w:u w:val="none"/>
                <w:lang w:val="en-US" w:eastAsia="zh-CN" w:bidi="ar"/>
              </w:rPr>
              <w:t>成本节约率</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5</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5</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完成项目计划工作目标的实际节约成本与计划成本的比率，用以反映和考核项目的成本节约程度。</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对项目成本的控制情况。</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eastAsia" w:ascii="Times New Roman" w:hAnsi="Times New Roman" w:cs="Times New Roman"/>
                <w:i w:val="0"/>
                <w:iCs w:val="0"/>
                <w:color w:val="auto"/>
                <w:kern w:val="0"/>
                <w:sz w:val="24"/>
                <w:szCs w:val="24"/>
                <w:highlight w:val="none"/>
                <w:u w:val="none"/>
                <w:lang w:val="en-US" w:eastAsia="zh-CN" w:bidi="ar"/>
              </w:rPr>
              <w:t>“德阳市罗江区应急指挥运营服务采购项目”</w:t>
            </w:r>
            <w:r>
              <w:rPr>
                <w:rFonts w:hint="default" w:ascii="Times New Roman" w:hAnsi="Times New Roman" w:eastAsia="仿宋_GB2312" w:cs="Times New Roman"/>
                <w:i w:val="0"/>
                <w:iCs w:val="0"/>
                <w:color w:val="auto"/>
                <w:kern w:val="0"/>
                <w:sz w:val="24"/>
                <w:szCs w:val="24"/>
                <w:highlight w:val="none"/>
                <w:u w:val="none"/>
                <w:lang w:val="en-US" w:eastAsia="zh-CN" w:bidi="ar"/>
              </w:rPr>
              <w:t>支付标准均按照合同、文件规定执行得满分，否则不得分。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524"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效益</w:t>
            </w: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D1</w:t>
            </w:r>
            <w:r>
              <w:rPr>
                <w:rFonts w:hint="default" w:ascii="Times New Roman" w:hAnsi="Times New Roman" w:eastAsia="仿宋_GB2312" w:cs="Times New Roman"/>
                <w:i w:val="0"/>
                <w:iCs w:val="0"/>
                <w:color w:val="auto"/>
                <w:kern w:val="0"/>
                <w:sz w:val="24"/>
                <w:szCs w:val="24"/>
                <w:highlight w:val="none"/>
                <w:u w:val="none"/>
                <w:lang w:val="en-US" w:eastAsia="zh-CN" w:bidi="ar"/>
              </w:rPr>
              <w:t>社会效益</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D11</w:t>
            </w:r>
            <w:r>
              <w:rPr>
                <w:rFonts w:hint="default" w:ascii="Times New Roman" w:hAnsi="Times New Roman" w:eastAsia="仿宋_GB2312" w:cs="Times New Roman"/>
                <w:i w:val="0"/>
                <w:iCs w:val="0"/>
                <w:color w:val="auto"/>
                <w:kern w:val="0"/>
                <w:sz w:val="24"/>
                <w:szCs w:val="24"/>
                <w:highlight w:val="none"/>
                <w:u w:val="none"/>
                <w:lang w:val="en-US" w:eastAsia="zh-CN" w:bidi="ar"/>
              </w:rPr>
              <w:t>社会效益</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30</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30</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单位部门应急指挥、项目调度能力是否得到了提升，</w:t>
            </w:r>
            <w:r>
              <w:rPr>
                <w:rFonts w:hint="default" w:ascii="Times New Roman" w:hAnsi="Times New Roman" w:cs="Times New Roman"/>
                <w:i w:val="0"/>
                <w:iCs w:val="0"/>
                <w:color w:val="auto"/>
                <w:kern w:val="0"/>
                <w:sz w:val="24"/>
                <w:szCs w:val="24"/>
                <w:highlight w:val="none"/>
                <w:u w:val="none"/>
                <w:lang w:val="en-US" w:eastAsia="zh-CN" w:bidi="ar"/>
              </w:rPr>
              <w:t>受益对象对</w:t>
            </w:r>
            <w:r>
              <w:rPr>
                <w:rFonts w:hint="eastAsia" w:ascii="Times New Roman" w:hAnsi="Times New Roman" w:cs="Times New Roman"/>
                <w:i w:val="0"/>
                <w:iCs w:val="0"/>
                <w:color w:val="auto"/>
                <w:kern w:val="0"/>
                <w:sz w:val="24"/>
                <w:szCs w:val="24"/>
                <w:highlight w:val="none"/>
                <w:u w:val="none"/>
                <w:lang w:val="en-US" w:eastAsia="zh-CN" w:bidi="ar"/>
              </w:rPr>
              <w:t>目前工作状况和工作效率</w:t>
            </w:r>
            <w:r>
              <w:rPr>
                <w:rFonts w:hint="default" w:ascii="Times New Roman" w:hAnsi="Times New Roman" w:cs="Times New Roman"/>
                <w:i w:val="0"/>
                <w:iCs w:val="0"/>
                <w:color w:val="auto"/>
                <w:kern w:val="0"/>
                <w:sz w:val="24"/>
                <w:szCs w:val="24"/>
                <w:highlight w:val="none"/>
                <w:u w:val="none"/>
                <w:lang w:val="en-US" w:eastAsia="zh-CN" w:bidi="ar"/>
              </w:rPr>
              <w:t>是否得到满意</w:t>
            </w:r>
            <w:r>
              <w:rPr>
                <w:rFonts w:hint="eastAsia" w:ascii="Times New Roman" w:hAnsi="Times New Roman" w:cs="Times New Roman"/>
                <w:i w:val="0"/>
                <w:iCs w:val="0"/>
                <w:color w:val="auto"/>
                <w:kern w:val="0"/>
                <w:sz w:val="24"/>
                <w:szCs w:val="24"/>
                <w:highlight w:val="none"/>
                <w:u w:val="none"/>
                <w:lang w:val="en-US" w:eastAsia="zh-CN" w:bidi="ar"/>
              </w:rPr>
              <w:t>。</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cs="Times New Roman"/>
                <w:i w:val="0"/>
                <w:iCs w:val="0"/>
                <w:color w:val="auto"/>
                <w:kern w:val="0"/>
                <w:sz w:val="24"/>
                <w:szCs w:val="24"/>
                <w:highlight w:val="none"/>
                <w:u w:val="none"/>
                <w:lang w:val="en-US" w:eastAsia="zh-CN" w:bidi="ar"/>
              </w:rPr>
              <w:t>①</w:t>
            </w:r>
            <w:r>
              <w:rPr>
                <w:rFonts w:hint="eastAsia" w:ascii="Times New Roman" w:hAnsi="Times New Roman" w:cs="Times New Roman"/>
                <w:i w:val="0"/>
                <w:iCs w:val="0"/>
                <w:color w:val="auto"/>
                <w:kern w:val="0"/>
                <w:sz w:val="24"/>
                <w:szCs w:val="24"/>
                <w:highlight w:val="none"/>
                <w:u w:val="none"/>
                <w:lang w:val="en-US" w:eastAsia="zh-CN" w:bidi="ar"/>
              </w:rPr>
              <w:t>应急指挥、项目调动能力提升情况</w:t>
            </w:r>
            <w:r>
              <w:rPr>
                <w:rFonts w:hint="default" w:ascii="Times New Roman" w:hAnsi="Times New Roman" w:cs="Times New Roman"/>
                <w:i w:val="0"/>
                <w:iCs w:val="0"/>
                <w:color w:val="auto"/>
                <w:kern w:val="0"/>
                <w:sz w:val="24"/>
                <w:szCs w:val="24"/>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②受益对象完成工作效率</w:t>
            </w:r>
            <w:r>
              <w:rPr>
                <w:rFonts w:hint="eastAsia" w:ascii="Times New Roman" w:hAnsi="Times New Roman" w:cs="Times New Roman"/>
                <w:i w:val="0"/>
                <w:iCs w:val="0"/>
                <w:color w:val="auto"/>
                <w:kern w:val="0"/>
                <w:sz w:val="24"/>
                <w:szCs w:val="24"/>
                <w:highlight w:val="none"/>
                <w:u w:val="none"/>
                <w:lang w:val="en-US" w:eastAsia="zh-CN" w:bidi="ar"/>
              </w:rPr>
              <w:t>提升情况</w:t>
            </w:r>
            <w:r>
              <w:rPr>
                <w:rFonts w:hint="default" w:ascii="Times New Roman" w:hAnsi="Times New Roman" w:cs="Times New Roman"/>
                <w:i w:val="0"/>
                <w:iCs w:val="0"/>
                <w:color w:val="auto"/>
                <w:kern w:val="0"/>
                <w:sz w:val="24"/>
                <w:szCs w:val="24"/>
                <w:highlight w:val="none"/>
                <w:u w:val="none"/>
                <w:lang w:val="en-US" w:eastAsia="zh-CN" w:bidi="ar"/>
              </w:rPr>
              <w:t>；</w:t>
            </w:r>
            <w:r>
              <w:rPr>
                <w:rFonts w:hint="default" w:ascii="Times New Roman" w:hAnsi="Times New Roman"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全部符合以上①—②得满分，否则按比例得分。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D2</w:t>
            </w:r>
            <w:r>
              <w:rPr>
                <w:rFonts w:hint="default" w:ascii="Times New Roman" w:hAnsi="Times New Roman" w:eastAsia="仿宋_GB2312" w:cs="Times New Roman"/>
                <w:i w:val="0"/>
                <w:iCs w:val="0"/>
                <w:color w:val="auto"/>
                <w:kern w:val="0"/>
                <w:sz w:val="24"/>
                <w:szCs w:val="24"/>
                <w:highlight w:val="none"/>
                <w:u w:val="none"/>
                <w:lang w:val="en-US" w:eastAsia="zh-CN" w:bidi="ar"/>
              </w:rPr>
              <w:t>可持续影响指标</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rPr>
            </w:pPr>
            <w:r>
              <w:rPr>
                <w:rFonts w:hint="eastAsia" w:ascii="Times New Roman" w:hAnsi="Times New Roman" w:cs="Times New Roman"/>
                <w:i w:val="0"/>
                <w:iCs w:val="0"/>
                <w:color w:val="auto"/>
                <w:kern w:val="0"/>
                <w:sz w:val="24"/>
                <w:szCs w:val="24"/>
                <w:highlight w:val="none"/>
                <w:u w:val="none"/>
                <w:lang w:val="en-US" w:eastAsia="zh-CN" w:bidi="ar"/>
              </w:rPr>
              <w:t>D21可持续发挥作用的期限</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10</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10</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应急指挥运营服务在后续年度是否能持续发挥作用，对部门运营能否持续产生积极的影响</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eastAsia" w:ascii="Times New Roman" w:hAnsi="Times New Roman" w:cs="Times New Roman"/>
                <w:i w:val="0"/>
                <w:iCs w:val="0"/>
                <w:color w:val="auto"/>
                <w:kern w:val="0"/>
                <w:sz w:val="24"/>
                <w:szCs w:val="24"/>
                <w:highlight w:val="none"/>
                <w:u w:val="none"/>
                <w:lang w:val="en-US" w:eastAsia="zh-CN" w:bidi="ar"/>
              </w:rPr>
              <w:t>是否对后续年度发挥作用</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eastAsia" w:ascii="Times New Roman" w:hAnsi="Times New Roman" w:cs="Times New Roman"/>
                <w:i w:val="0"/>
                <w:iCs w:val="0"/>
                <w:color w:val="auto"/>
                <w:kern w:val="0"/>
                <w:sz w:val="24"/>
                <w:szCs w:val="24"/>
                <w:highlight w:val="none"/>
                <w:u w:val="none"/>
                <w:lang w:val="en-US" w:eastAsia="zh-CN" w:bidi="ar"/>
              </w:rPr>
              <w:t>若能对后续年度发挥作用，则得满分，若不能，则不得分，</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2"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D3</w:t>
            </w:r>
            <w:r>
              <w:rPr>
                <w:rFonts w:hint="default" w:ascii="Times New Roman" w:hAnsi="Times New Roman" w:eastAsia="仿宋_GB2312" w:cs="Times New Roman"/>
                <w:i w:val="0"/>
                <w:iCs w:val="0"/>
                <w:color w:val="auto"/>
                <w:kern w:val="0"/>
                <w:sz w:val="24"/>
                <w:szCs w:val="24"/>
                <w:highlight w:val="none"/>
                <w:u w:val="none"/>
                <w:lang w:val="en-US" w:eastAsia="zh-CN" w:bidi="ar"/>
              </w:rPr>
              <w:t>满意度</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eastAsia" w:ascii="Times New Roman" w:hAnsi="Times New Roman" w:cs="Times New Roman"/>
                <w:i w:val="0"/>
                <w:iCs w:val="0"/>
                <w:color w:val="auto"/>
                <w:kern w:val="0"/>
                <w:sz w:val="24"/>
                <w:szCs w:val="24"/>
                <w:highlight w:val="none"/>
                <w:u w:val="none"/>
                <w:lang w:val="en-US" w:eastAsia="zh-CN" w:bidi="ar"/>
              </w:rPr>
              <w:t>D31</w:t>
            </w:r>
            <w:r>
              <w:rPr>
                <w:rFonts w:hint="default" w:ascii="Times New Roman" w:hAnsi="Times New Roman" w:eastAsia="仿宋_GB2312" w:cs="Times New Roman"/>
                <w:i w:val="0"/>
                <w:iCs w:val="0"/>
                <w:color w:val="auto"/>
                <w:kern w:val="0"/>
                <w:sz w:val="24"/>
                <w:szCs w:val="24"/>
                <w:highlight w:val="none"/>
                <w:u w:val="none"/>
                <w:lang w:val="en-US" w:eastAsia="zh-CN" w:bidi="ar"/>
              </w:rPr>
              <w:t>服务对象满意度</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10</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eastAsia="zh-CN"/>
              </w:rPr>
            </w:pPr>
            <w:r>
              <w:rPr>
                <w:rFonts w:hint="eastAsia" w:ascii="Times New Roman" w:hAnsi="Times New Roman" w:cs="Times New Roman"/>
                <w:i w:val="0"/>
                <w:iCs w:val="0"/>
                <w:color w:val="auto"/>
                <w:sz w:val="24"/>
                <w:szCs w:val="24"/>
                <w:highlight w:val="none"/>
                <w:u w:val="none"/>
                <w:lang w:val="en-US" w:eastAsia="zh-CN"/>
              </w:rPr>
              <w:t>8.75</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受益对象对项目实施效果的满意程度。</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社会公众或服务对象是指因该项目实施而受到影响的部门（单位）、群体或个人。</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一般采取社会调查的方式。</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得分=受益对象实际满意度×本指标分值。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586" w:type="pct"/>
            <w:gridSpan w:val="3"/>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得分</w:t>
            </w:r>
          </w:p>
        </w:tc>
        <w:tc>
          <w:tcPr>
            <w:tcW w:w="3413" w:type="pct"/>
            <w:gridSpan w:val="4"/>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9</w:t>
            </w:r>
            <w:r>
              <w:rPr>
                <w:rFonts w:hint="eastAsia" w:ascii="Times New Roman" w:hAnsi="Times New Roman" w:cs="Times New Roman"/>
                <w:i w:val="0"/>
                <w:iCs w:val="0"/>
                <w:color w:val="auto"/>
                <w:kern w:val="0"/>
                <w:sz w:val="24"/>
                <w:szCs w:val="24"/>
                <w:highlight w:val="none"/>
                <w:u w:val="none"/>
                <w:lang w:val="en-US" w:eastAsia="zh-CN" w:bidi="ar"/>
              </w:rPr>
              <w:t>7.25</w:t>
            </w:r>
            <w:r>
              <w:rPr>
                <w:rFonts w:hint="default" w:ascii="Times New Roman" w:hAnsi="Times New Roman" w:eastAsia="仿宋_GB2312" w:cs="Times New Roman"/>
                <w:i w:val="0"/>
                <w:iCs w:val="0"/>
                <w:color w:val="auto"/>
                <w:kern w:val="0"/>
                <w:sz w:val="24"/>
                <w:szCs w:val="24"/>
                <w:highlight w:val="none"/>
                <w:u w:val="none"/>
                <w:lang w:val="en-US" w:eastAsia="zh-CN" w:bidi="ar"/>
              </w:rPr>
              <w:t>分</w:t>
            </w:r>
          </w:p>
        </w:tc>
      </w:tr>
    </w:tbl>
    <w:p>
      <w:pPr>
        <w:ind w:firstLine="0" w:firstLineChars="0"/>
        <w:jc w:val="left"/>
        <w:rPr>
          <w:rFonts w:hint="default" w:ascii="Times New Roman" w:hAnsi="Times New Roman" w:cs="Times New Roman"/>
          <w:color w:val="auto"/>
          <w:szCs w:val="32"/>
          <w:highlight w:val="none"/>
          <w:lang w:eastAsia="zh-Hans"/>
        </w:rPr>
      </w:pPr>
    </w:p>
    <w:sectPr>
      <w:pgSz w:w="16838" w:h="11906" w:orient="landscape"/>
      <w:pgMar w:top="1587" w:right="2098" w:bottom="1474" w:left="192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8"/>
                      <w:ind w:firstLine="36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t xml:space="preserve">第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8"/>
                      <w:ind w:firstLine="360"/>
                    </w:pPr>
                    <w:r>
                      <w:rPr>
                        <w:rFonts w:hint="eastAsia"/>
                      </w:rPr>
                      <w:t xml:space="preserve">第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218"/>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JmMmQ1ZjgyYmQ5OTFiOTg2YTVkYTYwYmRmMDYzYmUifQ=="/>
  </w:docVars>
  <w:rsids>
    <w:rsidRoot w:val="38A0441F"/>
    <w:rsid w:val="00025F08"/>
    <w:rsid w:val="00040102"/>
    <w:rsid w:val="001939C0"/>
    <w:rsid w:val="001F04ED"/>
    <w:rsid w:val="002067A1"/>
    <w:rsid w:val="003F6C4D"/>
    <w:rsid w:val="00446E0A"/>
    <w:rsid w:val="004A6056"/>
    <w:rsid w:val="00512CF9"/>
    <w:rsid w:val="005459FB"/>
    <w:rsid w:val="00624DF7"/>
    <w:rsid w:val="00677F48"/>
    <w:rsid w:val="00862D32"/>
    <w:rsid w:val="00A95354"/>
    <w:rsid w:val="00B053A3"/>
    <w:rsid w:val="00ED199D"/>
    <w:rsid w:val="00F21B39"/>
    <w:rsid w:val="00FA0165"/>
    <w:rsid w:val="00FC140F"/>
    <w:rsid w:val="00FC1F10"/>
    <w:rsid w:val="014D5684"/>
    <w:rsid w:val="01625E0F"/>
    <w:rsid w:val="02510A14"/>
    <w:rsid w:val="02F72D7B"/>
    <w:rsid w:val="04BA1E24"/>
    <w:rsid w:val="04C91FEE"/>
    <w:rsid w:val="0529446F"/>
    <w:rsid w:val="05DC209D"/>
    <w:rsid w:val="05F43BF1"/>
    <w:rsid w:val="06DD0B27"/>
    <w:rsid w:val="06E03CEA"/>
    <w:rsid w:val="07FE44A9"/>
    <w:rsid w:val="090A1B1B"/>
    <w:rsid w:val="09811471"/>
    <w:rsid w:val="0A222F95"/>
    <w:rsid w:val="0A3C5BE5"/>
    <w:rsid w:val="0A850492"/>
    <w:rsid w:val="0B702F0A"/>
    <w:rsid w:val="0B87749D"/>
    <w:rsid w:val="0BB155F6"/>
    <w:rsid w:val="0BFF67B7"/>
    <w:rsid w:val="0C2D56FA"/>
    <w:rsid w:val="0CD51554"/>
    <w:rsid w:val="0D0E1D57"/>
    <w:rsid w:val="0E6B5316"/>
    <w:rsid w:val="0EF04975"/>
    <w:rsid w:val="0F2E02F6"/>
    <w:rsid w:val="0FBF059F"/>
    <w:rsid w:val="0FDE609B"/>
    <w:rsid w:val="102304C1"/>
    <w:rsid w:val="102D1075"/>
    <w:rsid w:val="10FD2928"/>
    <w:rsid w:val="11032193"/>
    <w:rsid w:val="118D088B"/>
    <w:rsid w:val="11AE7FFA"/>
    <w:rsid w:val="137E0CDF"/>
    <w:rsid w:val="143D5AD8"/>
    <w:rsid w:val="146354B5"/>
    <w:rsid w:val="14731B70"/>
    <w:rsid w:val="14946808"/>
    <w:rsid w:val="14FC3F92"/>
    <w:rsid w:val="154324D6"/>
    <w:rsid w:val="15B65053"/>
    <w:rsid w:val="15FF7553"/>
    <w:rsid w:val="16666E63"/>
    <w:rsid w:val="166D0B08"/>
    <w:rsid w:val="167151B6"/>
    <w:rsid w:val="18006D71"/>
    <w:rsid w:val="19453258"/>
    <w:rsid w:val="19CF7199"/>
    <w:rsid w:val="19E35721"/>
    <w:rsid w:val="1A2214B6"/>
    <w:rsid w:val="1ACB0A96"/>
    <w:rsid w:val="1AE80DFD"/>
    <w:rsid w:val="1B6B24CD"/>
    <w:rsid w:val="1B80223C"/>
    <w:rsid w:val="1BAF48D6"/>
    <w:rsid w:val="1CEE5C4F"/>
    <w:rsid w:val="1D497224"/>
    <w:rsid w:val="1DA26929"/>
    <w:rsid w:val="1E3A16D2"/>
    <w:rsid w:val="1F9A7B57"/>
    <w:rsid w:val="1FE4757E"/>
    <w:rsid w:val="222F717C"/>
    <w:rsid w:val="265003B9"/>
    <w:rsid w:val="26560955"/>
    <w:rsid w:val="267052EB"/>
    <w:rsid w:val="26E31314"/>
    <w:rsid w:val="279D3B7E"/>
    <w:rsid w:val="28A97D86"/>
    <w:rsid w:val="29007DEF"/>
    <w:rsid w:val="296744B5"/>
    <w:rsid w:val="2AA563F7"/>
    <w:rsid w:val="2B405627"/>
    <w:rsid w:val="2BB130FB"/>
    <w:rsid w:val="2BCE21A3"/>
    <w:rsid w:val="2C3C500B"/>
    <w:rsid w:val="2CE2485A"/>
    <w:rsid w:val="2D817219"/>
    <w:rsid w:val="2DAA6F64"/>
    <w:rsid w:val="2DC34C59"/>
    <w:rsid w:val="2DE84EC2"/>
    <w:rsid w:val="2FA35971"/>
    <w:rsid w:val="2FBBF6D5"/>
    <w:rsid w:val="2FDE51CA"/>
    <w:rsid w:val="309A577E"/>
    <w:rsid w:val="31D10829"/>
    <w:rsid w:val="329207D5"/>
    <w:rsid w:val="3334631B"/>
    <w:rsid w:val="335671C9"/>
    <w:rsid w:val="33781580"/>
    <w:rsid w:val="33A2110B"/>
    <w:rsid w:val="34AB2476"/>
    <w:rsid w:val="35091607"/>
    <w:rsid w:val="36AF4EB1"/>
    <w:rsid w:val="37E34B15"/>
    <w:rsid w:val="385E7224"/>
    <w:rsid w:val="38A0441F"/>
    <w:rsid w:val="3A3E4582"/>
    <w:rsid w:val="3AA44B70"/>
    <w:rsid w:val="3B0E2480"/>
    <w:rsid w:val="3B3D3053"/>
    <w:rsid w:val="3B5D46E8"/>
    <w:rsid w:val="3B6010CB"/>
    <w:rsid w:val="3B7738BE"/>
    <w:rsid w:val="3B8F4D48"/>
    <w:rsid w:val="3C432C9D"/>
    <w:rsid w:val="3C7A7FA3"/>
    <w:rsid w:val="3E3B4098"/>
    <w:rsid w:val="3EA87834"/>
    <w:rsid w:val="3F0703B3"/>
    <w:rsid w:val="3FC6F9D1"/>
    <w:rsid w:val="3FF3036A"/>
    <w:rsid w:val="4003781B"/>
    <w:rsid w:val="40301489"/>
    <w:rsid w:val="41387699"/>
    <w:rsid w:val="416E703D"/>
    <w:rsid w:val="419C217F"/>
    <w:rsid w:val="424B0789"/>
    <w:rsid w:val="425C35D3"/>
    <w:rsid w:val="4263590C"/>
    <w:rsid w:val="42B13EBB"/>
    <w:rsid w:val="42DF5E21"/>
    <w:rsid w:val="42EB600A"/>
    <w:rsid w:val="430856E9"/>
    <w:rsid w:val="43697B1B"/>
    <w:rsid w:val="43BA4171"/>
    <w:rsid w:val="43CB0F3F"/>
    <w:rsid w:val="43DE37F1"/>
    <w:rsid w:val="447927CC"/>
    <w:rsid w:val="44B9463A"/>
    <w:rsid w:val="466420CD"/>
    <w:rsid w:val="46EC69F4"/>
    <w:rsid w:val="4731782F"/>
    <w:rsid w:val="47483F2A"/>
    <w:rsid w:val="47BA287B"/>
    <w:rsid w:val="47CA6C43"/>
    <w:rsid w:val="47CC5653"/>
    <w:rsid w:val="483B39D9"/>
    <w:rsid w:val="48D5454C"/>
    <w:rsid w:val="493E5754"/>
    <w:rsid w:val="49CF51F6"/>
    <w:rsid w:val="4AA34D5C"/>
    <w:rsid w:val="4B014D99"/>
    <w:rsid w:val="4B070896"/>
    <w:rsid w:val="4B0A3602"/>
    <w:rsid w:val="4CB804FF"/>
    <w:rsid w:val="4D311E7A"/>
    <w:rsid w:val="4DBE5F60"/>
    <w:rsid w:val="4E5A4077"/>
    <w:rsid w:val="4ECF4AEB"/>
    <w:rsid w:val="4F836CDB"/>
    <w:rsid w:val="4FBB1ADF"/>
    <w:rsid w:val="509937C7"/>
    <w:rsid w:val="50BE5ACF"/>
    <w:rsid w:val="5121205B"/>
    <w:rsid w:val="51F835E3"/>
    <w:rsid w:val="53E255A0"/>
    <w:rsid w:val="545812E0"/>
    <w:rsid w:val="54A05CAD"/>
    <w:rsid w:val="56D508E0"/>
    <w:rsid w:val="57A54323"/>
    <w:rsid w:val="57E512EE"/>
    <w:rsid w:val="59CB77D5"/>
    <w:rsid w:val="5A6C67C3"/>
    <w:rsid w:val="5AC2225A"/>
    <w:rsid w:val="5AEE4080"/>
    <w:rsid w:val="5B15555B"/>
    <w:rsid w:val="5C3458EC"/>
    <w:rsid w:val="5C5679F9"/>
    <w:rsid w:val="5C861BFC"/>
    <w:rsid w:val="5C9D73D6"/>
    <w:rsid w:val="5CF841BF"/>
    <w:rsid w:val="5D177F46"/>
    <w:rsid w:val="5DF07A69"/>
    <w:rsid w:val="5E1119BA"/>
    <w:rsid w:val="5F5F495E"/>
    <w:rsid w:val="609D2268"/>
    <w:rsid w:val="613F21CB"/>
    <w:rsid w:val="616E0123"/>
    <w:rsid w:val="618D159C"/>
    <w:rsid w:val="61AC31BB"/>
    <w:rsid w:val="63207328"/>
    <w:rsid w:val="64704F2F"/>
    <w:rsid w:val="64C32714"/>
    <w:rsid w:val="64D26384"/>
    <w:rsid w:val="65840754"/>
    <w:rsid w:val="659C3396"/>
    <w:rsid w:val="65B028E4"/>
    <w:rsid w:val="65B7623D"/>
    <w:rsid w:val="65E120E1"/>
    <w:rsid w:val="66B06154"/>
    <w:rsid w:val="672E4C9B"/>
    <w:rsid w:val="67BF5409"/>
    <w:rsid w:val="689F1109"/>
    <w:rsid w:val="69630078"/>
    <w:rsid w:val="6A0B5689"/>
    <w:rsid w:val="6A4B7B8E"/>
    <w:rsid w:val="6A801F2F"/>
    <w:rsid w:val="6AC03E80"/>
    <w:rsid w:val="6C3B64D5"/>
    <w:rsid w:val="6C655E7F"/>
    <w:rsid w:val="6C986B23"/>
    <w:rsid w:val="6D634EBD"/>
    <w:rsid w:val="6E4679B2"/>
    <w:rsid w:val="6EED74BB"/>
    <w:rsid w:val="6F716EF3"/>
    <w:rsid w:val="6FE87D88"/>
    <w:rsid w:val="70530F9F"/>
    <w:rsid w:val="70CA381A"/>
    <w:rsid w:val="713954C7"/>
    <w:rsid w:val="72954E7C"/>
    <w:rsid w:val="73977728"/>
    <w:rsid w:val="73FA6782"/>
    <w:rsid w:val="74247434"/>
    <w:rsid w:val="74297058"/>
    <w:rsid w:val="75077BE7"/>
    <w:rsid w:val="750F034A"/>
    <w:rsid w:val="767E6D8B"/>
    <w:rsid w:val="77155CEF"/>
    <w:rsid w:val="77333B90"/>
    <w:rsid w:val="77F3CAD0"/>
    <w:rsid w:val="79F67CFB"/>
    <w:rsid w:val="7A9136B4"/>
    <w:rsid w:val="7A946CB6"/>
    <w:rsid w:val="7C2418CA"/>
    <w:rsid w:val="7C55055D"/>
    <w:rsid w:val="7C837AA0"/>
    <w:rsid w:val="7CFD5C72"/>
    <w:rsid w:val="7D5B3903"/>
    <w:rsid w:val="7D8A07A5"/>
    <w:rsid w:val="7DE053D9"/>
    <w:rsid w:val="7E431733"/>
    <w:rsid w:val="7E7A2CF8"/>
    <w:rsid w:val="7FB5CD73"/>
    <w:rsid w:val="7FBFF021"/>
    <w:rsid w:val="B9FF31D1"/>
    <w:rsid w:val="BBEDAFB5"/>
    <w:rsid w:val="BFA7D3BB"/>
    <w:rsid w:val="BFDF6CB4"/>
    <w:rsid w:val="D84D813D"/>
    <w:rsid w:val="DF3B8546"/>
    <w:rsid w:val="EE77B394"/>
    <w:rsid w:val="EFFF32E5"/>
    <w:rsid w:val="FBFB0B87"/>
    <w:rsid w:val="FCBB4C1F"/>
    <w:rsid w:val="FEDFD328"/>
    <w:rsid w:val="FEDFDC13"/>
    <w:rsid w:val="FF7D7F45"/>
    <w:rsid w:val="FFFDE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0" w:firstLineChars="200"/>
      <w:jc w:val="both"/>
    </w:pPr>
    <w:rPr>
      <w:rFonts w:eastAsia="仿宋_GB2312" w:asciiTheme="minorHAnsi" w:hAnsiTheme="minorHAnsi" w:cstheme="minorBidi"/>
      <w:kern w:val="2"/>
      <w:sz w:val="32"/>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spacing w:after="120"/>
    </w:pPr>
  </w:style>
  <w:style w:type="paragraph" w:styleId="6">
    <w:name w:val="Body Text Indent"/>
    <w:basedOn w:val="1"/>
    <w:next w:val="7"/>
    <w:qFormat/>
    <w:uiPriority w:val="99"/>
    <w:pPr>
      <w:ind w:left="420" w:leftChars="200"/>
    </w:pPr>
  </w:style>
  <w:style w:type="paragraph" w:styleId="7">
    <w:name w:val="Body Text First Indent 2"/>
    <w:basedOn w:val="6"/>
    <w:next w:val="1"/>
    <w:qFormat/>
    <w:uiPriority w:val="99"/>
    <w:pPr>
      <w:ind w:firstLine="42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0"/>
  </w:style>
  <w:style w:type="paragraph" w:styleId="11">
    <w:name w:val="footnote text"/>
    <w:basedOn w:val="1"/>
    <w:qFormat/>
    <w:uiPriority w:val="0"/>
    <w:pPr>
      <w:snapToGrid w:val="0"/>
      <w:jc w:val="left"/>
    </w:pPr>
    <w:rPr>
      <w:sz w:val="18"/>
    </w:rPr>
  </w:style>
  <w:style w:type="paragraph" w:styleId="12">
    <w:name w:val="toc 2"/>
    <w:basedOn w:val="1"/>
    <w:next w:val="1"/>
    <w:qFormat/>
    <w:uiPriority w:val="0"/>
    <w:pPr>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character" w:styleId="17">
    <w:name w:val="footnote reference"/>
    <w:basedOn w:val="15"/>
    <w:qFormat/>
    <w:uiPriority w:val="0"/>
    <w:rPr>
      <w:vertAlign w:val="superscript"/>
    </w:rPr>
  </w:style>
  <w:style w:type="paragraph" w:customStyle="1" w:styleId="18">
    <w:name w:val="WPSOffice手动目录 1"/>
    <w:qFormat/>
    <w:uiPriority w:val="0"/>
    <w:rPr>
      <w:rFonts w:ascii="Times New Roman" w:hAnsi="Times New Roman" w:eastAsia="宋体" w:cs="Times New Roman"/>
      <w:lang w:val="en-US" w:eastAsia="zh-CN" w:bidi="ar-SA"/>
    </w:rPr>
  </w:style>
  <w:style w:type="paragraph" w:customStyle="1" w:styleId="1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0">
    <w:name w:val="表格样式"/>
    <w:basedOn w:val="1"/>
    <w:qFormat/>
    <w:uiPriority w:val="0"/>
    <w:pPr>
      <w:ind w:firstLine="0" w:firstLineChars="0"/>
      <w:jc w:val="center"/>
    </w:pPr>
    <w:rPr>
      <w:sz w:val="24"/>
    </w:rPr>
  </w:style>
  <w:style w:type="paragraph" w:customStyle="1" w:styleId="21">
    <w:name w:val="闻政附件一级标题"/>
    <w:basedOn w:val="1"/>
    <w:next w:val="22"/>
    <w:qFormat/>
    <w:uiPriority w:val="6"/>
    <w:pPr>
      <w:spacing w:before="120" w:after="60" w:line="500" w:lineRule="exact"/>
      <w:ind w:firstLine="200"/>
      <w:jc w:val="left"/>
    </w:pPr>
    <w:rPr>
      <w:rFonts w:ascii="Times New Roman" w:hAnsi="Times New Roman" w:cs="宋体"/>
      <w:b/>
      <w:kern w:val="0"/>
      <w:sz w:val="28"/>
      <w:szCs w:val="28"/>
      <w:lang w:val="zh-CN"/>
    </w:rPr>
  </w:style>
  <w:style w:type="paragraph" w:customStyle="1" w:styleId="22">
    <w:name w:val="闻政附件正文"/>
    <w:basedOn w:val="1"/>
    <w:qFormat/>
    <w:uiPriority w:val="6"/>
    <w:pPr>
      <w:spacing w:line="500" w:lineRule="exact"/>
      <w:ind w:firstLine="200"/>
    </w:pPr>
    <w:rPr>
      <w:rFonts w:ascii="Times New Roman" w:hAnsi="Times New Roman" w:cs="Times New Roman"/>
      <w:kern w:val="0"/>
      <w:sz w:val="24"/>
      <w:szCs w:val="28"/>
      <w:lang w:val="zh-CN"/>
    </w:rPr>
  </w:style>
  <w:style w:type="character" w:customStyle="1" w:styleId="23">
    <w:name w:val="font31"/>
    <w:basedOn w:val="15"/>
    <w:qFormat/>
    <w:uiPriority w:val="0"/>
    <w:rPr>
      <w:rFonts w:hint="eastAsia" w:ascii="宋体" w:hAnsi="宋体" w:eastAsia="宋体" w:cs="宋体"/>
      <w:color w:val="000000"/>
      <w:sz w:val="20"/>
      <w:szCs w:val="20"/>
      <w:u w:val="none"/>
    </w:rPr>
  </w:style>
  <w:style w:type="character" w:customStyle="1" w:styleId="24">
    <w:name w:val="font51"/>
    <w:basedOn w:val="15"/>
    <w:qFormat/>
    <w:uiPriority w:val="0"/>
    <w:rPr>
      <w:rFonts w:hint="eastAsia" w:ascii="仿宋_GB2312" w:eastAsia="仿宋_GB2312" w:cs="仿宋_GB2312"/>
      <w:color w:val="000000"/>
      <w:sz w:val="20"/>
      <w:szCs w:val="20"/>
      <w:u w:val="none"/>
    </w:rPr>
  </w:style>
  <w:style w:type="character" w:customStyle="1" w:styleId="25">
    <w:name w:val="font01"/>
    <w:basedOn w:val="15"/>
    <w:qFormat/>
    <w:uiPriority w:val="0"/>
    <w:rPr>
      <w:rFonts w:hint="eastAsia" w:ascii="仿宋_GB2312" w:eastAsia="仿宋_GB2312" w:cs="仿宋_GB2312"/>
      <w:color w:val="000000"/>
      <w:sz w:val="20"/>
      <w:szCs w:val="20"/>
      <w:u w:val="none"/>
    </w:rPr>
  </w:style>
  <w:style w:type="character" w:customStyle="1" w:styleId="26">
    <w:name w:val="font41"/>
    <w:basedOn w:val="1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18480</Words>
  <Characters>19496</Characters>
  <Lines>81</Lines>
  <Paragraphs>23</Paragraphs>
  <TotalTime>0</TotalTime>
  <ScaleCrop>false</ScaleCrop>
  <LinksUpToDate>false</LinksUpToDate>
  <CharactersWithSpaces>19707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2020-08-22T07:14:00Z</dcterms:created>
  <dc:creator>TuTu-Mason</dc:creator>
  <cp:lastModifiedBy>归零GEB</cp:lastModifiedBy>
  <dcterms:modified xsi:type="dcterms:W3CDTF">2023-11-27T06:44:31Z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DFA4B6A832994977B106C4CC8B7C3A82_13</vt:lpwstr>
  </property>
</Properties>
</file>