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hint="default" w:ascii="Times New Roman" w:hAnsi="Times New Roman" w:cs="Times New Roman"/>
          <w:b/>
          <w:bCs/>
          <w:color w:val="auto"/>
          <w:sz w:val="52"/>
          <w:szCs w:val="52"/>
          <w:highlight w:val="none"/>
        </w:rPr>
      </w:pPr>
    </w:p>
    <w:p>
      <w:pPr>
        <w:spacing w:line="580" w:lineRule="exact"/>
        <w:ind w:firstLine="0" w:firstLineChars="0"/>
        <w:jc w:val="center"/>
        <w:rPr>
          <w:rFonts w:hint="default" w:ascii="Times New Roman" w:hAnsi="Times New Roman" w:eastAsia="楷体_GB2312" w:cs="Times New Roman"/>
          <w:b/>
          <w:bCs/>
          <w:color w:val="auto"/>
          <w:sz w:val="56"/>
          <w:szCs w:val="56"/>
          <w:highlight w:val="none"/>
        </w:rPr>
      </w:pPr>
      <w:r>
        <w:rPr>
          <w:rFonts w:hint="eastAsia" w:ascii="Times New Roman" w:hAnsi="Times New Roman" w:eastAsia="楷体_GB2312" w:cs="Times New Roman"/>
          <w:b/>
          <w:bCs/>
          <w:color w:val="auto"/>
          <w:sz w:val="56"/>
          <w:szCs w:val="56"/>
          <w:highlight w:val="none"/>
          <w:lang w:eastAsia="zh-CN"/>
        </w:rPr>
        <w:t>2022年</w:t>
      </w:r>
      <w:r>
        <w:rPr>
          <w:rFonts w:hint="default" w:ascii="Times New Roman" w:hAnsi="Times New Roman" w:eastAsia="楷体_GB2312" w:cs="Times New Roman"/>
          <w:b/>
          <w:bCs/>
          <w:color w:val="auto"/>
          <w:sz w:val="56"/>
          <w:szCs w:val="56"/>
          <w:highlight w:val="none"/>
        </w:rPr>
        <w:t>德阳市罗江区</w:t>
      </w:r>
    </w:p>
    <w:p>
      <w:pPr>
        <w:spacing w:line="580" w:lineRule="exact"/>
        <w:ind w:firstLine="0" w:firstLineChars="0"/>
        <w:jc w:val="center"/>
        <w:rPr>
          <w:rFonts w:hint="default" w:ascii="Times New Roman" w:hAnsi="Times New Roman" w:eastAsia="楷体_GB2312" w:cs="Times New Roman"/>
          <w:b/>
          <w:bCs/>
          <w:color w:val="auto"/>
          <w:sz w:val="56"/>
          <w:szCs w:val="56"/>
          <w:highlight w:val="none"/>
        </w:rPr>
      </w:pPr>
      <w:r>
        <w:rPr>
          <w:rFonts w:hint="default" w:ascii="Times New Roman" w:hAnsi="Times New Roman" w:eastAsia="楷体_GB2312" w:cs="Times New Roman"/>
          <w:b/>
          <w:bCs/>
          <w:color w:val="auto"/>
          <w:sz w:val="56"/>
          <w:szCs w:val="56"/>
          <w:highlight w:val="none"/>
        </w:rPr>
        <w:t>财政项目</w:t>
      </w:r>
      <w:r>
        <w:rPr>
          <w:rFonts w:hint="eastAsia" w:ascii="Times New Roman" w:hAnsi="Times New Roman" w:eastAsia="楷体_GB2312" w:cs="Times New Roman"/>
          <w:b/>
          <w:bCs/>
          <w:color w:val="auto"/>
          <w:sz w:val="56"/>
          <w:szCs w:val="56"/>
          <w:highlight w:val="none"/>
          <w:lang w:eastAsia="zh-CN"/>
        </w:rPr>
        <w:t>（</w:t>
      </w:r>
      <w:r>
        <w:rPr>
          <w:rFonts w:hint="eastAsia" w:ascii="Times New Roman" w:hAnsi="Times New Roman" w:eastAsia="楷体_GB2312" w:cs="Times New Roman"/>
          <w:b/>
          <w:bCs/>
          <w:color w:val="auto"/>
          <w:sz w:val="56"/>
          <w:szCs w:val="56"/>
          <w:highlight w:val="none"/>
          <w:lang w:val="en-US" w:eastAsia="zh-CN"/>
        </w:rPr>
        <w:t>政策</w:t>
      </w:r>
      <w:r>
        <w:rPr>
          <w:rFonts w:hint="eastAsia" w:ascii="Times New Roman" w:hAnsi="Times New Roman" w:eastAsia="楷体_GB2312" w:cs="Times New Roman"/>
          <w:b/>
          <w:bCs/>
          <w:color w:val="auto"/>
          <w:sz w:val="56"/>
          <w:szCs w:val="56"/>
          <w:highlight w:val="none"/>
          <w:lang w:eastAsia="zh-CN"/>
        </w:rPr>
        <w:t>）</w:t>
      </w:r>
      <w:r>
        <w:rPr>
          <w:rFonts w:hint="default" w:ascii="Times New Roman" w:hAnsi="Times New Roman" w:eastAsia="楷体_GB2312" w:cs="Times New Roman"/>
          <w:b/>
          <w:bCs/>
          <w:color w:val="auto"/>
          <w:sz w:val="56"/>
          <w:szCs w:val="56"/>
          <w:highlight w:val="none"/>
        </w:rPr>
        <w:t>支出绩效评价报告</w:t>
      </w:r>
    </w:p>
    <w:p>
      <w:pPr>
        <w:spacing w:line="580" w:lineRule="exact"/>
        <w:rPr>
          <w:rFonts w:hint="default" w:ascii="Times New Roman" w:hAnsi="Times New Roman" w:cs="Times New Roman"/>
          <w:color w:val="auto"/>
          <w:sz w:val="52"/>
          <w:szCs w:val="52"/>
          <w:highlight w:val="none"/>
        </w:rPr>
      </w:pPr>
    </w:p>
    <w:p>
      <w:pPr>
        <w:spacing w:line="580" w:lineRule="exact"/>
        <w:rPr>
          <w:rFonts w:hint="default" w:ascii="Times New Roman" w:hAnsi="Times New Roman" w:cs="Times New Roman"/>
          <w:color w:val="auto"/>
          <w:sz w:val="52"/>
          <w:szCs w:val="52"/>
          <w:highlight w:val="none"/>
        </w:rPr>
      </w:pPr>
    </w:p>
    <w:p>
      <w:pPr>
        <w:spacing w:line="580" w:lineRule="exact"/>
        <w:rPr>
          <w:rFonts w:hint="default" w:ascii="Times New Roman" w:hAnsi="Times New Roman" w:cs="Times New Roman"/>
          <w:color w:val="auto"/>
          <w:sz w:val="52"/>
          <w:szCs w:val="52"/>
          <w:highlight w:val="none"/>
        </w:rPr>
      </w:pPr>
    </w:p>
    <w:p>
      <w:pPr>
        <w:spacing w:line="580" w:lineRule="exact"/>
        <w:rPr>
          <w:rFonts w:hint="default" w:ascii="Times New Roman" w:hAnsi="Times New Roman" w:cs="Times New Roman"/>
          <w:color w:val="auto"/>
          <w:sz w:val="52"/>
          <w:szCs w:val="52"/>
          <w:highlight w:val="none"/>
        </w:rPr>
      </w:pPr>
    </w:p>
    <w:p>
      <w:pPr>
        <w:spacing w:line="580" w:lineRule="exact"/>
        <w:rPr>
          <w:rFonts w:hint="default" w:ascii="Times New Roman" w:hAnsi="Times New Roman" w:cs="Times New Roman"/>
          <w:color w:val="auto"/>
          <w:sz w:val="52"/>
          <w:szCs w:val="52"/>
          <w:highlight w:val="none"/>
        </w:rPr>
      </w:pPr>
    </w:p>
    <w:p>
      <w:pPr>
        <w:spacing w:line="580" w:lineRule="exact"/>
        <w:rPr>
          <w:rFonts w:hint="default" w:ascii="Times New Roman" w:hAnsi="Times New Roman" w:cs="Times New Roman"/>
          <w:color w:val="auto"/>
          <w:sz w:val="52"/>
          <w:szCs w:val="52"/>
          <w:highlight w:val="none"/>
        </w:rPr>
      </w:pPr>
    </w:p>
    <w:p>
      <w:pPr>
        <w:spacing w:line="580" w:lineRule="exact"/>
        <w:rPr>
          <w:rFonts w:hint="default" w:ascii="Times New Roman" w:hAnsi="Times New Roman" w:cs="Times New Roman"/>
          <w:color w:val="auto"/>
          <w:sz w:val="52"/>
          <w:szCs w:val="52"/>
          <w:highlight w:val="none"/>
        </w:rPr>
      </w:pPr>
    </w:p>
    <w:p>
      <w:pPr>
        <w:spacing w:line="580" w:lineRule="exact"/>
        <w:ind w:firstLine="643"/>
        <w:jc w:val="left"/>
        <w:rPr>
          <w:rFonts w:hint="eastAsia" w:ascii="Times New Roman" w:hAnsi="Times New Roman" w:eastAsia="楷体_GB2312" w:cs="Times New Roman"/>
          <w:b/>
          <w:bCs/>
          <w:color w:val="auto"/>
          <w:sz w:val="30"/>
          <w:szCs w:val="30"/>
          <w:highlight w:val="none"/>
          <w:lang w:eastAsia="zh-CN"/>
        </w:rPr>
      </w:pPr>
      <w:r>
        <w:rPr>
          <w:rFonts w:hint="default" w:ascii="Times New Roman" w:hAnsi="Times New Roman" w:eastAsia="楷体_GB2312" w:cs="Times New Roman"/>
          <w:b/>
          <w:bCs/>
          <w:color w:val="auto"/>
          <w:szCs w:val="32"/>
          <w:highlight w:val="none"/>
        </w:rPr>
        <w:t>项目名称：</w:t>
      </w:r>
      <w:r>
        <w:rPr>
          <w:rFonts w:hint="eastAsia" w:ascii="Times New Roman" w:hAnsi="Times New Roman" w:eastAsia="楷体_GB2312" w:cs="Times New Roman"/>
          <w:b/>
          <w:bCs/>
          <w:color w:val="auto"/>
          <w:szCs w:val="32"/>
          <w:highlight w:val="none"/>
          <w:lang w:eastAsia="zh-CN"/>
        </w:rPr>
        <w:t>山洪灾害防治非工程措施设施维修养护项目</w:t>
      </w:r>
    </w:p>
    <w:p>
      <w:pPr>
        <w:spacing w:line="580" w:lineRule="exact"/>
        <w:ind w:firstLine="643"/>
        <w:jc w:val="left"/>
        <w:rPr>
          <w:rFonts w:hint="default" w:ascii="Times New Roman" w:hAnsi="Times New Roman" w:eastAsia="楷体_GB2312" w:cs="Times New Roman"/>
          <w:b/>
          <w:bCs/>
          <w:color w:val="auto"/>
          <w:szCs w:val="32"/>
          <w:highlight w:val="none"/>
          <w:lang w:val="en-US" w:eastAsia="zh-CN"/>
        </w:rPr>
      </w:pPr>
      <w:r>
        <w:rPr>
          <w:rFonts w:hint="default" w:ascii="Times New Roman" w:hAnsi="Times New Roman" w:eastAsia="楷体_GB2312" w:cs="Times New Roman"/>
          <w:b/>
          <w:bCs/>
          <w:color w:val="auto"/>
          <w:szCs w:val="32"/>
          <w:highlight w:val="none"/>
        </w:rPr>
        <w:t>项目单位：德阳市罗江区水利局</w:t>
      </w:r>
    </w:p>
    <w:p>
      <w:pPr>
        <w:spacing w:line="580" w:lineRule="exact"/>
        <w:ind w:firstLine="643"/>
        <w:jc w:val="left"/>
        <w:rPr>
          <w:rFonts w:hint="default" w:ascii="Times New Roman" w:hAnsi="Times New Roman" w:eastAsia="楷体_GB2312" w:cs="Times New Roman"/>
          <w:b/>
          <w:bCs/>
          <w:color w:val="auto"/>
          <w:szCs w:val="32"/>
          <w:highlight w:val="none"/>
        </w:rPr>
      </w:pPr>
      <w:r>
        <w:rPr>
          <w:rFonts w:hint="default" w:ascii="Times New Roman" w:hAnsi="Times New Roman" w:eastAsia="楷体_GB2312" w:cs="Times New Roman"/>
          <w:b/>
          <w:bCs/>
          <w:color w:val="auto"/>
          <w:szCs w:val="32"/>
          <w:highlight w:val="none"/>
        </w:rPr>
        <w:t>委托单位：</w:t>
      </w:r>
      <w:r>
        <w:rPr>
          <w:rFonts w:hint="default" w:ascii="Times New Roman" w:hAnsi="Times New Roman" w:eastAsia="楷体_GB2312" w:cs="Times New Roman"/>
          <w:b/>
          <w:color w:val="auto"/>
          <w:spacing w:val="-2"/>
          <w:highlight w:val="none"/>
        </w:rPr>
        <w:t>德阳市罗江区财政</w:t>
      </w:r>
      <w:r>
        <w:rPr>
          <w:rFonts w:hint="default" w:ascii="Times New Roman" w:hAnsi="Times New Roman" w:eastAsia="楷体_GB2312" w:cs="Times New Roman"/>
          <w:b/>
          <w:color w:val="auto"/>
          <w:spacing w:val="-10"/>
          <w:highlight w:val="none"/>
        </w:rPr>
        <w:t>局</w:t>
      </w:r>
    </w:p>
    <w:p>
      <w:pPr>
        <w:spacing w:line="580" w:lineRule="exact"/>
        <w:ind w:firstLine="643"/>
        <w:jc w:val="left"/>
        <w:rPr>
          <w:rFonts w:hint="eastAsia" w:ascii="Times New Roman" w:hAnsi="Times New Roman" w:eastAsia="楷体_GB2312" w:cs="Times New Roman"/>
          <w:b/>
          <w:bCs/>
          <w:color w:val="auto"/>
          <w:szCs w:val="32"/>
          <w:highlight w:val="none"/>
          <w:lang w:eastAsia="zh-CN"/>
        </w:rPr>
      </w:pPr>
      <w:r>
        <w:rPr>
          <w:rFonts w:hint="default" w:ascii="Times New Roman" w:hAnsi="Times New Roman" w:eastAsia="楷体_GB2312" w:cs="Times New Roman"/>
          <w:b/>
          <w:bCs/>
          <w:color w:val="auto"/>
          <w:szCs w:val="32"/>
          <w:highlight w:val="none"/>
        </w:rPr>
        <w:t>评价机构：</w:t>
      </w:r>
      <w:r>
        <w:rPr>
          <w:rFonts w:hint="eastAsia" w:ascii="Times New Roman" w:hAnsi="Times New Roman" w:eastAsia="楷体_GB2312" w:cs="Times New Roman"/>
          <w:b/>
          <w:bCs/>
          <w:color w:val="auto"/>
          <w:szCs w:val="32"/>
          <w:highlight w:val="none"/>
          <w:lang w:eastAsia="zh-CN"/>
        </w:rPr>
        <w:t>四川瑞政商业管理有限公司</w:t>
      </w:r>
    </w:p>
    <w:p>
      <w:pPr>
        <w:spacing w:line="580" w:lineRule="exact"/>
        <w:ind w:firstLine="640"/>
        <w:rPr>
          <w:rFonts w:hint="default" w:ascii="Times New Roman" w:hAnsi="Times New Roman" w:cs="Times New Roman"/>
          <w:color w:val="auto"/>
          <w:szCs w:val="32"/>
          <w:highlight w:val="none"/>
        </w:rPr>
      </w:pPr>
    </w:p>
    <w:p>
      <w:pPr>
        <w:spacing w:line="580" w:lineRule="exact"/>
        <w:ind w:firstLine="640"/>
        <w:rPr>
          <w:rFonts w:hint="default" w:ascii="Times New Roman" w:hAnsi="Times New Roman" w:cs="Times New Roman"/>
          <w:color w:val="auto"/>
          <w:szCs w:val="32"/>
          <w:highlight w:val="none"/>
        </w:rPr>
      </w:pPr>
    </w:p>
    <w:p>
      <w:pPr>
        <w:spacing w:line="580" w:lineRule="exact"/>
        <w:ind w:firstLine="640"/>
        <w:rPr>
          <w:rFonts w:hint="default" w:ascii="Times New Roman" w:hAnsi="Times New Roman" w:cs="Times New Roman"/>
          <w:color w:val="auto"/>
          <w:szCs w:val="32"/>
          <w:highlight w:val="none"/>
        </w:rPr>
      </w:pPr>
    </w:p>
    <w:p>
      <w:pPr>
        <w:spacing w:line="580" w:lineRule="exact"/>
        <w:ind w:firstLine="640"/>
        <w:rPr>
          <w:rFonts w:hint="default" w:ascii="Times New Roman" w:hAnsi="Times New Roman" w:cs="Times New Roman"/>
          <w:color w:val="auto"/>
          <w:szCs w:val="32"/>
          <w:highlight w:val="none"/>
        </w:rPr>
      </w:pPr>
    </w:p>
    <w:p>
      <w:pPr>
        <w:spacing w:line="580" w:lineRule="exact"/>
        <w:ind w:firstLine="640"/>
        <w:rPr>
          <w:rFonts w:hint="default" w:ascii="Times New Roman" w:hAnsi="Times New Roman" w:cs="Times New Roman"/>
          <w:color w:val="auto"/>
          <w:szCs w:val="32"/>
          <w:highlight w:val="none"/>
        </w:rPr>
      </w:pPr>
    </w:p>
    <w:p>
      <w:pPr>
        <w:spacing w:line="580" w:lineRule="exact"/>
        <w:ind w:firstLine="640"/>
        <w:rPr>
          <w:rFonts w:hint="default" w:ascii="Times New Roman" w:hAnsi="Times New Roman" w:cs="Times New Roman"/>
          <w:color w:val="auto"/>
          <w:szCs w:val="32"/>
          <w:highlight w:val="none"/>
        </w:rPr>
      </w:pPr>
    </w:p>
    <w:p>
      <w:pPr>
        <w:spacing w:line="580" w:lineRule="exact"/>
        <w:ind w:firstLine="0" w:firstLineChars="0"/>
        <w:jc w:val="center"/>
        <w:rPr>
          <w:rFonts w:hint="default" w:ascii="Times New Roman" w:hAnsi="Times New Roman" w:eastAsia="楷体_GB2312" w:cs="Times New Roman"/>
          <w:b/>
          <w:bCs/>
          <w:color w:val="auto"/>
          <w:szCs w:val="32"/>
          <w:highlight w:val="none"/>
        </w:rPr>
        <w:sectPr>
          <w:headerReference r:id="rId7" w:type="first"/>
          <w:footerReference r:id="rId10" w:type="first"/>
          <w:headerReference r:id="rId5" w:type="default"/>
          <w:footerReference r:id="rId8" w:type="default"/>
          <w:headerReference r:id="rId6" w:type="even"/>
          <w:footerReference r:id="rId9" w:type="even"/>
          <w:pgSz w:w="11906" w:h="16838"/>
          <w:pgMar w:top="2098" w:right="1474" w:bottom="1928" w:left="1587" w:header="851" w:footer="992" w:gutter="0"/>
          <w:cols w:space="425" w:num="1"/>
          <w:docGrid w:type="lines" w:linePitch="312" w:charSpace="0"/>
        </w:sectPr>
      </w:pPr>
      <w:r>
        <w:rPr>
          <w:rFonts w:hint="default" w:ascii="Times New Roman" w:hAnsi="Times New Roman" w:eastAsia="楷体_GB2312" w:cs="Times New Roman"/>
          <w:b/>
          <w:bCs/>
          <w:color w:val="auto"/>
          <w:szCs w:val="32"/>
          <w:highlight w:val="none"/>
        </w:rPr>
        <w:t>202</w:t>
      </w:r>
      <w:r>
        <w:rPr>
          <w:rFonts w:hint="eastAsia" w:ascii="Times New Roman" w:hAnsi="Times New Roman" w:eastAsia="楷体_GB2312" w:cs="Times New Roman"/>
          <w:b/>
          <w:bCs/>
          <w:color w:val="auto"/>
          <w:szCs w:val="32"/>
          <w:highlight w:val="none"/>
          <w:lang w:val="en-US" w:eastAsia="zh-CN"/>
        </w:rPr>
        <w:t>3</w:t>
      </w:r>
      <w:r>
        <w:rPr>
          <w:rFonts w:hint="default" w:ascii="Times New Roman" w:hAnsi="Times New Roman" w:eastAsia="楷体_GB2312" w:cs="Times New Roman"/>
          <w:b/>
          <w:bCs/>
          <w:color w:val="auto"/>
          <w:szCs w:val="32"/>
          <w:highlight w:val="none"/>
        </w:rPr>
        <w:t>年</w:t>
      </w:r>
      <w:r>
        <w:rPr>
          <w:rFonts w:hint="eastAsia" w:ascii="Times New Roman" w:hAnsi="Times New Roman" w:eastAsia="楷体_GB2312" w:cs="Times New Roman"/>
          <w:b/>
          <w:bCs/>
          <w:color w:val="auto"/>
          <w:szCs w:val="32"/>
          <w:highlight w:val="none"/>
          <w:lang w:val="en-US" w:eastAsia="zh-CN"/>
        </w:rPr>
        <w:t>9</w:t>
      </w:r>
      <w:r>
        <w:rPr>
          <w:rFonts w:hint="default" w:ascii="Times New Roman" w:hAnsi="Times New Roman" w:eastAsia="楷体_GB2312" w:cs="Times New Roman"/>
          <w:b/>
          <w:bCs/>
          <w:color w:val="auto"/>
          <w:szCs w:val="32"/>
          <w:highlight w:val="none"/>
        </w:rPr>
        <w:t>月</w:t>
      </w:r>
    </w:p>
    <w:sdt>
      <w:sdtPr>
        <w:rPr>
          <w:rFonts w:hint="default" w:ascii="Times New Roman" w:hAnsi="Times New Roman" w:cs="Times New Roman"/>
          <w:b/>
          <w:bCs/>
          <w:color w:val="auto"/>
          <w:szCs w:val="32"/>
          <w:highlight w:val="none"/>
        </w:rPr>
        <w:id w:val="147473090"/>
        <w15:color w:val="DBDBDB"/>
        <w:docPartObj>
          <w:docPartGallery w:val="Table of Contents"/>
          <w:docPartUnique/>
        </w:docPartObj>
      </w:sdtPr>
      <w:sdtEndPr>
        <w:rPr>
          <w:rFonts w:hint="default" w:ascii="Times New Roman" w:hAnsi="Times New Roman" w:cs="Times New Roman"/>
          <w:b/>
          <w:bCs/>
          <w:color w:val="auto"/>
          <w:sz w:val="21"/>
          <w:szCs w:val="32"/>
          <w:highlight w:val="none"/>
        </w:rPr>
      </w:sdtEndPr>
      <w:sdtContent>
        <w:p>
          <w:pPr>
            <w:spacing w:line="580" w:lineRule="exact"/>
            <w:ind w:firstLine="0" w:firstLineChars="0"/>
            <w:jc w:val="center"/>
            <w:rPr>
              <w:rFonts w:hint="default" w:ascii="Times New Roman" w:hAnsi="Times New Roman" w:cs="Times New Roman"/>
              <w:b/>
              <w:bCs/>
              <w:color w:val="auto"/>
              <w:szCs w:val="32"/>
              <w:highlight w:val="none"/>
            </w:rPr>
          </w:pPr>
          <w:r>
            <w:rPr>
              <w:rFonts w:hint="default" w:ascii="Times New Roman" w:hAnsi="Times New Roman" w:cs="Times New Roman"/>
              <w:b/>
              <w:bCs/>
              <w:color w:val="auto"/>
              <w:szCs w:val="32"/>
              <w:highlight w:val="none"/>
            </w:rPr>
            <w:t>目  录</w:t>
          </w:r>
        </w:p>
        <w:p>
          <w:pPr>
            <w:pStyle w:val="11"/>
            <w:keepNext w:val="0"/>
            <w:keepLines w:val="0"/>
            <w:pageBreakBefore w:val="0"/>
            <w:widowControl w:val="0"/>
            <w:tabs>
              <w:tab w:val="right" w:leader="dot" w:pos="8845"/>
            </w:tabs>
            <w:kinsoku/>
            <w:wordWrap/>
            <w:overflowPunct/>
            <w:topLinePunct w:val="0"/>
            <w:autoSpaceDE/>
            <w:autoSpaceDN/>
            <w:bidi w:val="0"/>
            <w:adjustRightInd/>
            <w:snapToGrid/>
            <w:ind w:firstLine="0" w:firstLineChars="0"/>
            <w:textAlignment w:val="auto"/>
            <w:rPr>
              <w:rFonts w:hint="default" w:ascii="Times New Roman" w:hAnsi="Times New Roman" w:cs="Times New Roman"/>
            </w:rPr>
          </w:pPr>
          <w:r>
            <w:rPr>
              <w:rFonts w:hint="default" w:ascii="Times New Roman" w:hAnsi="Times New Roman" w:cs="Times New Roman"/>
              <w:b/>
              <w:bCs/>
              <w:color w:val="auto"/>
              <w:szCs w:val="32"/>
              <w:highlight w:val="none"/>
            </w:rPr>
            <w:fldChar w:fldCharType="begin"/>
          </w:r>
          <w:r>
            <w:rPr>
              <w:rFonts w:hint="default" w:ascii="Times New Roman" w:hAnsi="Times New Roman" w:cs="Times New Roman"/>
              <w:b/>
              <w:bCs/>
              <w:color w:val="auto"/>
              <w:szCs w:val="32"/>
              <w:highlight w:val="none"/>
            </w:rPr>
            <w:instrText xml:space="preserve">TOC \o "1-2" \h \u </w:instrText>
          </w:r>
          <w:r>
            <w:rPr>
              <w:rFonts w:hint="default" w:ascii="Times New Roman" w:hAnsi="Times New Roman" w:cs="Times New Roman"/>
              <w:b/>
              <w:bCs/>
              <w:color w:val="auto"/>
              <w:szCs w:val="32"/>
              <w:highlight w:val="none"/>
            </w:rPr>
            <w:fldChar w:fldCharType="separate"/>
          </w: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_Toc18236 </w:instrText>
          </w:r>
          <w:r>
            <w:rPr>
              <w:rFonts w:hint="default" w:ascii="Times New Roman" w:hAnsi="Times New Roman" w:cs="Times New Roman"/>
              <w:bCs/>
              <w:szCs w:val="32"/>
              <w:highlight w:val="none"/>
            </w:rPr>
            <w:fldChar w:fldCharType="separate"/>
          </w:r>
          <w:r>
            <w:rPr>
              <w:rFonts w:hint="default" w:ascii="Times New Roman" w:hAnsi="Times New Roman" w:eastAsia="黑体" w:cs="Times New Roman"/>
              <w:bCs/>
              <w:szCs w:val="20"/>
              <w:highlight w:val="none"/>
            </w:rPr>
            <w:t>一、基本情况</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_Toc18236 \h </w:instrText>
          </w:r>
          <w:r>
            <w:rPr>
              <w:rFonts w:hint="default" w:ascii="Times New Roman" w:hAnsi="Times New Roman" w:cs="Times New Roman"/>
            </w:rPr>
            <w:fldChar w:fldCharType="separate"/>
          </w:r>
          <w:r>
            <w:rPr>
              <w:rFonts w:hint="default" w:ascii="Times New Roman" w:hAnsi="Times New Roman" w:cs="Times New Roman"/>
            </w:rPr>
            <w:t>2</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3"/>
            <w:keepNext w:val="0"/>
            <w:keepLines w:val="0"/>
            <w:pageBreakBefore w:val="0"/>
            <w:widowControl w:val="0"/>
            <w:tabs>
              <w:tab w:val="right" w:leader="dot" w:pos="8845"/>
            </w:tabs>
            <w:kinsoku/>
            <w:wordWrap/>
            <w:overflowPunct/>
            <w:topLinePunct w:val="0"/>
            <w:autoSpaceDE/>
            <w:autoSpaceDN/>
            <w:bidi w:val="0"/>
            <w:adjustRightInd/>
            <w:snapToGrid/>
            <w:ind w:firstLine="0" w:firstLineChars="0"/>
            <w:textAlignment w:val="auto"/>
            <w:rPr>
              <w:rFonts w:hint="default" w:ascii="Times New Roman" w:hAnsi="Times New Roman" w:cs="Times New Roman"/>
            </w:rPr>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_Toc29317 </w:instrText>
          </w:r>
          <w:r>
            <w:rPr>
              <w:rFonts w:hint="default" w:ascii="Times New Roman" w:hAnsi="Times New Roman" w:cs="Times New Roman"/>
              <w:bCs/>
              <w:szCs w:val="32"/>
              <w:highlight w:val="none"/>
            </w:rPr>
            <w:fldChar w:fldCharType="separate"/>
          </w:r>
          <w:r>
            <w:rPr>
              <w:rFonts w:hint="default" w:ascii="Times New Roman" w:hAnsi="Times New Roman" w:eastAsia="楷体_GB2312" w:cs="Times New Roman"/>
              <w:szCs w:val="32"/>
              <w:highlight w:val="none"/>
            </w:rPr>
            <w:t>（一）项目背景及依据</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_Toc29317 \h </w:instrText>
          </w:r>
          <w:r>
            <w:rPr>
              <w:rFonts w:hint="default" w:ascii="Times New Roman" w:hAnsi="Times New Roman" w:cs="Times New Roman"/>
            </w:rPr>
            <w:fldChar w:fldCharType="separate"/>
          </w:r>
          <w:r>
            <w:rPr>
              <w:rFonts w:hint="default" w:ascii="Times New Roman" w:hAnsi="Times New Roman" w:cs="Times New Roman"/>
            </w:rPr>
            <w:t>2</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3"/>
            <w:keepNext w:val="0"/>
            <w:keepLines w:val="0"/>
            <w:pageBreakBefore w:val="0"/>
            <w:widowControl w:val="0"/>
            <w:tabs>
              <w:tab w:val="right" w:leader="dot" w:pos="8845"/>
            </w:tabs>
            <w:kinsoku/>
            <w:wordWrap/>
            <w:overflowPunct/>
            <w:topLinePunct w:val="0"/>
            <w:autoSpaceDE/>
            <w:autoSpaceDN/>
            <w:bidi w:val="0"/>
            <w:adjustRightInd/>
            <w:snapToGrid/>
            <w:ind w:firstLine="0" w:firstLineChars="0"/>
            <w:textAlignment w:val="auto"/>
            <w:rPr>
              <w:rFonts w:hint="default" w:ascii="Times New Roman" w:hAnsi="Times New Roman" w:cs="Times New Roman"/>
            </w:rPr>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_Toc16104 </w:instrText>
          </w:r>
          <w:r>
            <w:rPr>
              <w:rFonts w:hint="default" w:ascii="Times New Roman" w:hAnsi="Times New Roman" w:cs="Times New Roman"/>
              <w:bCs/>
              <w:szCs w:val="32"/>
              <w:highlight w:val="none"/>
            </w:rPr>
            <w:fldChar w:fldCharType="separate"/>
          </w:r>
          <w:r>
            <w:rPr>
              <w:rFonts w:hint="default" w:ascii="Times New Roman" w:hAnsi="Times New Roman" w:eastAsia="楷体_GB2312" w:cs="Times New Roman"/>
              <w:szCs w:val="32"/>
              <w:highlight w:val="none"/>
            </w:rPr>
            <w:t>（二）项目参与主体职能职责</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_Toc16104 \h </w:instrText>
          </w:r>
          <w:r>
            <w:rPr>
              <w:rFonts w:hint="default" w:ascii="Times New Roman" w:hAnsi="Times New Roman" w:cs="Times New Roman"/>
            </w:rPr>
            <w:fldChar w:fldCharType="separate"/>
          </w:r>
          <w:r>
            <w:rPr>
              <w:rFonts w:hint="default" w:ascii="Times New Roman" w:hAnsi="Times New Roman" w:cs="Times New Roman"/>
            </w:rPr>
            <w:t>3</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3"/>
            <w:keepNext w:val="0"/>
            <w:keepLines w:val="0"/>
            <w:pageBreakBefore w:val="0"/>
            <w:widowControl w:val="0"/>
            <w:tabs>
              <w:tab w:val="right" w:leader="dot" w:pos="8845"/>
            </w:tabs>
            <w:kinsoku/>
            <w:wordWrap/>
            <w:overflowPunct/>
            <w:topLinePunct w:val="0"/>
            <w:autoSpaceDE/>
            <w:autoSpaceDN/>
            <w:bidi w:val="0"/>
            <w:adjustRightInd/>
            <w:snapToGrid/>
            <w:ind w:firstLine="0" w:firstLineChars="0"/>
            <w:textAlignment w:val="auto"/>
            <w:rPr>
              <w:rFonts w:hint="default" w:ascii="Times New Roman" w:hAnsi="Times New Roman" w:cs="Times New Roman"/>
            </w:rPr>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_Toc6324 </w:instrText>
          </w:r>
          <w:r>
            <w:rPr>
              <w:rFonts w:hint="default" w:ascii="Times New Roman" w:hAnsi="Times New Roman" w:cs="Times New Roman"/>
              <w:bCs/>
              <w:szCs w:val="32"/>
              <w:highlight w:val="none"/>
            </w:rPr>
            <w:fldChar w:fldCharType="separate"/>
          </w:r>
          <w:r>
            <w:rPr>
              <w:rFonts w:hint="default" w:ascii="Times New Roman" w:hAnsi="Times New Roman" w:eastAsia="楷体_GB2312" w:cs="Times New Roman"/>
              <w:szCs w:val="32"/>
              <w:highlight w:val="none"/>
            </w:rPr>
            <w:t>（三）项目绩效目标</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_Toc6324 \h </w:instrText>
          </w:r>
          <w:r>
            <w:rPr>
              <w:rFonts w:hint="default" w:ascii="Times New Roman" w:hAnsi="Times New Roman" w:cs="Times New Roman"/>
            </w:rPr>
            <w:fldChar w:fldCharType="separate"/>
          </w:r>
          <w:r>
            <w:rPr>
              <w:rFonts w:hint="default" w:ascii="Times New Roman" w:hAnsi="Times New Roman" w:cs="Times New Roman"/>
            </w:rPr>
            <w:t>3</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3"/>
            <w:keepNext w:val="0"/>
            <w:keepLines w:val="0"/>
            <w:pageBreakBefore w:val="0"/>
            <w:widowControl w:val="0"/>
            <w:tabs>
              <w:tab w:val="right" w:leader="dot" w:pos="8845"/>
            </w:tabs>
            <w:kinsoku/>
            <w:wordWrap/>
            <w:overflowPunct/>
            <w:topLinePunct w:val="0"/>
            <w:autoSpaceDE/>
            <w:autoSpaceDN/>
            <w:bidi w:val="0"/>
            <w:adjustRightInd/>
            <w:snapToGrid/>
            <w:ind w:firstLine="0" w:firstLineChars="0"/>
            <w:textAlignment w:val="auto"/>
            <w:rPr>
              <w:rFonts w:hint="default" w:ascii="Times New Roman" w:hAnsi="Times New Roman" w:cs="Times New Roman"/>
            </w:rPr>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_Toc4453 </w:instrText>
          </w:r>
          <w:r>
            <w:rPr>
              <w:rFonts w:hint="default" w:ascii="Times New Roman" w:hAnsi="Times New Roman" w:cs="Times New Roman"/>
              <w:bCs/>
              <w:szCs w:val="32"/>
              <w:highlight w:val="none"/>
            </w:rPr>
            <w:fldChar w:fldCharType="separate"/>
          </w:r>
          <w:r>
            <w:rPr>
              <w:rFonts w:hint="default" w:ascii="Times New Roman" w:hAnsi="Times New Roman" w:eastAsia="楷体_GB2312" w:cs="Times New Roman"/>
              <w:szCs w:val="32"/>
              <w:highlight w:val="none"/>
            </w:rPr>
            <w:t>（四）项目预算及计划实施内容</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_Toc4453 \h </w:instrText>
          </w:r>
          <w:r>
            <w:rPr>
              <w:rFonts w:hint="default" w:ascii="Times New Roman" w:hAnsi="Times New Roman" w:cs="Times New Roman"/>
            </w:rPr>
            <w:fldChar w:fldCharType="separate"/>
          </w:r>
          <w:r>
            <w:rPr>
              <w:rFonts w:hint="default" w:ascii="Times New Roman" w:hAnsi="Times New Roman" w:cs="Times New Roman"/>
            </w:rPr>
            <w:t>5</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3"/>
            <w:keepNext w:val="0"/>
            <w:keepLines w:val="0"/>
            <w:pageBreakBefore w:val="0"/>
            <w:widowControl w:val="0"/>
            <w:tabs>
              <w:tab w:val="right" w:leader="dot" w:pos="8845"/>
            </w:tabs>
            <w:kinsoku/>
            <w:wordWrap/>
            <w:overflowPunct/>
            <w:topLinePunct w:val="0"/>
            <w:autoSpaceDE/>
            <w:autoSpaceDN/>
            <w:bidi w:val="0"/>
            <w:adjustRightInd/>
            <w:snapToGrid/>
            <w:ind w:firstLine="0" w:firstLineChars="0"/>
            <w:textAlignment w:val="auto"/>
            <w:rPr>
              <w:rFonts w:hint="default" w:ascii="Times New Roman" w:hAnsi="Times New Roman" w:cs="Times New Roman"/>
            </w:rPr>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_Toc3141 </w:instrText>
          </w:r>
          <w:r>
            <w:rPr>
              <w:rFonts w:hint="default" w:ascii="Times New Roman" w:hAnsi="Times New Roman" w:cs="Times New Roman"/>
              <w:bCs/>
              <w:szCs w:val="32"/>
              <w:highlight w:val="none"/>
            </w:rPr>
            <w:fldChar w:fldCharType="separate"/>
          </w:r>
          <w:r>
            <w:rPr>
              <w:rFonts w:hint="default" w:ascii="Times New Roman" w:hAnsi="Times New Roman" w:eastAsia="楷体_GB2312" w:cs="Times New Roman"/>
              <w:szCs w:val="32"/>
              <w:highlight w:val="none"/>
            </w:rPr>
            <w:t>（五）预算执行及实施情况</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_Toc3141 \h </w:instrText>
          </w:r>
          <w:r>
            <w:rPr>
              <w:rFonts w:hint="default" w:ascii="Times New Roman" w:hAnsi="Times New Roman" w:cs="Times New Roman"/>
            </w:rPr>
            <w:fldChar w:fldCharType="separate"/>
          </w:r>
          <w:r>
            <w:rPr>
              <w:rFonts w:hint="default" w:ascii="Times New Roman" w:hAnsi="Times New Roman" w:cs="Times New Roman"/>
            </w:rPr>
            <w:t>6</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1"/>
            <w:keepNext w:val="0"/>
            <w:keepLines w:val="0"/>
            <w:pageBreakBefore w:val="0"/>
            <w:widowControl w:val="0"/>
            <w:tabs>
              <w:tab w:val="right" w:leader="dot" w:pos="8845"/>
            </w:tabs>
            <w:kinsoku/>
            <w:wordWrap/>
            <w:overflowPunct/>
            <w:topLinePunct w:val="0"/>
            <w:autoSpaceDE/>
            <w:autoSpaceDN/>
            <w:bidi w:val="0"/>
            <w:adjustRightInd/>
            <w:snapToGrid/>
            <w:ind w:firstLine="0" w:firstLineChars="0"/>
            <w:textAlignment w:val="auto"/>
            <w:rPr>
              <w:rFonts w:hint="default" w:ascii="Times New Roman" w:hAnsi="Times New Roman" w:cs="Times New Roman"/>
            </w:rPr>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_Toc17481 </w:instrText>
          </w:r>
          <w:r>
            <w:rPr>
              <w:rFonts w:hint="default" w:ascii="Times New Roman" w:hAnsi="Times New Roman" w:cs="Times New Roman"/>
              <w:bCs/>
              <w:szCs w:val="32"/>
              <w:highlight w:val="none"/>
            </w:rPr>
            <w:fldChar w:fldCharType="separate"/>
          </w:r>
          <w:r>
            <w:rPr>
              <w:rFonts w:hint="default" w:ascii="Times New Roman" w:hAnsi="Times New Roman" w:eastAsia="黑体" w:cs="Times New Roman"/>
              <w:bCs/>
              <w:szCs w:val="20"/>
              <w:highlight w:val="none"/>
            </w:rPr>
            <w:t>二、评价工作开展情况</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_Toc17481 \h </w:instrText>
          </w:r>
          <w:r>
            <w:rPr>
              <w:rFonts w:hint="default" w:ascii="Times New Roman" w:hAnsi="Times New Roman" w:cs="Times New Roman"/>
            </w:rPr>
            <w:fldChar w:fldCharType="separate"/>
          </w:r>
          <w:r>
            <w:rPr>
              <w:rFonts w:hint="default" w:ascii="Times New Roman" w:hAnsi="Times New Roman" w:cs="Times New Roman"/>
            </w:rPr>
            <w:t>7</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3"/>
            <w:keepNext w:val="0"/>
            <w:keepLines w:val="0"/>
            <w:pageBreakBefore w:val="0"/>
            <w:widowControl w:val="0"/>
            <w:tabs>
              <w:tab w:val="right" w:leader="dot" w:pos="8845"/>
            </w:tabs>
            <w:kinsoku/>
            <w:wordWrap/>
            <w:overflowPunct/>
            <w:topLinePunct w:val="0"/>
            <w:autoSpaceDE/>
            <w:autoSpaceDN/>
            <w:bidi w:val="0"/>
            <w:adjustRightInd/>
            <w:snapToGrid/>
            <w:ind w:firstLine="0" w:firstLineChars="0"/>
            <w:textAlignment w:val="auto"/>
            <w:rPr>
              <w:rFonts w:hint="default" w:ascii="Times New Roman" w:hAnsi="Times New Roman" w:cs="Times New Roman"/>
            </w:rPr>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_Toc28984 </w:instrText>
          </w:r>
          <w:r>
            <w:rPr>
              <w:rFonts w:hint="default" w:ascii="Times New Roman" w:hAnsi="Times New Roman" w:cs="Times New Roman"/>
              <w:bCs/>
              <w:szCs w:val="32"/>
              <w:highlight w:val="none"/>
            </w:rPr>
            <w:fldChar w:fldCharType="separate"/>
          </w:r>
          <w:r>
            <w:rPr>
              <w:rFonts w:hint="default" w:ascii="Times New Roman" w:hAnsi="Times New Roman" w:eastAsia="楷体_GB2312" w:cs="Times New Roman"/>
              <w:szCs w:val="32"/>
              <w:highlight w:val="none"/>
            </w:rPr>
            <w:t>（一）绩效评价的目的</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_Toc28984 \h </w:instrText>
          </w:r>
          <w:r>
            <w:rPr>
              <w:rFonts w:hint="default" w:ascii="Times New Roman" w:hAnsi="Times New Roman" w:cs="Times New Roman"/>
            </w:rPr>
            <w:fldChar w:fldCharType="separate"/>
          </w:r>
          <w:r>
            <w:rPr>
              <w:rFonts w:hint="default" w:ascii="Times New Roman" w:hAnsi="Times New Roman" w:cs="Times New Roman"/>
            </w:rPr>
            <w:t>7</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3"/>
            <w:keepNext w:val="0"/>
            <w:keepLines w:val="0"/>
            <w:pageBreakBefore w:val="0"/>
            <w:widowControl w:val="0"/>
            <w:tabs>
              <w:tab w:val="right" w:leader="dot" w:pos="8845"/>
            </w:tabs>
            <w:kinsoku/>
            <w:wordWrap/>
            <w:overflowPunct/>
            <w:topLinePunct w:val="0"/>
            <w:autoSpaceDE/>
            <w:autoSpaceDN/>
            <w:bidi w:val="0"/>
            <w:adjustRightInd/>
            <w:snapToGrid/>
            <w:ind w:firstLine="0" w:firstLineChars="0"/>
            <w:textAlignment w:val="auto"/>
            <w:rPr>
              <w:rFonts w:hint="default" w:ascii="Times New Roman" w:hAnsi="Times New Roman" w:cs="Times New Roman"/>
            </w:rPr>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_Toc13396 </w:instrText>
          </w:r>
          <w:r>
            <w:rPr>
              <w:rFonts w:hint="default" w:ascii="Times New Roman" w:hAnsi="Times New Roman" w:cs="Times New Roman"/>
              <w:bCs/>
              <w:szCs w:val="32"/>
              <w:highlight w:val="none"/>
            </w:rPr>
            <w:fldChar w:fldCharType="separate"/>
          </w:r>
          <w:r>
            <w:rPr>
              <w:rFonts w:hint="default" w:ascii="Times New Roman" w:hAnsi="Times New Roman" w:eastAsia="楷体_GB2312" w:cs="Times New Roman"/>
              <w:szCs w:val="32"/>
              <w:highlight w:val="none"/>
            </w:rPr>
            <w:t>（二）评价的思路、原则、依据及方法</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_Toc13396 \h </w:instrText>
          </w:r>
          <w:r>
            <w:rPr>
              <w:rFonts w:hint="default" w:ascii="Times New Roman" w:hAnsi="Times New Roman" w:cs="Times New Roman"/>
            </w:rPr>
            <w:fldChar w:fldCharType="separate"/>
          </w:r>
          <w:r>
            <w:rPr>
              <w:rFonts w:hint="default" w:ascii="Times New Roman" w:hAnsi="Times New Roman" w:cs="Times New Roman"/>
            </w:rPr>
            <w:t>8</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3"/>
            <w:keepNext w:val="0"/>
            <w:keepLines w:val="0"/>
            <w:pageBreakBefore w:val="0"/>
            <w:widowControl w:val="0"/>
            <w:tabs>
              <w:tab w:val="right" w:leader="dot" w:pos="8845"/>
            </w:tabs>
            <w:kinsoku/>
            <w:wordWrap/>
            <w:overflowPunct/>
            <w:topLinePunct w:val="0"/>
            <w:autoSpaceDE/>
            <w:autoSpaceDN/>
            <w:bidi w:val="0"/>
            <w:adjustRightInd/>
            <w:snapToGrid/>
            <w:ind w:firstLine="0" w:firstLineChars="0"/>
            <w:textAlignment w:val="auto"/>
            <w:rPr>
              <w:rFonts w:hint="default" w:ascii="Times New Roman" w:hAnsi="Times New Roman" w:cs="Times New Roman"/>
            </w:rPr>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_Toc10934 </w:instrText>
          </w:r>
          <w:r>
            <w:rPr>
              <w:rFonts w:hint="default" w:ascii="Times New Roman" w:hAnsi="Times New Roman" w:cs="Times New Roman"/>
              <w:bCs/>
              <w:szCs w:val="32"/>
              <w:highlight w:val="none"/>
            </w:rPr>
            <w:fldChar w:fldCharType="separate"/>
          </w:r>
          <w:r>
            <w:rPr>
              <w:rFonts w:hint="default" w:ascii="Times New Roman" w:hAnsi="Times New Roman" w:eastAsia="楷体_GB2312" w:cs="Times New Roman"/>
              <w:szCs w:val="32"/>
              <w:highlight w:val="none"/>
            </w:rPr>
            <w:t>（三）数据采集方法及过程</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_Toc10934 \h </w:instrText>
          </w:r>
          <w:r>
            <w:rPr>
              <w:rFonts w:hint="default" w:ascii="Times New Roman" w:hAnsi="Times New Roman" w:cs="Times New Roman"/>
            </w:rPr>
            <w:fldChar w:fldCharType="separate"/>
          </w:r>
          <w:r>
            <w:rPr>
              <w:rFonts w:hint="default" w:ascii="Times New Roman" w:hAnsi="Times New Roman" w:cs="Times New Roman"/>
            </w:rPr>
            <w:t>11</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3"/>
            <w:keepNext w:val="0"/>
            <w:keepLines w:val="0"/>
            <w:pageBreakBefore w:val="0"/>
            <w:widowControl w:val="0"/>
            <w:tabs>
              <w:tab w:val="right" w:leader="dot" w:pos="8845"/>
            </w:tabs>
            <w:kinsoku/>
            <w:wordWrap/>
            <w:overflowPunct/>
            <w:topLinePunct w:val="0"/>
            <w:autoSpaceDE/>
            <w:autoSpaceDN/>
            <w:bidi w:val="0"/>
            <w:adjustRightInd/>
            <w:snapToGrid/>
            <w:ind w:firstLine="0" w:firstLineChars="0"/>
            <w:textAlignment w:val="auto"/>
            <w:rPr>
              <w:rFonts w:hint="default" w:ascii="Times New Roman" w:hAnsi="Times New Roman" w:cs="Times New Roman"/>
            </w:rPr>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_Toc28703 </w:instrText>
          </w:r>
          <w:r>
            <w:rPr>
              <w:rFonts w:hint="default" w:ascii="Times New Roman" w:hAnsi="Times New Roman" w:cs="Times New Roman"/>
              <w:bCs/>
              <w:szCs w:val="32"/>
              <w:highlight w:val="none"/>
            </w:rPr>
            <w:fldChar w:fldCharType="separate"/>
          </w:r>
          <w:r>
            <w:rPr>
              <w:rFonts w:hint="default" w:ascii="Times New Roman" w:hAnsi="Times New Roman" w:eastAsia="楷体_GB2312" w:cs="Times New Roman"/>
              <w:szCs w:val="32"/>
              <w:highlight w:val="none"/>
            </w:rPr>
            <w:t>（四）绩效评价实施过程</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_Toc28703 \h </w:instrText>
          </w:r>
          <w:r>
            <w:rPr>
              <w:rFonts w:hint="default" w:ascii="Times New Roman" w:hAnsi="Times New Roman" w:cs="Times New Roman"/>
            </w:rPr>
            <w:fldChar w:fldCharType="separate"/>
          </w:r>
          <w:r>
            <w:rPr>
              <w:rFonts w:hint="default" w:ascii="Times New Roman" w:hAnsi="Times New Roman" w:cs="Times New Roman"/>
            </w:rPr>
            <w:t>11</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1"/>
            <w:keepNext w:val="0"/>
            <w:keepLines w:val="0"/>
            <w:pageBreakBefore w:val="0"/>
            <w:widowControl w:val="0"/>
            <w:tabs>
              <w:tab w:val="right" w:leader="dot" w:pos="8845"/>
            </w:tabs>
            <w:kinsoku/>
            <w:wordWrap/>
            <w:overflowPunct/>
            <w:topLinePunct w:val="0"/>
            <w:autoSpaceDE/>
            <w:autoSpaceDN/>
            <w:bidi w:val="0"/>
            <w:adjustRightInd/>
            <w:snapToGrid/>
            <w:ind w:firstLine="0" w:firstLineChars="0"/>
            <w:textAlignment w:val="auto"/>
            <w:rPr>
              <w:rFonts w:hint="default" w:ascii="Times New Roman" w:hAnsi="Times New Roman" w:cs="Times New Roman"/>
            </w:rPr>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_Toc12075 </w:instrText>
          </w:r>
          <w:r>
            <w:rPr>
              <w:rFonts w:hint="default" w:ascii="Times New Roman" w:hAnsi="Times New Roman" w:cs="Times New Roman"/>
              <w:bCs/>
              <w:szCs w:val="32"/>
              <w:highlight w:val="none"/>
            </w:rPr>
            <w:fldChar w:fldCharType="separate"/>
          </w:r>
          <w:r>
            <w:rPr>
              <w:rFonts w:hint="default" w:ascii="Times New Roman" w:hAnsi="Times New Roman" w:eastAsia="黑体" w:cs="Times New Roman"/>
              <w:bCs/>
              <w:szCs w:val="20"/>
              <w:highlight w:val="none"/>
            </w:rPr>
            <w:t>三、评价结果与结论</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_Toc12075 \h </w:instrText>
          </w:r>
          <w:r>
            <w:rPr>
              <w:rFonts w:hint="default" w:ascii="Times New Roman" w:hAnsi="Times New Roman" w:cs="Times New Roman"/>
            </w:rPr>
            <w:fldChar w:fldCharType="separate"/>
          </w:r>
          <w:r>
            <w:rPr>
              <w:rFonts w:hint="default" w:ascii="Times New Roman" w:hAnsi="Times New Roman" w:cs="Times New Roman"/>
            </w:rPr>
            <w:t>13</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3"/>
            <w:keepNext w:val="0"/>
            <w:keepLines w:val="0"/>
            <w:pageBreakBefore w:val="0"/>
            <w:widowControl w:val="0"/>
            <w:tabs>
              <w:tab w:val="right" w:leader="dot" w:pos="8845"/>
            </w:tabs>
            <w:kinsoku/>
            <w:wordWrap/>
            <w:overflowPunct/>
            <w:topLinePunct w:val="0"/>
            <w:autoSpaceDE/>
            <w:autoSpaceDN/>
            <w:bidi w:val="0"/>
            <w:adjustRightInd/>
            <w:snapToGrid/>
            <w:ind w:firstLine="0" w:firstLineChars="0"/>
            <w:textAlignment w:val="auto"/>
            <w:rPr>
              <w:rFonts w:hint="default" w:ascii="Times New Roman" w:hAnsi="Times New Roman" w:cs="Times New Roman"/>
            </w:rPr>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_Toc26976 </w:instrText>
          </w:r>
          <w:r>
            <w:rPr>
              <w:rFonts w:hint="default" w:ascii="Times New Roman" w:hAnsi="Times New Roman" w:cs="Times New Roman"/>
              <w:bCs/>
              <w:szCs w:val="32"/>
              <w:highlight w:val="none"/>
            </w:rPr>
            <w:fldChar w:fldCharType="separate"/>
          </w:r>
          <w:r>
            <w:rPr>
              <w:rFonts w:hint="default" w:ascii="Times New Roman" w:hAnsi="Times New Roman" w:eastAsia="楷体_GB2312" w:cs="Times New Roman"/>
              <w:szCs w:val="32"/>
              <w:highlight w:val="none"/>
            </w:rPr>
            <w:t>（一）评价得分与绩效等级</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_Toc26976 \h </w:instrText>
          </w:r>
          <w:r>
            <w:rPr>
              <w:rFonts w:hint="default" w:ascii="Times New Roman" w:hAnsi="Times New Roman" w:cs="Times New Roman"/>
            </w:rPr>
            <w:fldChar w:fldCharType="separate"/>
          </w:r>
          <w:r>
            <w:rPr>
              <w:rFonts w:hint="default" w:ascii="Times New Roman" w:hAnsi="Times New Roman" w:cs="Times New Roman"/>
            </w:rPr>
            <w:t>13</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3"/>
            <w:keepNext w:val="0"/>
            <w:keepLines w:val="0"/>
            <w:pageBreakBefore w:val="0"/>
            <w:widowControl w:val="0"/>
            <w:tabs>
              <w:tab w:val="right" w:leader="dot" w:pos="8845"/>
            </w:tabs>
            <w:kinsoku/>
            <w:wordWrap/>
            <w:overflowPunct/>
            <w:topLinePunct w:val="0"/>
            <w:autoSpaceDE/>
            <w:autoSpaceDN/>
            <w:bidi w:val="0"/>
            <w:adjustRightInd/>
            <w:snapToGrid/>
            <w:ind w:firstLine="0" w:firstLineChars="0"/>
            <w:textAlignment w:val="auto"/>
            <w:rPr>
              <w:rFonts w:hint="default" w:ascii="Times New Roman" w:hAnsi="Times New Roman" w:cs="Times New Roman"/>
            </w:rPr>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_Toc9508 </w:instrText>
          </w:r>
          <w:r>
            <w:rPr>
              <w:rFonts w:hint="default" w:ascii="Times New Roman" w:hAnsi="Times New Roman" w:cs="Times New Roman"/>
              <w:bCs/>
              <w:szCs w:val="32"/>
              <w:highlight w:val="none"/>
            </w:rPr>
            <w:fldChar w:fldCharType="separate"/>
          </w:r>
          <w:r>
            <w:rPr>
              <w:rFonts w:hint="default" w:ascii="Times New Roman" w:hAnsi="Times New Roman" w:eastAsia="楷体_GB2312" w:cs="Times New Roman"/>
              <w:szCs w:val="32"/>
              <w:highlight w:val="none"/>
            </w:rPr>
            <w:t>（二）评价结论</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_Toc9508 \h </w:instrText>
          </w:r>
          <w:r>
            <w:rPr>
              <w:rFonts w:hint="default" w:ascii="Times New Roman" w:hAnsi="Times New Roman" w:cs="Times New Roman"/>
            </w:rPr>
            <w:fldChar w:fldCharType="separate"/>
          </w:r>
          <w:r>
            <w:rPr>
              <w:rFonts w:hint="default" w:ascii="Times New Roman" w:hAnsi="Times New Roman" w:cs="Times New Roman"/>
            </w:rPr>
            <w:t>14</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1"/>
            <w:keepNext w:val="0"/>
            <w:keepLines w:val="0"/>
            <w:pageBreakBefore w:val="0"/>
            <w:widowControl w:val="0"/>
            <w:tabs>
              <w:tab w:val="right" w:leader="dot" w:pos="8845"/>
            </w:tabs>
            <w:kinsoku/>
            <w:wordWrap/>
            <w:overflowPunct/>
            <w:topLinePunct w:val="0"/>
            <w:autoSpaceDE/>
            <w:autoSpaceDN/>
            <w:bidi w:val="0"/>
            <w:adjustRightInd/>
            <w:snapToGrid/>
            <w:ind w:firstLine="0" w:firstLineChars="0"/>
            <w:textAlignment w:val="auto"/>
            <w:rPr>
              <w:rFonts w:hint="default" w:ascii="Times New Roman" w:hAnsi="Times New Roman" w:cs="Times New Roman"/>
            </w:rPr>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_Toc350 </w:instrText>
          </w:r>
          <w:r>
            <w:rPr>
              <w:rFonts w:hint="default" w:ascii="Times New Roman" w:hAnsi="Times New Roman" w:cs="Times New Roman"/>
              <w:bCs/>
              <w:szCs w:val="32"/>
              <w:highlight w:val="none"/>
            </w:rPr>
            <w:fldChar w:fldCharType="separate"/>
          </w:r>
          <w:r>
            <w:rPr>
              <w:rFonts w:hint="default" w:ascii="Times New Roman" w:hAnsi="Times New Roman" w:eastAsia="黑体" w:cs="Times New Roman"/>
              <w:bCs/>
              <w:szCs w:val="20"/>
              <w:highlight w:val="none"/>
            </w:rPr>
            <w:t>四、问题及建议</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_Toc350 \h </w:instrText>
          </w:r>
          <w:r>
            <w:rPr>
              <w:rFonts w:hint="default" w:ascii="Times New Roman" w:hAnsi="Times New Roman" w:cs="Times New Roman"/>
            </w:rPr>
            <w:fldChar w:fldCharType="separate"/>
          </w:r>
          <w:r>
            <w:rPr>
              <w:rFonts w:hint="default" w:ascii="Times New Roman" w:hAnsi="Times New Roman" w:cs="Times New Roman"/>
            </w:rPr>
            <w:t>15</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1"/>
            <w:keepNext w:val="0"/>
            <w:keepLines w:val="0"/>
            <w:pageBreakBefore w:val="0"/>
            <w:widowControl w:val="0"/>
            <w:tabs>
              <w:tab w:val="right" w:leader="dot" w:pos="8845"/>
            </w:tabs>
            <w:kinsoku/>
            <w:wordWrap/>
            <w:overflowPunct/>
            <w:topLinePunct w:val="0"/>
            <w:autoSpaceDE/>
            <w:autoSpaceDN/>
            <w:bidi w:val="0"/>
            <w:adjustRightInd/>
            <w:snapToGrid/>
            <w:ind w:firstLine="0" w:firstLineChars="0"/>
            <w:textAlignment w:val="auto"/>
            <w:rPr>
              <w:rFonts w:hint="default" w:ascii="Times New Roman" w:hAnsi="Times New Roman" w:cs="Times New Roman"/>
            </w:rPr>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_Toc4626 </w:instrText>
          </w:r>
          <w:r>
            <w:rPr>
              <w:rFonts w:hint="default" w:ascii="Times New Roman" w:hAnsi="Times New Roman" w:cs="Times New Roman"/>
              <w:bCs/>
              <w:szCs w:val="32"/>
              <w:highlight w:val="none"/>
            </w:rPr>
            <w:fldChar w:fldCharType="separate"/>
          </w:r>
          <w:r>
            <w:rPr>
              <w:rFonts w:hint="default" w:ascii="Times New Roman" w:hAnsi="Times New Roman" w:eastAsia="黑体" w:cs="Times New Roman"/>
              <w:bCs/>
              <w:szCs w:val="20"/>
              <w:highlight w:val="none"/>
            </w:rPr>
            <w:t>五、其他需要说明的问题</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_Toc4626 \h </w:instrText>
          </w:r>
          <w:r>
            <w:rPr>
              <w:rFonts w:hint="default" w:ascii="Times New Roman" w:hAnsi="Times New Roman" w:cs="Times New Roman"/>
            </w:rPr>
            <w:fldChar w:fldCharType="separate"/>
          </w:r>
          <w:r>
            <w:rPr>
              <w:rFonts w:hint="default" w:ascii="Times New Roman" w:hAnsi="Times New Roman" w:cs="Times New Roman"/>
            </w:rPr>
            <w:t>16</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1"/>
            <w:keepNext w:val="0"/>
            <w:keepLines w:val="0"/>
            <w:pageBreakBefore w:val="0"/>
            <w:widowControl w:val="0"/>
            <w:tabs>
              <w:tab w:val="right" w:leader="dot" w:pos="8845"/>
            </w:tabs>
            <w:kinsoku/>
            <w:wordWrap/>
            <w:overflowPunct/>
            <w:topLinePunct w:val="0"/>
            <w:autoSpaceDE/>
            <w:autoSpaceDN/>
            <w:bidi w:val="0"/>
            <w:adjustRightInd/>
            <w:snapToGrid/>
            <w:ind w:firstLine="0" w:firstLineChars="0"/>
            <w:textAlignment w:val="auto"/>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_Toc13309 </w:instrText>
          </w:r>
          <w:r>
            <w:rPr>
              <w:rFonts w:hint="default" w:ascii="Times New Roman" w:hAnsi="Times New Roman" w:cs="Times New Roman"/>
              <w:bCs/>
              <w:szCs w:val="32"/>
              <w:highlight w:val="none"/>
            </w:rPr>
            <w:fldChar w:fldCharType="separate"/>
          </w:r>
          <w:r>
            <w:rPr>
              <w:rFonts w:hint="default" w:ascii="Times New Roman" w:hAnsi="Times New Roman" w:eastAsia="黑体" w:cs="Times New Roman"/>
              <w:bCs/>
              <w:szCs w:val="20"/>
              <w:highlight w:val="none"/>
              <w:lang w:eastAsia="zh-Hans"/>
            </w:rPr>
            <w:t>附件</w:t>
          </w:r>
          <w:bookmarkStart w:id="23" w:name="_GoBack"/>
          <w:bookmarkEnd w:id="23"/>
          <w:r>
            <w:rPr>
              <w:rFonts w:hint="default" w:ascii="Times New Roman" w:hAnsi="Times New Roman" w:eastAsia="黑体" w:cs="Times New Roman"/>
              <w:bCs/>
              <w:szCs w:val="20"/>
              <w:highlight w:val="none"/>
              <w:lang w:val="en-US" w:eastAsia="zh-CN"/>
            </w:rPr>
            <w:t xml:space="preserve"> </w:t>
          </w:r>
          <w:r>
            <w:rPr>
              <w:rFonts w:hint="default" w:ascii="Times New Roman" w:hAnsi="Times New Roman" w:eastAsia="黑体" w:cs="Times New Roman"/>
              <w:bCs/>
              <w:szCs w:val="20"/>
              <w:highlight w:val="none"/>
            </w:rPr>
            <w:t>项目支出绩效评价指标体系</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_Toc13309 \h </w:instrText>
          </w:r>
          <w:r>
            <w:rPr>
              <w:rFonts w:hint="default" w:ascii="Times New Roman" w:hAnsi="Times New Roman" w:cs="Times New Roman"/>
            </w:rPr>
            <w:fldChar w:fldCharType="separate"/>
          </w:r>
          <w:r>
            <w:rPr>
              <w:rFonts w:hint="default" w:ascii="Times New Roman" w:hAnsi="Times New Roman" w:cs="Times New Roman"/>
            </w:rPr>
            <w:t>17</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spacing w:line="580" w:lineRule="exact"/>
            <w:ind w:firstLine="0" w:firstLineChars="0"/>
            <w:jc w:val="center"/>
            <w:rPr>
              <w:rFonts w:hint="default" w:ascii="Times New Roman" w:hAnsi="Times New Roman" w:cs="Times New Roman"/>
              <w:b/>
              <w:bCs/>
              <w:color w:val="auto"/>
              <w:szCs w:val="32"/>
              <w:highlight w:val="none"/>
            </w:rPr>
            <w:sectPr>
              <w:pgSz w:w="11906" w:h="16838"/>
              <w:pgMar w:top="2098" w:right="1474" w:bottom="1928" w:left="1587" w:header="851" w:footer="992" w:gutter="0"/>
              <w:cols w:space="425" w:num="1"/>
              <w:docGrid w:type="lines" w:linePitch="312" w:charSpace="0"/>
            </w:sectPr>
          </w:pPr>
          <w:r>
            <w:rPr>
              <w:rFonts w:hint="default" w:ascii="Times New Roman" w:hAnsi="Times New Roman" w:cs="Times New Roman"/>
              <w:bCs/>
              <w:color w:val="auto"/>
              <w:szCs w:val="32"/>
              <w:highlight w:val="none"/>
            </w:rPr>
            <w:fldChar w:fldCharType="end"/>
          </w:r>
        </w:p>
      </w:sdtContent>
    </w:sdt>
    <w:p>
      <w:pPr>
        <w:spacing w:line="580" w:lineRule="exact"/>
        <w:ind w:firstLine="0" w:firstLineChars="0"/>
        <w:jc w:val="center"/>
        <w:rPr>
          <w:rFonts w:hint="eastAsia" w:ascii="Times New Roman" w:hAnsi="Times New Roman" w:eastAsia="方正小标宋简体" w:cs="Times New Roman"/>
          <w:b/>
          <w:bCs/>
          <w:color w:val="auto"/>
          <w:sz w:val="44"/>
          <w:szCs w:val="44"/>
          <w:highlight w:val="none"/>
          <w:lang w:eastAsia="zh-CN"/>
        </w:rPr>
      </w:pPr>
      <w:r>
        <w:rPr>
          <w:rFonts w:hint="eastAsia" w:ascii="Times New Roman" w:hAnsi="Times New Roman" w:eastAsia="方正小标宋简体" w:cs="Times New Roman"/>
          <w:b/>
          <w:bCs/>
          <w:color w:val="auto"/>
          <w:sz w:val="44"/>
          <w:szCs w:val="44"/>
          <w:highlight w:val="none"/>
          <w:lang w:eastAsia="zh-CN"/>
        </w:rPr>
        <w:t>2022年</w:t>
      </w:r>
      <w:r>
        <w:rPr>
          <w:rFonts w:hint="default" w:ascii="Times New Roman" w:hAnsi="Times New Roman" w:eastAsia="方正小标宋简体" w:cs="Times New Roman"/>
          <w:b/>
          <w:bCs/>
          <w:color w:val="auto"/>
          <w:sz w:val="44"/>
          <w:szCs w:val="44"/>
          <w:highlight w:val="none"/>
        </w:rPr>
        <w:t>度德阳市罗江区水利局</w:t>
      </w:r>
    </w:p>
    <w:p>
      <w:pPr>
        <w:spacing w:line="580" w:lineRule="exact"/>
        <w:ind w:firstLine="0" w:firstLineChars="0"/>
        <w:jc w:val="center"/>
        <w:rPr>
          <w:rFonts w:hint="default" w:ascii="Times New Roman" w:hAnsi="Times New Roman" w:cs="Times New Roman"/>
          <w:color w:val="auto"/>
          <w:sz w:val="44"/>
          <w:szCs w:val="44"/>
          <w:highlight w:val="none"/>
        </w:rPr>
      </w:pPr>
      <w:bookmarkStart w:id="0" w:name="_Toc28628"/>
      <w:r>
        <w:rPr>
          <w:rFonts w:hint="default" w:ascii="Times New Roman" w:hAnsi="Times New Roman" w:eastAsia="方正小标宋简体" w:cs="Times New Roman"/>
          <w:b/>
          <w:bCs/>
          <w:color w:val="auto"/>
          <w:sz w:val="44"/>
          <w:szCs w:val="44"/>
          <w:highlight w:val="none"/>
        </w:rPr>
        <w:t>财政项目支出绩效评价报告</w:t>
      </w:r>
      <w:bookmarkEnd w:id="0"/>
    </w:p>
    <w:p>
      <w:pPr>
        <w:spacing w:line="580" w:lineRule="exact"/>
        <w:ind w:firstLine="0" w:firstLineChars="0"/>
        <w:jc w:val="center"/>
        <w:rPr>
          <w:rFonts w:hint="default" w:ascii="Times New Roman" w:hAnsi="Times New Roman" w:eastAsia="楷体_GB2312" w:cs="Times New Roman"/>
          <w:color w:val="auto"/>
          <w:szCs w:val="32"/>
          <w:highlight w:val="none"/>
          <w:lang w:eastAsia="zh-Hans"/>
        </w:rPr>
      </w:pPr>
      <w:r>
        <w:rPr>
          <w:rFonts w:hint="default" w:ascii="Times New Roman" w:hAnsi="Times New Roman" w:eastAsia="楷体_GB2312" w:cs="Times New Roman"/>
          <w:b/>
          <w:bCs/>
          <w:color w:val="auto"/>
          <w:szCs w:val="32"/>
          <w:highlight w:val="none"/>
          <w:lang w:eastAsia="zh-Hans"/>
        </w:rPr>
        <w:t>（</w:t>
      </w:r>
      <w:r>
        <w:rPr>
          <w:rFonts w:hint="eastAsia" w:ascii="Times New Roman" w:hAnsi="Times New Roman" w:eastAsia="楷体_GB2312" w:cs="Times New Roman"/>
          <w:b/>
          <w:color w:val="auto"/>
          <w:spacing w:val="-2"/>
          <w:highlight w:val="none"/>
          <w:lang w:eastAsia="zh-CN"/>
        </w:rPr>
        <w:t>2022年山洪灾害防治非工程措施设施维修养护项目</w:t>
      </w:r>
      <w:r>
        <w:rPr>
          <w:rFonts w:hint="default" w:ascii="Times New Roman" w:hAnsi="Times New Roman" w:eastAsia="楷体_GB2312" w:cs="Times New Roman"/>
          <w:b/>
          <w:bCs/>
          <w:color w:val="auto"/>
          <w:szCs w:val="32"/>
          <w:highlight w:val="none"/>
          <w:lang w:eastAsia="zh-Hans"/>
        </w:rPr>
        <w:t>）</w:t>
      </w:r>
    </w:p>
    <w:p>
      <w:pPr>
        <w:spacing w:line="580" w:lineRule="exact"/>
        <w:ind w:firstLine="640"/>
        <w:rPr>
          <w:rFonts w:hint="default" w:ascii="Times New Roman" w:hAnsi="Times New Roman" w:cs="Times New Roman"/>
          <w:color w:val="auto"/>
          <w:szCs w:val="32"/>
          <w:highlight w:val="none"/>
        </w:rPr>
      </w:pPr>
    </w:p>
    <w:p>
      <w:pPr>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为强化部门整体支出预算执行力度，深化责任主体绩效管理意识，优化财政资源配置，提升公共服务质量，贯彻落实《中共中央 国务院关于全面实施预算绩效管理的意见》（中发〔2018〕34号）、《中共四川省委 四川省人民政府关于全面实施预算绩效管理的实施意见》（川委发〔2019〕8号）</w:t>
      </w:r>
      <w:r>
        <w:rPr>
          <w:rFonts w:hint="default" w:ascii="Times New Roman" w:hAnsi="Times New Roman" w:cs="Times New Roman"/>
          <w:color w:val="auto"/>
          <w:szCs w:val="32"/>
          <w:highlight w:val="none"/>
          <w:lang w:eastAsia="zh-Hans"/>
        </w:rPr>
        <w:t>、《中共四川省委办公厅 四川省人民政府办公厅关于深入实施预算绩效管理的通知》（川委厅〔2022〕5号）等</w:t>
      </w:r>
      <w:r>
        <w:rPr>
          <w:rFonts w:hint="default" w:ascii="Times New Roman" w:hAnsi="Times New Roman" w:cs="Times New Roman"/>
          <w:color w:val="auto"/>
          <w:szCs w:val="32"/>
          <w:highlight w:val="none"/>
        </w:rPr>
        <w:t>文件精神，根据《项目支出绩效评价管理办法》（财预〔2020〕10号）规定，按照《德阳市罗江区财政局关于开展202</w:t>
      </w:r>
      <w:r>
        <w:rPr>
          <w:rFonts w:hint="eastAsia" w:ascii="Times New Roman" w:hAnsi="Times New Roman" w:cs="Times New Roman"/>
          <w:color w:val="auto"/>
          <w:szCs w:val="32"/>
          <w:highlight w:val="none"/>
          <w:lang w:val="en-US" w:eastAsia="zh-CN"/>
        </w:rPr>
        <w:t>3</w:t>
      </w:r>
      <w:r>
        <w:rPr>
          <w:rFonts w:hint="default" w:ascii="Times New Roman" w:hAnsi="Times New Roman" w:cs="Times New Roman"/>
          <w:color w:val="auto"/>
          <w:szCs w:val="32"/>
          <w:highlight w:val="none"/>
        </w:rPr>
        <w:t>年重点绩效评价工作的通知》（</w:t>
      </w:r>
      <w:r>
        <w:rPr>
          <w:rFonts w:hint="eastAsia" w:ascii="Times New Roman" w:hAnsi="Times New Roman" w:cs="Times New Roman"/>
          <w:color w:val="auto"/>
          <w:szCs w:val="32"/>
          <w:highlight w:val="none"/>
          <w:lang w:eastAsia="zh-CN"/>
        </w:rPr>
        <w:t>德市罗财绩〔2023〕6号</w:t>
      </w:r>
      <w:r>
        <w:rPr>
          <w:rFonts w:hint="default" w:ascii="Times New Roman" w:hAnsi="Times New Roman" w:cs="Times New Roman"/>
          <w:color w:val="auto"/>
          <w:szCs w:val="32"/>
          <w:highlight w:val="none"/>
        </w:rPr>
        <w:t>）的要求</w:t>
      </w:r>
      <w:r>
        <w:rPr>
          <w:rFonts w:hint="eastAsia" w:ascii="Times New Roman" w:hAnsi="Times New Roman" w:cs="Times New Roman"/>
          <w:color w:val="auto"/>
          <w:szCs w:val="32"/>
          <w:highlight w:val="none"/>
          <w:lang w:eastAsia="zh-CN"/>
        </w:rPr>
        <w:t>，</w:t>
      </w:r>
      <w:r>
        <w:rPr>
          <w:rFonts w:hint="default" w:ascii="Times New Roman" w:hAnsi="Times New Roman" w:cs="Times New Roman"/>
          <w:color w:val="auto"/>
          <w:szCs w:val="32"/>
          <w:highlight w:val="none"/>
        </w:rPr>
        <w:t>进一步完善项目预算绩效管理，强化支出责任，提高财政资金使用效益，</w:t>
      </w:r>
      <w:r>
        <w:rPr>
          <w:rFonts w:hint="eastAsia" w:ascii="Times New Roman" w:hAnsi="Times New Roman" w:cs="Times New Roman"/>
          <w:color w:val="auto"/>
          <w:szCs w:val="32"/>
          <w:highlight w:val="none"/>
          <w:lang w:eastAsia="zh-CN"/>
        </w:rPr>
        <w:t>四川瑞政商业管理有限公司</w:t>
      </w:r>
      <w:r>
        <w:rPr>
          <w:rFonts w:hint="default" w:ascii="Times New Roman" w:hAnsi="Times New Roman" w:cs="Times New Roman"/>
          <w:color w:val="auto"/>
          <w:szCs w:val="32"/>
          <w:highlight w:val="none"/>
        </w:rPr>
        <w:t>接受</w:t>
      </w:r>
      <w:r>
        <w:rPr>
          <w:rFonts w:hint="default" w:ascii="Times New Roman" w:hAnsi="Times New Roman" w:cs="Times New Roman"/>
          <w:color w:val="auto"/>
          <w:szCs w:val="32"/>
          <w:highlight w:val="none"/>
          <w:lang w:eastAsia="zh-CN"/>
        </w:rPr>
        <w:t>德阳市罗江区财政局</w:t>
      </w:r>
      <w:r>
        <w:rPr>
          <w:rFonts w:hint="default" w:ascii="Times New Roman" w:hAnsi="Times New Roman" w:cs="Times New Roman"/>
          <w:color w:val="auto"/>
          <w:szCs w:val="32"/>
          <w:highlight w:val="none"/>
        </w:rPr>
        <w:t>的委托，对</w:t>
      </w:r>
      <w:r>
        <w:rPr>
          <w:rFonts w:hint="eastAsia" w:ascii="Times New Roman" w:hAnsi="Times New Roman" w:cs="Times New Roman"/>
          <w:color w:val="auto"/>
          <w:szCs w:val="32"/>
          <w:highlight w:val="none"/>
          <w:lang w:eastAsia="zh-CN"/>
        </w:rPr>
        <w:t>德阳市罗江区水利局2022年山洪灾害防治非工程措施设施维修养护项目</w:t>
      </w:r>
      <w:r>
        <w:rPr>
          <w:rFonts w:hint="default" w:ascii="Times New Roman" w:hAnsi="Times New Roman" w:cs="Times New Roman"/>
          <w:color w:val="auto"/>
          <w:szCs w:val="32"/>
          <w:highlight w:val="none"/>
        </w:rPr>
        <w:t>开展</w:t>
      </w:r>
      <w:r>
        <w:rPr>
          <w:rFonts w:hint="eastAsia" w:ascii="Times New Roman" w:hAnsi="Times New Roman" w:cs="Times New Roman"/>
          <w:color w:val="auto"/>
          <w:szCs w:val="32"/>
          <w:highlight w:val="none"/>
          <w:lang w:eastAsia="zh-CN"/>
        </w:rPr>
        <w:t>“</w:t>
      </w:r>
      <w:r>
        <w:rPr>
          <w:rFonts w:hint="default" w:ascii="Times New Roman" w:hAnsi="Times New Roman" w:cs="Times New Roman"/>
          <w:color w:val="auto"/>
          <w:szCs w:val="32"/>
          <w:highlight w:val="none"/>
        </w:rPr>
        <w:t>独立、客观、公正</w:t>
      </w:r>
      <w:r>
        <w:rPr>
          <w:rFonts w:hint="eastAsia" w:ascii="Times New Roman" w:hAnsi="Times New Roman" w:cs="Times New Roman"/>
          <w:color w:val="auto"/>
          <w:szCs w:val="32"/>
          <w:highlight w:val="none"/>
          <w:lang w:eastAsia="zh-CN"/>
        </w:rPr>
        <w:t>”</w:t>
      </w:r>
      <w:r>
        <w:rPr>
          <w:rFonts w:hint="default" w:ascii="Times New Roman" w:hAnsi="Times New Roman" w:cs="Times New Roman"/>
          <w:color w:val="auto"/>
          <w:szCs w:val="32"/>
          <w:highlight w:val="none"/>
        </w:rPr>
        <w:t>的第三方绩效评价工作。</w:t>
      </w:r>
    </w:p>
    <w:p>
      <w:pPr>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评价小组按照既定的评价方案和程序，对通过问卷调查、访谈、专家咨询、现场核查等方式获取的数据资料进行了综合分析，现出具以下评价意见。</w:t>
      </w:r>
    </w:p>
    <w:p>
      <w:pPr>
        <w:pStyle w:val="2"/>
        <w:spacing w:before="0" w:after="0" w:line="580" w:lineRule="exact"/>
        <w:ind w:firstLine="640"/>
        <w:rPr>
          <w:rFonts w:hint="default" w:ascii="Times New Roman" w:hAnsi="Times New Roman" w:eastAsia="黑体" w:cs="Times New Roman"/>
          <w:b w:val="0"/>
          <w:bCs/>
          <w:color w:val="auto"/>
          <w:sz w:val="32"/>
          <w:szCs w:val="20"/>
          <w:highlight w:val="none"/>
        </w:rPr>
        <w:sectPr>
          <w:footerReference r:id="rId11" w:type="default"/>
          <w:pgSz w:w="11906" w:h="16838"/>
          <w:pgMar w:top="2098" w:right="1474" w:bottom="1928" w:left="1587" w:header="851" w:footer="992" w:gutter="0"/>
          <w:pgNumType w:start="1"/>
          <w:cols w:space="425" w:num="1"/>
          <w:docGrid w:type="lines" w:linePitch="312" w:charSpace="0"/>
        </w:sectPr>
      </w:pPr>
    </w:p>
    <w:p>
      <w:pPr>
        <w:pStyle w:val="2"/>
        <w:pageBreakBefore w:val="0"/>
        <w:widowControl w:val="0"/>
        <w:kinsoku/>
        <w:wordWrap/>
        <w:overflowPunct/>
        <w:topLinePunct w:val="0"/>
        <w:autoSpaceDE/>
        <w:autoSpaceDN/>
        <w:bidi w:val="0"/>
        <w:adjustRightInd/>
        <w:snapToGrid/>
        <w:spacing w:before="0" w:after="0" w:line="580" w:lineRule="exact"/>
        <w:ind w:firstLine="640"/>
        <w:textAlignment w:val="auto"/>
        <w:rPr>
          <w:rFonts w:hint="default" w:ascii="Times New Roman" w:hAnsi="Times New Roman" w:eastAsia="黑体" w:cs="Times New Roman"/>
          <w:b w:val="0"/>
          <w:bCs/>
          <w:color w:val="auto"/>
          <w:sz w:val="32"/>
          <w:szCs w:val="20"/>
          <w:highlight w:val="none"/>
        </w:rPr>
      </w:pPr>
      <w:bookmarkStart w:id="1" w:name="_Toc18236"/>
      <w:r>
        <w:rPr>
          <w:rFonts w:hint="default" w:ascii="Times New Roman" w:hAnsi="Times New Roman" w:eastAsia="黑体" w:cs="Times New Roman"/>
          <w:b w:val="0"/>
          <w:bCs/>
          <w:color w:val="auto"/>
          <w:sz w:val="32"/>
          <w:szCs w:val="20"/>
          <w:highlight w:val="none"/>
        </w:rPr>
        <w:t>一、基本情况</w:t>
      </w:r>
      <w:bookmarkEnd w:id="1"/>
    </w:p>
    <w:p>
      <w:pPr>
        <w:pStyle w:val="3"/>
        <w:pageBreakBefore w:val="0"/>
        <w:widowControl w:val="0"/>
        <w:kinsoku/>
        <w:wordWrap/>
        <w:overflowPunct/>
        <w:topLinePunct w:val="0"/>
        <w:autoSpaceDE/>
        <w:autoSpaceDN/>
        <w:bidi w:val="0"/>
        <w:adjustRightInd/>
        <w:snapToGrid/>
        <w:spacing w:beforeAutospacing="0" w:afterAutospacing="0" w:line="580" w:lineRule="exact"/>
        <w:ind w:firstLine="643"/>
        <w:jc w:val="both"/>
        <w:textAlignment w:val="auto"/>
        <w:rPr>
          <w:rFonts w:hint="default" w:ascii="Times New Roman" w:hAnsi="Times New Roman" w:eastAsia="楷体_GB2312" w:cs="Times New Roman"/>
          <w:color w:val="auto"/>
          <w:sz w:val="32"/>
          <w:szCs w:val="32"/>
          <w:highlight w:val="none"/>
        </w:rPr>
      </w:pPr>
      <w:bookmarkStart w:id="2" w:name="_Toc29317"/>
      <w:r>
        <w:rPr>
          <w:rFonts w:hint="default" w:ascii="Times New Roman" w:hAnsi="Times New Roman" w:eastAsia="楷体_GB2312" w:cs="Times New Roman"/>
          <w:color w:val="auto"/>
          <w:sz w:val="32"/>
          <w:szCs w:val="32"/>
          <w:highlight w:val="none"/>
        </w:rPr>
        <w:t>（一）项目背景及依据</w:t>
      </w:r>
      <w:bookmarkEnd w:id="2"/>
    </w:p>
    <w:p>
      <w:pPr>
        <w:pStyle w:val="4"/>
        <w:pageBreakBefore w:val="0"/>
        <w:widowControl w:val="0"/>
        <w:kinsoku/>
        <w:wordWrap/>
        <w:overflowPunct/>
        <w:topLinePunct w:val="0"/>
        <w:autoSpaceDE/>
        <w:autoSpaceDN/>
        <w:bidi w:val="0"/>
        <w:adjustRightInd/>
        <w:snapToGrid/>
        <w:spacing w:before="0" w:after="0" w:line="580" w:lineRule="exact"/>
        <w:ind w:firstLine="643"/>
        <w:textAlignment w:val="auto"/>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1.项目背景</w:t>
      </w:r>
    </w:p>
    <w:p>
      <w:pPr>
        <w:pStyle w:val="6"/>
        <w:pageBreakBefore w:val="0"/>
        <w:widowControl w:val="0"/>
        <w:kinsoku/>
        <w:wordWrap/>
        <w:overflowPunct/>
        <w:topLinePunct w:val="0"/>
        <w:autoSpaceDE/>
        <w:autoSpaceDN/>
        <w:bidi w:val="0"/>
        <w:adjustRightInd/>
        <w:snapToGrid/>
        <w:spacing w:line="580" w:lineRule="exact"/>
        <w:ind w:right="271" w:firstLine="640"/>
        <w:textAlignment w:val="auto"/>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eastAsia="zh-CN"/>
        </w:rPr>
        <w:t>为贯彻落实党中央、国务院决策部署，进一步提升山洪灾害防御能力，明确山洪灾害防治项目</w:t>
      </w:r>
      <w:r>
        <w:rPr>
          <w:rFonts w:hint="eastAsia" w:ascii="Times New Roman" w:hAnsi="Times New Roman" w:cs="Times New Roman"/>
          <w:color w:val="auto"/>
          <w:highlight w:val="none"/>
          <w:lang w:val="en-US" w:eastAsia="zh-CN"/>
        </w:rPr>
        <w:t>工作，从</w:t>
      </w:r>
      <w:r>
        <w:rPr>
          <w:rFonts w:hint="eastAsia" w:ascii="Times New Roman" w:hAnsi="Times New Roman" w:cs="Times New Roman"/>
          <w:color w:val="auto"/>
          <w:highlight w:val="none"/>
          <w:lang w:eastAsia="zh-CN"/>
        </w:rPr>
        <w:t>防汛责任落实、监测预报预警、避险撤离转移、防洪工程调度、山洪灾害防御、城市防洪排涝、险情巡查抢护、部门协调配合等方面强化防汛抗洪</w:t>
      </w:r>
      <w:r>
        <w:rPr>
          <w:rFonts w:hint="eastAsia" w:ascii="Times New Roman" w:hAnsi="Times New Roman" w:cs="Times New Roman"/>
          <w:color w:val="auto"/>
          <w:highlight w:val="none"/>
          <w:lang w:val="en-US" w:eastAsia="zh-CN"/>
        </w:rPr>
        <w:t>工作；全面提升山洪灾害防御能力，确保人民群众生命安全。</w:t>
      </w:r>
    </w:p>
    <w:p>
      <w:pPr>
        <w:pStyle w:val="6"/>
        <w:pageBreakBefore w:val="0"/>
        <w:widowControl w:val="0"/>
        <w:kinsoku/>
        <w:wordWrap/>
        <w:overflowPunct/>
        <w:topLinePunct w:val="0"/>
        <w:autoSpaceDE/>
        <w:autoSpaceDN/>
        <w:bidi w:val="0"/>
        <w:adjustRightInd/>
        <w:snapToGrid/>
        <w:spacing w:line="580" w:lineRule="exact"/>
        <w:ind w:right="271" w:firstLine="640"/>
        <w:textAlignment w:val="auto"/>
        <w:rPr>
          <w:rFonts w:hint="default" w:ascii="Times New Roman" w:hAnsi="Times New Roman" w:cs="Times New Roman"/>
          <w:color w:val="auto"/>
          <w:highlight w:val="none"/>
          <w:lang w:eastAsia="zh-CN"/>
        </w:rPr>
      </w:pPr>
      <w:r>
        <w:rPr>
          <w:rFonts w:hint="default"/>
        </w:rPr>
        <w:t>根据《四川省财政厅 四川省</w:t>
      </w:r>
      <w:r>
        <w:rPr>
          <w:rFonts w:hint="default" w:ascii="Times New Roman" w:hAnsi="Times New Roman" w:cs="Times New Roman"/>
          <w:color w:val="auto"/>
          <w:highlight w:val="none"/>
          <w:lang w:eastAsia="zh-CN"/>
        </w:rPr>
        <w:t>水利厅关于下达2022年中央和省级水利发展资金的通知》（川财农〔2022〕9号）</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lang w:eastAsia="zh-CN"/>
        </w:rPr>
        <w:t>四川省水利发展专项资金绩效管理办法</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lang w:eastAsia="zh-CN"/>
        </w:rPr>
        <w:t>川财农〔</w:t>
      </w:r>
      <w:r>
        <w:rPr>
          <w:rFonts w:hint="eastAsia" w:ascii="Times New Roman" w:hAnsi="Times New Roman" w:cs="Times New Roman"/>
          <w:color w:val="auto"/>
          <w:highlight w:val="none"/>
          <w:lang w:val="en-US" w:eastAsia="zh-CN"/>
        </w:rPr>
        <w:t>2017</w:t>
      </w:r>
      <w:r>
        <w:rPr>
          <w:rFonts w:hint="default" w:ascii="Times New Roman" w:hAnsi="Times New Roman" w:cs="Times New Roman"/>
          <w:color w:val="auto"/>
          <w:highlight w:val="none"/>
          <w:lang w:eastAsia="zh-CN"/>
        </w:rPr>
        <w:t>〕</w:t>
      </w:r>
      <w:r>
        <w:rPr>
          <w:rFonts w:hint="eastAsia" w:ascii="Times New Roman" w:hAnsi="Times New Roman" w:cs="Times New Roman"/>
          <w:color w:val="auto"/>
          <w:highlight w:val="none"/>
          <w:lang w:val="en-US" w:eastAsia="zh-CN"/>
        </w:rPr>
        <w:t>13</w:t>
      </w:r>
      <w:r>
        <w:rPr>
          <w:rFonts w:hint="default" w:ascii="Times New Roman" w:hAnsi="Times New Roman" w:cs="Times New Roman"/>
          <w:color w:val="auto"/>
          <w:highlight w:val="none"/>
          <w:lang w:eastAsia="zh-CN"/>
        </w:rPr>
        <w:t>号</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lang w:eastAsia="zh-CN"/>
        </w:rPr>
        <w:t>等规定，德阳市罗江区民政局启动</w:t>
      </w:r>
      <w:r>
        <w:rPr>
          <w:rFonts w:hint="eastAsia" w:ascii="Times New Roman" w:hAnsi="Times New Roman" w:cs="Times New Roman"/>
          <w:color w:val="auto"/>
          <w:highlight w:val="none"/>
          <w:lang w:eastAsia="zh-CN"/>
        </w:rPr>
        <w:t>“2022年山洪灾害防治非工程措施设施维修养护项目”</w:t>
      </w:r>
      <w:r>
        <w:rPr>
          <w:rFonts w:hint="default" w:ascii="Times New Roman" w:hAnsi="Times New Roman" w:cs="Times New Roman"/>
          <w:color w:val="auto"/>
          <w:highlight w:val="none"/>
          <w:lang w:eastAsia="zh-CN"/>
        </w:rPr>
        <w:t>工作。</w:t>
      </w:r>
    </w:p>
    <w:p>
      <w:pPr>
        <w:pStyle w:val="4"/>
        <w:pageBreakBefore w:val="0"/>
        <w:widowControl w:val="0"/>
        <w:kinsoku/>
        <w:wordWrap/>
        <w:overflowPunct/>
        <w:topLinePunct w:val="0"/>
        <w:autoSpaceDE/>
        <w:autoSpaceDN/>
        <w:bidi w:val="0"/>
        <w:adjustRightInd/>
        <w:snapToGrid/>
        <w:spacing w:before="0" w:after="0" w:line="580" w:lineRule="exact"/>
        <w:ind w:firstLine="643"/>
        <w:textAlignment w:val="auto"/>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2.立项依据</w:t>
      </w:r>
    </w:p>
    <w:p>
      <w:pPr>
        <w:pageBreakBefore w:val="0"/>
        <w:widowControl w:val="0"/>
        <w:kinsoku/>
        <w:wordWrap/>
        <w:overflowPunct/>
        <w:topLinePunct w:val="0"/>
        <w:autoSpaceDE/>
        <w:autoSpaceDN/>
        <w:bidi w:val="0"/>
        <w:adjustRightInd/>
        <w:snapToGrid/>
        <w:spacing w:line="580" w:lineRule="exact"/>
        <w:ind w:firstLine="640"/>
        <w:textAlignment w:val="auto"/>
        <w:rPr>
          <w:rFonts w:hint="default" w:ascii="Times New Roman" w:hAnsi="Times New Roman" w:cs="Times New Roman"/>
          <w:color w:val="auto"/>
          <w:szCs w:val="40"/>
          <w:highlight w:val="none"/>
        </w:rPr>
      </w:pPr>
      <w:r>
        <w:rPr>
          <w:rFonts w:hint="default" w:ascii="Times New Roman" w:hAnsi="Times New Roman" w:cs="Times New Roman"/>
          <w:color w:val="auto"/>
          <w:szCs w:val="40"/>
          <w:highlight w:val="none"/>
        </w:rPr>
        <w:t>评价小组结合德阳市罗江区水利局职能职责，对项目单位提供的工作通知、工作计划等项目相关立项依据资料进行了收集、整理和分析，符合本项目特征和管理要求的立项依据如下：</w:t>
      </w:r>
    </w:p>
    <w:p>
      <w:pPr>
        <w:spacing w:line="580" w:lineRule="exact"/>
        <w:ind w:firstLine="0" w:firstLineChars="0"/>
        <w:jc w:val="center"/>
        <w:rPr>
          <w:rFonts w:hint="default" w:ascii="Times New Roman" w:hAnsi="Times New Roman" w:cs="Times New Roman"/>
          <w:b/>
          <w:bCs/>
          <w:color w:val="auto"/>
          <w:sz w:val="28"/>
          <w:szCs w:val="28"/>
          <w:highlight w:val="none"/>
        </w:rPr>
      </w:pPr>
      <w:r>
        <w:rPr>
          <w:rFonts w:hint="default" w:ascii="Times New Roman" w:hAnsi="Times New Roman" w:cs="Times New Roman"/>
          <w:b/>
          <w:bCs/>
          <w:color w:val="auto"/>
          <w:sz w:val="28"/>
          <w:szCs w:val="28"/>
          <w:highlight w:val="none"/>
        </w:rPr>
        <w:t>表1-1 项目立项依据清单</w:t>
      </w:r>
    </w:p>
    <w:tbl>
      <w:tblPr>
        <w:tblStyle w:val="14"/>
        <w:tblW w:w="8875" w:type="dxa"/>
        <w:tblInd w:w="0" w:type="dxa"/>
        <w:tblLayout w:type="fixed"/>
        <w:tblCellMar>
          <w:top w:w="0" w:type="dxa"/>
          <w:left w:w="0" w:type="dxa"/>
          <w:bottom w:w="0" w:type="dxa"/>
          <w:right w:w="0" w:type="dxa"/>
        </w:tblCellMar>
      </w:tblPr>
      <w:tblGrid>
        <w:gridCol w:w="550"/>
        <w:gridCol w:w="8325"/>
      </w:tblGrid>
      <w:tr>
        <w:tblPrEx>
          <w:tblCellMar>
            <w:top w:w="0" w:type="dxa"/>
            <w:left w:w="0" w:type="dxa"/>
            <w:bottom w:w="0" w:type="dxa"/>
            <w:right w:w="0" w:type="dxa"/>
          </w:tblCellMar>
        </w:tblPrEx>
        <w:trPr>
          <w:trHeight w:val="285" w:hRule="atLeast"/>
          <w:tblHeader/>
        </w:trPr>
        <w:tc>
          <w:tcPr>
            <w:tcW w:w="5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360" w:lineRule="auto"/>
              <w:ind w:firstLine="0" w:firstLineChars="0"/>
              <w:jc w:val="center"/>
              <w:rPr>
                <w:rFonts w:hint="default" w:ascii="Times New Roman" w:hAnsi="Times New Roman" w:cs="Times New Roman"/>
                <w:b/>
                <w:color w:val="auto"/>
                <w:sz w:val="24"/>
                <w:highlight w:val="none"/>
              </w:rPr>
            </w:pPr>
            <w:r>
              <w:rPr>
                <w:rFonts w:hint="default" w:ascii="Times New Roman" w:hAnsi="Times New Roman" w:cs="Times New Roman"/>
                <w:b/>
                <w:color w:val="auto"/>
                <w:kern w:val="0"/>
                <w:sz w:val="24"/>
                <w:highlight w:val="none"/>
                <w:lang w:bidi="ar"/>
              </w:rPr>
              <w:t>序号</w:t>
            </w:r>
          </w:p>
        </w:tc>
        <w:tc>
          <w:tcPr>
            <w:tcW w:w="83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360" w:lineRule="auto"/>
              <w:ind w:firstLine="0" w:firstLineChars="0"/>
              <w:jc w:val="center"/>
              <w:rPr>
                <w:rFonts w:hint="default" w:ascii="Times New Roman" w:hAnsi="Times New Roman" w:cs="Times New Roman"/>
                <w:b/>
                <w:color w:val="auto"/>
                <w:sz w:val="24"/>
                <w:highlight w:val="none"/>
              </w:rPr>
            </w:pPr>
            <w:r>
              <w:rPr>
                <w:rFonts w:hint="default" w:ascii="Times New Roman" w:hAnsi="Times New Roman" w:cs="Times New Roman"/>
                <w:b/>
                <w:color w:val="auto"/>
                <w:kern w:val="0"/>
                <w:sz w:val="24"/>
                <w:highlight w:val="none"/>
                <w:lang w:bidi="ar"/>
              </w:rPr>
              <w:t>文件名称</w:t>
            </w:r>
          </w:p>
        </w:tc>
      </w:tr>
      <w:tr>
        <w:tblPrEx>
          <w:tblCellMar>
            <w:top w:w="0" w:type="dxa"/>
            <w:left w:w="0" w:type="dxa"/>
            <w:bottom w:w="0" w:type="dxa"/>
            <w:right w:w="0" w:type="dxa"/>
          </w:tblCellMar>
        </w:tblPrEx>
        <w:trPr>
          <w:trHeight w:val="285"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rPr>
            </w:pPr>
            <w:r>
              <w:rPr>
                <w:rFonts w:hint="default" w:ascii="Times New Roman" w:hAnsi="Times New Roman" w:cs="Times New Roman"/>
                <w:color w:val="auto"/>
                <w:kern w:val="0"/>
                <w:sz w:val="24"/>
                <w:highlight w:val="none"/>
                <w:lang w:bidi="ar"/>
              </w:rPr>
              <w:t>1</w:t>
            </w:r>
          </w:p>
        </w:tc>
        <w:tc>
          <w:tcPr>
            <w:tcW w:w="83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360" w:lineRule="auto"/>
              <w:ind w:firstLine="0" w:firstLineChars="0"/>
              <w:rPr>
                <w:rFonts w:hint="eastAsia" w:ascii="Times New Roman" w:hAnsi="Times New Roman" w:eastAsia="仿宋_GB2312" w:cs="Times New Roman"/>
                <w:color w:val="auto"/>
                <w:sz w:val="24"/>
                <w:highlight w:val="none"/>
                <w:lang w:eastAsia="zh-CN"/>
              </w:rPr>
            </w:pPr>
            <w:r>
              <w:rPr>
                <w:rFonts w:hint="default" w:ascii="Times New Roman" w:hAnsi="Times New Roman" w:cs="Times New Roman"/>
                <w:color w:val="auto"/>
                <w:spacing w:val="-2"/>
                <w:sz w:val="24"/>
                <w:highlight w:val="none"/>
              </w:rPr>
              <w:t>《全国山洪灾害防治项目实施方案》</w:t>
            </w:r>
            <w:r>
              <w:rPr>
                <w:rFonts w:hint="eastAsia" w:ascii="Times New Roman" w:hAnsi="Times New Roman" w:cs="Times New Roman"/>
                <w:color w:val="auto"/>
                <w:spacing w:val="-2"/>
                <w:sz w:val="24"/>
                <w:highlight w:val="none"/>
                <w:lang w:eastAsia="zh-CN"/>
              </w:rPr>
              <w:t>（</w:t>
            </w:r>
            <w:r>
              <w:rPr>
                <w:rFonts w:hint="eastAsia" w:ascii="Times New Roman" w:hAnsi="Times New Roman" w:cs="Times New Roman"/>
                <w:color w:val="auto"/>
                <w:spacing w:val="-2"/>
                <w:sz w:val="24"/>
                <w:highlight w:val="none"/>
                <w:lang w:val="en-US" w:eastAsia="zh-CN"/>
              </w:rPr>
              <w:t>2021年—2023年</w:t>
            </w:r>
            <w:r>
              <w:rPr>
                <w:rFonts w:hint="eastAsia" w:ascii="Times New Roman" w:hAnsi="Times New Roman" w:cs="Times New Roman"/>
                <w:color w:val="auto"/>
                <w:spacing w:val="-2"/>
                <w:sz w:val="24"/>
                <w:highlight w:val="none"/>
                <w:lang w:eastAsia="zh-CN"/>
              </w:rPr>
              <w:t>）</w:t>
            </w:r>
          </w:p>
        </w:tc>
      </w:tr>
      <w:tr>
        <w:tblPrEx>
          <w:tblCellMar>
            <w:top w:w="0" w:type="dxa"/>
            <w:left w:w="0" w:type="dxa"/>
            <w:bottom w:w="0" w:type="dxa"/>
            <w:right w:w="0" w:type="dxa"/>
          </w:tblCellMar>
        </w:tblPrEx>
        <w:trPr>
          <w:trHeight w:val="90"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rPr>
            </w:pPr>
            <w:r>
              <w:rPr>
                <w:rFonts w:hint="default" w:ascii="Times New Roman" w:hAnsi="Times New Roman" w:cs="Times New Roman"/>
                <w:color w:val="auto"/>
                <w:kern w:val="0"/>
                <w:sz w:val="24"/>
                <w:highlight w:val="none"/>
                <w:lang w:bidi="ar"/>
              </w:rPr>
              <w:t>2</w:t>
            </w:r>
          </w:p>
        </w:tc>
        <w:tc>
          <w:tcPr>
            <w:tcW w:w="8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ind w:firstLine="0" w:firstLineChars="0"/>
              <w:rPr>
                <w:rFonts w:hint="default" w:ascii="Times New Roman" w:hAnsi="Times New Roman" w:cs="Times New Roman"/>
                <w:color w:val="auto"/>
                <w:sz w:val="24"/>
                <w:highlight w:val="none"/>
              </w:rPr>
            </w:pPr>
            <w:r>
              <w:rPr>
                <w:rFonts w:hint="default" w:ascii="Times New Roman" w:hAnsi="Times New Roman" w:cs="Times New Roman"/>
                <w:color w:val="auto"/>
                <w:spacing w:val="-2"/>
                <w:sz w:val="24"/>
                <w:highlight w:val="none"/>
              </w:rPr>
              <w:t>《全国山洪灾害防治规划》</w:t>
            </w:r>
            <w:r>
              <w:rPr>
                <w:rFonts w:hint="eastAsia" w:ascii="Times New Roman" w:hAnsi="Times New Roman" w:cs="Times New Roman"/>
                <w:color w:val="auto"/>
                <w:spacing w:val="-2"/>
                <w:sz w:val="24"/>
                <w:highlight w:val="none"/>
                <w:lang w:eastAsia="zh-CN"/>
              </w:rPr>
              <w:t>（</w:t>
            </w:r>
            <w:r>
              <w:rPr>
                <w:rFonts w:hint="default" w:ascii="Times New Roman" w:hAnsi="Times New Roman" w:cs="Times New Roman"/>
                <w:color w:val="auto"/>
                <w:spacing w:val="-2"/>
                <w:sz w:val="24"/>
                <w:highlight w:val="none"/>
              </w:rPr>
              <w:t>国保</w:t>
            </w:r>
            <w:r>
              <w:rPr>
                <w:rFonts w:hint="eastAsia" w:ascii="仿宋_GB2312" w:hAnsi="仿宋_GB2312" w:eastAsia="仿宋_GB2312" w:cs="仿宋_GB2312"/>
                <w:color w:val="auto"/>
                <w:spacing w:val="-2"/>
                <w:sz w:val="24"/>
                <w:highlight w:val="none"/>
              </w:rPr>
              <w:t>〔</w:t>
            </w:r>
            <w:r>
              <w:rPr>
                <w:rFonts w:hint="default" w:ascii="Times New Roman" w:hAnsi="Times New Roman" w:cs="Times New Roman"/>
                <w:color w:val="auto"/>
                <w:spacing w:val="-2"/>
                <w:sz w:val="24"/>
                <w:highlight w:val="none"/>
              </w:rPr>
              <w:t>2006</w:t>
            </w:r>
            <w:r>
              <w:rPr>
                <w:rFonts w:hint="eastAsia" w:ascii="仿宋_GB2312" w:hAnsi="仿宋_GB2312" w:eastAsia="仿宋_GB2312" w:cs="仿宋_GB2312"/>
                <w:color w:val="auto"/>
                <w:spacing w:val="-2"/>
                <w:sz w:val="24"/>
                <w:highlight w:val="none"/>
              </w:rPr>
              <w:t>〕</w:t>
            </w:r>
            <w:r>
              <w:rPr>
                <w:rFonts w:hint="default" w:ascii="Times New Roman" w:hAnsi="Times New Roman" w:cs="Times New Roman"/>
                <w:color w:val="auto"/>
                <w:spacing w:val="-2"/>
                <w:sz w:val="24"/>
                <w:highlight w:val="none"/>
              </w:rPr>
              <w:t>116 号</w:t>
            </w:r>
            <w:r>
              <w:rPr>
                <w:rFonts w:hint="eastAsia" w:ascii="Times New Roman" w:hAnsi="Times New Roman" w:cs="Times New Roman"/>
                <w:color w:val="auto"/>
                <w:spacing w:val="-2"/>
                <w:sz w:val="24"/>
                <w:highlight w:val="none"/>
                <w:lang w:eastAsia="zh-CN"/>
              </w:rPr>
              <w:t>）</w:t>
            </w:r>
          </w:p>
        </w:tc>
      </w:tr>
      <w:tr>
        <w:tblPrEx>
          <w:tblCellMar>
            <w:top w:w="0" w:type="dxa"/>
            <w:left w:w="0" w:type="dxa"/>
            <w:bottom w:w="0" w:type="dxa"/>
            <w:right w:w="0" w:type="dxa"/>
          </w:tblCellMar>
        </w:tblPrEx>
        <w:trPr>
          <w:trHeight w:val="90"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kern w:val="0"/>
                <w:sz w:val="24"/>
                <w:highlight w:val="none"/>
                <w:lang w:bidi="ar"/>
              </w:rPr>
            </w:pPr>
            <w:r>
              <w:rPr>
                <w:rFonts w:hint="default" w:ascii="Times New Roman" w:hAnsi="Times New Roman" w:cs="Times New Roman"/>
                <w:color w:val="auto"/>
                <w:kern w:val="0"/>
                <w:sz w:val="24"/>
                <w:highlight w:val="none"/>
                <w:lang w:bidi="ar"/>
              </w:rPr>
              <w:t>3</w:t>
            </w:r>
          </w:p>
        </w:tc>
        <w:tc>
          <w:tcPr>
            <w:tcW w:w="8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ind w:firstLine="0" w:firstLineChars="0"/>
              <w:rPr>
                <w:rFonts w:hint="default" w:ascii="Times New Roman" w:hAnsi="Times New Roman" w:eastAsia="仿宋_GB2312" w:cs="Times New Roman"/>
                <w:color w:val="auto"/>
                <w:spacing w:val="-4"/>
                <w:kern w:val="2"/>
                <w:sz w:val="24"/>
                <w:szCs w:val="24"/>
                <w:highlight w:val="none"/>
                <w:lang w:val="en-US" w:eastAsia="zh-CN" w:bidi="ar-SA"/>
              </w:rPr>
            </w:pPr>
            <w:r>
              <w:rPr>
                <w:rFonts w:hint="eastAsia" w:ascii="Times New Roman" w:hAnsi="Times New Roman" w:cs="Times New Roman"/>
                <w:color w:val="auto"/>
                <w:spacing w:val="-4"/>
                <w:sz w:val="24"/>
                <w:highlight w:val="none"/>
                <w:lang w:eastAsia="zh-CN"/>
              </w:rPr>
              <w:t>《</w:t>
            </w:r>
            <w:r>
              <w:rPr>
                <w:rFonts w:hint="default" w:ascii="Times New Roman" w:hAnsi="Times New Roman" w:cs="Times New Roman"/>
                <w:color w:val="auto"/>
                <w:spacing w:val="-4"/>
                <w:sz w:val="24"/>
                <w:highlight w:val="none"/>
              </w:rPr>
              <w:t xml:space="preserve">财政部关于提前下达 </w:t>
            </w:r>
            <w:r>
              <w:rPr>
                <w:rFonts w:hint="eastAsia" w:ascii="Times New Roman" w:hAnsi="Times New Roman" w:cs="Times New Roman"/>
                <w:color w:val="auto"/>
                <w:spacing w:val="-4"/>
                <w:sz w:val="24"/>
                <w:highlight w:val="none"/>
                <w:lang w:val="en-US" w:eastAsia="zh-CN"/>
              </w:rPr>
              <w:t>2022</w:t>
            </w:r>
            <w:r>
              <w:rPr>
                <w:rFonts w:hint="default" w:ascii="Times New Roman" w:hAnsi="Times New Roman" w:cs="Times New Roman"/>
                <w:color w:val="auto"/>
                <w:spacing w:val="-4"/>
                <w:sz w:val="24"/>
                <w:highlight w:val="none"/>
              </w:rPr>
              <w:t>年水利发展资金预算的通知</w:t>
            </w:r>
            <w:r>
              <w:rPr>
                <w:rFonts w:hint="eastAsia" w:ascii="Times New Roman" w:hAnsi="Times New Roman" w:cs="Times New Roman"/>
                <w:color w:val="auto"/>
                <w:spacing w:val="-4"/>
                <w:sz w:val="24"/>
                <w:highlight w:val="none"/>
                <w:lang w:eastAsia="zh-CN"/>
              </w:rPr>
              <w:t>》（</w:t>
            </w:r>
            <w:r>
              <w:rPr>
                <w:rFonts w:hint="default" w:ascii="Times New Roman" w:hAnsi="Times New Roman" w:cs="Times New Roman"/>
                <w:color w:val="auto"/>
                <w:spacing w:val="-4"/>
                <w:sz w:val="24"/>
                <w:highlight w:val="none"/>
              </w:rPr>
              <w:t>财农〔</w:t>
            </w:r>
            <w:r>
              <w:rPr>
                <w:rFonts w:hint="eastAsia" w:ascii="Times New Roman" w:hAnsi="Times New Roman" w:cs="Times New Roman"/>
                <w:color w:val="auto"/>
                <w:spacing w:val="-4"/>
                <w:sz w:val="24"/>
                <w:highlight w:val="none"/>
                <w:lang w:val="en-US" w:eastAsia="zh-CN"/>
              </w:rPr>
              <w:t>2021</w:t>
            </w:r>
            <w:r>
              <w:rPr>
                <w:rFonts w:hint="default" w:ascii="Times New Roman" w:hAnsi="Times New Roman" w:cs="Times New Roman"/>
                <w:color w:val="auto"/>
                <w:spacing w:val="-4"/>
                <w:sz w:val="24"/>
                <w:highlight w:val="none"/>
              </w:rPr>
              <w:t>〕</w:t>
            </w:r>
            <w:r>
              <w:rPr>
                <w:rFonts w:hint="eastAsia" w:ascii="Times New Roman" w:hAnsi="Times New Roman" w:cs="Times New Roman"/>
                <w:color w:val="auto"/>
                <w:spacing w:val="-4"/>
                <w:sz w:val="24"/>
                <w:highlight w:val="none"/>
                <w:lang w:val="en-US" w:eastAsia="zh-CN"/>
              </w:rPr>
              <w:t>102</w:t>
            </w:r>
            <w:r>
              <w:rPr>
                <w:rFonts w:hint="default" w:ascii="Times New Roman" w:hAnsi="Times New Roman" w:cs="Times New Roman"/>
                <w:color w:val="auto"/>
                <w:spacing w:val="-4"/>
                <w:sz w:val="24"/>
                <w:highlight w:val="none"/>
              </w:rPr>
              <w:t>号</w:t>
            </w:r>
            <w:r>
              <w:rPr>
                <w:rFonts w:hint="eastAsia" w:ascii="Times New Roman" w:hAnsi="Times New Roman" w:cs="Times New Roman"/>
                <w:color w:val="auto"/>
                <w:spacing w:val="-4"/>
                <w:sz w:val="24"/>
                <w:highlight w:val="none"/>
                <w:lang w:eastAsia="zh-CN"/>
              </w:rPr>
              <w:t>）</w:t>
            </w:r>
          </w:p>
        </w:tc>
      </w:tr>
      <w:tr>
        <w:tblPrEx>
          <w:tblCellMar>
            <w:top w:w="0" w:type="dxa"/>
            <w:left w:w="0" w:type="dxa"/>
            <w:bottom w:w="0" w:type="dxa"/>
            <w:right w:w="0" w:type="dxa"/>
          </w:tblCellMar>
        </w:tblPrEx>
        <w:trPr>
          <w:trHeight w:val="90"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kern w:val="0"/>
                <w:sz w:val="24"/>
                <w:highlight w:val="none"/>
                <w:lang w:bidi="ar"/>
              </w:rPr>
            </w:pPr>
            <w:r>
              <w:rPr>
                <w:rFonts w:hint="default" w:ascii="Times New Roman" w:hAnsi="Times New Roman" w:cs="Times New Roman"/>
                <w:color w:val="auto"/>
                <w:kern w:val="0"/>
                <w:sz w:val="24"/>
                <w:highlight w:val="none"/>
                <w:lang w:bidi="ar"/>
              </w:rPr>
              <w:t>4</w:t>
            </w:r>
          </w:p>
        </w:tc>
        <w:tc>
          <w:tcPr>
            <w:tcW w:w="8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ind w:firstLine="0" w:firstLineChars="0"/>
              <w:rPr>
                <w:rFonts w:hint="default" w:ascii="Times New Roman" w:hAnsi="Times New Roman" w:cs="Times New Roman"/>
                <w:color w:val="auto"/>
                <w:sz w:val="24"/>
                <w:highlight w:val="none"/>
              </w:rPr>
            </w:pPr>
            <w:r>
              <w:rPr>
                <w:rFonts w:hint="default" w:ascii="Times New Roman" w:hAnsi="Times New Roman" w:cs="Times New Roman"/>
                <w:color w:val="auto"/>
                <w:spacing w:val="-2"/>
                <w:sz w:val="24"/>
                <w:highlight w:val="none"/>
              </w:rPr>
              <w:t>《四川省财政厅 四川省水利厅关于下达2022年中央和省级水利发展资金的通知》（川财农〔2022〕9号）</w:t>
            </w:r>
          </w:p>
        </w:tc>
      </w:tr>
      <w:tr>
        <w:tblPrEx>
          <w:tblCellMar>
            <w:top w:w="0" w:type="dxa"/>
            <w:left w:w="0" w:type="dxa"/>
            <w:bottom w:w="0" w:type="dxa"/>
            <w:right w:w="0" w:type="dxa"/>
          </w:tblCellMar>
        </w:tblPrEx>
        <w:trPr>
          <w:trHeight w:val="285"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5</w:t>
            </w:r>
          </w:p>
        </w:tc>
        <w:tc>
          <w:tcPr>
            <w:tcW w:w="83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360" w:lineRule="auto"/>
              <w:ind w:firstLine="0" w:firstLineChars="0"/>
              <w:rPr>
                <w:rFonts w:hint="default" w:ascii="Times New Roman" w:hAnsi="Times New Roman" w:cs="Times New Roman"/>
                <w:color w:val="auto"/>
                <w:sz w:val="24"/>
                <w:highlight w:val="none"/>
              </w:rPr>
            </w:pPr>
            <w:r>
              <w:rPr>
                <w:rFonts w:hint="default" w:ascii="Times New Roman" w:hAnsi="Times New Roman" w:cs="Times New Roman"/>
                <w:color w:val="auto"/>
                <w:spacing w:val="-4"/>
                <w:sz w:val="24"/>
                <w:highlight w:val="none"/>
              </w:rPr>
              <w:t>《四川省水利发展专项资金绩效管理办法》（川财农〔2017〕13号）</w:t>
            </w:r>
          </w:p>
        </w:tc>
      </w:tr>
    </w:tbl>
    <w:p>
      <w:pPr>
        <w:pStyle w:val="3"/>
        <w:spacing w:before="312" w:beforeLines="100" w:beforeAutospacing="0" w:afterAutospacing="0" w:line="580" w:lineRule="exact"/>
        <w:ind w:firstLine="643"/>
        <w:jc w:val="both"/>
        <w:rPr>
          <w:rFonts w:hint="default" w:ascii="Times New Roman" w:hAnsi="Times New Roman" w:eastAsia="楷体_GB2312" w:cs="Times New Roman"/>
          <w:color w:val="auto"/>
          <w:sz w:val="32"/>
          <w:szCs w:val="32"/>
          <w:highlight w:val="none"/>
        </w:rPr>
      </w:pPr>
      <w:bookmarkStart w:id="3" w:name="_Toc16104"/>
      <w:r>
        <w:rPr>
          <w:rFonts w:hint="default" w:ascii="Times New Roman" w:hAnsi="Times New Roman" w:eastAsia="楷体_GB2312" w:cs="Times New Roman"/>
          <w:color w:val="auto"/>
          <w:sz w:val="32"/>
          <w:szCs w:val="32"/>
          <w:highlight w:val="none"/>
        </w:rPr>
        <w:t>（二）项目参与主体职能职责</w:t>
      </w:r>
      <w:bookmarkEnd w:id="3"/>
    </w:p>
    <w:p>
      <w:pPr>
        <w:spacing w:line="580" w:lineRule="exact"/>
        <w:ind w:firstLine="640"/>
        <w:rPr>
          <w:rFonts w:hint="default" w:ascii="Times New Roman" w:hAnsi="Times New Roman" w:cs="Times New Roman"/>
          <w:color w:val="auto"/>
          <w:szCs w:val="32"/>
          <w:highlight w:val="none"/>
        </w:rPr>
      </w:pPr>
      <w:r>
        <w:rPr>
          <w:rFonts w:hint="eastAsia" w:ascii="Times New Roman" w:hAnsi="Times New Roman" w:cs="Times New Roman"/>
          <w:color w:val="auto"/>
          <w:highlight w:val="none"/>
          <w:lang w:val="en-US" w:eastAsia="zh-CN"/>
        </w:rPr>
        <w:t>关于</w:t>
      </w:r>
      <w:r>
        <w:rPr>
          <w:rFonts w:hint="eastAsia" w:ascii="Times New Roman" w:hAnsi="Times New Roman" w:cs="Times New Roman"/>
          <w:color w:val="auto"/>
          <w:highlight w:val="none"/>
          <w:lang w:eastAsia="zh-CN"/>
        </w:rPr>
        <w:t>“2022年山洪灾害防治非工程措施设施维修养护项目”</w:t>
      </w:r>
      <w:r>
        <w:rPr>
          <w:rFonts w:hint="default" w:ascii="Times New Roman" w:hAnsi="Times New Roman" w:cs="Times New Roman"/>
          <w:color w:val="auto"/>
          <w:highlight w:val="none"/>
        </w:rPr>
        <w:t>参与主体</w:t>
      </w:r>
      <w:r>
        <w:rPr>
          <w:rFonts w:hint="default" w:ascii="Times New Roman" w:hAnsi="Times New Roman" w:cs="Times New Roman"/>
          <w:color w:val="auto"/>
          <w:szCs w:val="32"/>
          <w:highlight w:val="none"/>
        </w:rPr>
        <w:t>主要包括</w:t>
      </w:r>
      <w:r>
        <w:rPr>
          <w:rFonts w:hint="default" w:ascii="Times New Roman" w:hAnsi="Times New Roman" w:cs="Times New Roman"/>
          <w:color w:val="auto"/>
          <w:spacing w:val="-2"/>
          <w:highlight w:val="none"/>
        </w:rPr>
        <w:t>德阳市罗江区财</w:t>
      </w:r>
      <w:r>
        <w:rPr>
          <w:rFonts w:hint="default" w:ascii="Times New Roman" w:hAnsi="Times New Roman" w:cs="Times New Roman"/>
          <w:color w:val="auto"/>
          <w:spacing w:val="-14"/>
          <w:highlight w:val="none"/>
        </w:rPr>
        <w:t>政局、德阳市罗江区</w:t>
      </w:r>
      <w:r>
        <w:rPr>
          <w:rFonts w:hint="eastAsia" w:ascii="Times New Roman" w:hAnsi="Times New Roman" w:cs="Times New Roman"/>
          <w:color w:val="auto"/>
          <w:spacing w:val="-14"/>
          <w:highlight w:val="none"/>
          <w:lang w:val="en-US" w:eastAsia="zh-CN"/>
        </w:rPr>
        <w:t>水利局</w:t>
      </w:r>
      <w:r>
        <w:rPr>
          <w:rFonts w:hint="default" w:ascii="Times New Roman" w:hAnsi="Times New Roman" w:cs="Times New Roman"/>
          <w:color w:val="auto"/>
          <w:szCs w:val="32"/>
          <w:highlight w:val="none"/>
        </w:rPr>
        <w:t>。各参与主体承担的主要职能职责如下：</w:t>
      </w:r>
    </w:p>
    <w:p>
      <w:pPr>
        <w:spacing w:line="580" w:lineRule="exact"/>
        <w:ind w:firstLine="640"/>
        <w:rPr>
          <w:rFonts w:hint="default" w:ascii="Times New Roman" w:hAnsi="Times New Roman" w:cs="Times New Roman"/>
          <w:color w:val="auto"/>
          <w:highlight w:val="none"/>
        </w:rPr>
      </w:pPr>
      <w:r>
        <w:rPr>
          <w:rFonts w:hint="default" w:ascii="Times New Roman" w:hAnsi="Times New Roman" w:cs="Times New Roman"/>
          <w:color w:val="auto"/>
          <w:highlight w:val="none"/>
        </w:rPr>
        <w:t>1.德阳市罗江区财政局：负责预算绩效管理工作的组织实施，指导督促预算单位设定绩效目标、实施绩效跟踪、开展绩效评价；贯彻落实中央、省、市相关财政政策规定；负责项目资金调度、平衡相关部门的资金协调；监督项目资金的使用。</w:t>
      </w:r>
    </w:p>
    <w:p>
      <w:pPr>
        <w:spacing w:line="580" w:lineRule="exact"/>
        <w:ind w:firstLine="640"/>
        <w:rPr>
          <w:rFonts w:hint="default" w:ascii="Times New Roman" w:hAnsi="Times New Roman" w:cs="Times New Roman"/>
          <w:color w:val="auto"/>
          <w:highlight w:val="none"/>
        </w:rPr>
      </w:pPr>
      <w:r>
        <w:rPr>
          <w:rFonts w:hint="eastAsia" w:ascii="Times New Roman" w:hAnsi="Times New Roman" w:cs="Times New Roman"/>
          <w:color w:val="auto"/>
          <w:highlight w:val="none"/>
          <w:lang w:val="en-US" w:eastAsia="zh-CN"/>
        </w:rPr>
        <w:t>2</w:t>
      </w:r>
      <w:r>
        <w:rPr>
          <w:rFonts w:hint="default" w:ascii="Times New Roman" w:hAnsi="Times New Roman" w:cs="Times New Roman"/>
          <w:color w:val="auto"/>
          <w:highlight w:val="none"/>
        </w:rPr>
        <w:t>.</w:t>
      </w:r>
      <w:r>
        <w:rPr>
          <w:rFonts w:hint="eastAsia" w:ascii="Times New Roman" w:hAnsi="Times New Roman" w:cs="Times New Roman"/>
          <w:color w:val="auto"/>
          <w:highlight w:val="none"/>
          <w:lang w:eastAsia="zh-CN"/>
        </w:rPr>
        <w:t>德阳市罗江区水利局</w:t>
      </w:r>
      <w:r>
        <w:rPr>
          <w:rFonts w:hint="default" w:ascii="Times New Roman" w:hAnsi="Times New Roman" w:cs="Times New Roman"/>
          <w:color w:val="auto"/>
          <w:highlight w:val="none"/>
        </w:rPr>
        <w:t>：购买山洪灾害防治非工程措施</w:t>
      </w:r>
      <w:r>
        <w:rPr>
          <w:rFonts w:hint="eastAsia" w:ascii="Times New Roman" w:hAnsi="Times New Roman" w:cs="Times New Roman"/>
          <w:color w:val="auto"/>
          <w:highlight w:val="none"/>
          <w:lang w:val="en-US" w:eastAsia="zh-CN"/>
        </w:rPr>
        <w:t>设备</w:t>
      </w:r>
      <w:r>
        <w:rPr>
          <w:rFonts w:hint="default" w:ascii="Times New Roman" w:hAnsi="Times New Roman" w:cs="Times New Roman"/>
          <w:color w:val="auto"/>
          <w:highlight w:val="none"/>
        </w:rPr>
        <w:t>设施，按照政府采购法等法律法规有关规定，采用公开招标、竞争性磋商、竞争性谈判、邀请招标、单一来源等方式确定具体的承接主体作为承接服务商，签订购买服务合同，明确购买服务的</w:t>
      </w:r>
      <w:r>
        <w:rPr>
          <w:rFonts w:hint="eastAsia" w:ascii="Times New Roman" w:hAnsi="Times New Roman" w:cs="Times New Roman"/>
          <w:color w:val="auto"/>
          <w:highlight w:val="none"/>
          <w:lang w:val="en-US" w:eastAsia="zh-CN"/>
        </w:rPr>
        <w:t>品名、单位、规格、数量等</w:t>
      </w:r>
      <w:r>
        <w:rPr>
          <w:rFonts w:hint="default" w:ascii="Times New Roman" w:hAnsi="Times New Roman" w:cs="Times New Roman"/>
          <w:color w:val="auto"/>
          <w:highlight w:val="none"/>
        </w:rPr>
        <w:t>要求以及服务期限、资金支付方式、违约责任等内容。</w:t>
      </w:r>
    </w:p>
    <w:p>
      <w:pPr>
        <w:pStyle w:val="3"/>
        <w:spacing w:beforeAutospacing="0" w:afterAutospacing="0" w:line="580" w:lineRule="exact"/>
        <w:ind w:firstLine="643"/>
        <w:jc w:val="both"/>
        <w:rPr>
          <w:rFonts w:hint="default" w:ascii="Times New Roman" w:hAnsi="Times New Roman" w:eastAsia="楷体_GB2312" w:cs="Times New Roman"/>
          <w:color w:val="auto"/>
          <w:sz w:val="32"/>
          <w:szCs w:val="32"/>
          <w:highlight w:val="none"/>
        </w:rPr>
      </w:pPr>
      <w:bookmarkStart w:id="4" w:name="_Toc6324"/>
      <w:r>
        <w:rPr>
          <w:rFonts w:hint="default" w:ascii="Times New Roman" w:hAnsi="Times New Roman" w:eastAsia="楷体_GB2312" w:cs="Times New Roman"/>
          <w:color w:val="auto"/>
          <w:sz w:val="32"/>
          <w:szCs w:val="32"/>
          <w:highlight w:val="none"/>
        </w:rPr>
        <w:t>（三）项目绩效目标</w:t>
      </w:r>
      <w:bookmarkEnd w:id="4"/>
    </w:p>
    <w:p>
      <w:pPr>
        <w:spacing w:line="580" w:lineRule="exact"/>
        <w:ind w:firstLine="640"/>
        <w:rPr>
          <w:rFonts w:hint="default" w:ascii="Times New Roman" w:hAnsi="Times New Roman" w:cs="Times New Roman"/>
          <w:b/>
          <w:bCs/>
          <w:color w:val="auto"/>
          <w:highlight w:val="none"/>
        </w:rPr>
      </w:pPr>
      <w:r>
        <w:rPr>
          <w:rFonts w:hint="default" w:ascii="Times New Roman" w:hAnsi="Times New Roman" w:cs="Times New Roman"/>
          <w:b/>
          <w:bCs/>
          <w:color w:val="auto"/>
          <w:highlight w:val="none"/>
        </w:rPr>
        <w:t>1.项目总目标</w:t>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Fonts w:hint="default" w:ascii="Times New Roman" w:hAnsi="Times New Roman" w:cs="Times New Roman"/>
          <w:color w:val="auto"/>
          <w:highlight w:val="none"/>
        </w:rPr>
      </w:pPr>
      <w:r>
        <w:rPr>
          <w:rFonts w:hint="default" w:ascii="Times New Roman" w:hAnsi="Times New Roman" w:cs="Times New Roman"/>
          <w:color w:val="auto"/>
          <w:highlight w:val="none"/>
        </w:rPr>
        <w:t>通过购买山洪灾害防治非工程措施设施维修养护</w:t>
      </w:r>
      <w:r>
        <w:rPr>
          <w:rFonts w:hint="eastAsia" w:ascii="Times New Roman" w:hAnsi="Times New Roman" w:cs="Times New Roman"/>
          <w:color w:val="auto"/>
          <w:highlight w:val="none"/>
          <w:lang w:eastAsia="zh-CN"/>
        </w:rPr>
        <w:t>，改善乡村人居环境，保护沿河村落群众生命财产安全</w:t>
      </w:r>
      <w:r>
        <w:rPr>
          <w:rFonts w:hint="default" w:ascii="Times New Roman" w:hAnsi="Times New Roman" w:cs="Times New Roman"/>
          <w:color w:val="auto"/>
          <w:highlight w:val="none"/>
        </w:rPr>
        <w:t>。</w:t>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Fonts w:hint="default" w:ascii="Times New Roman" w:hAnsi="Times New Roman" w:cs="Times New Roman"/>
          <w:b/>
          <w:bCs/>
          <w:color w:val="auto"/>
          <w:highlight w:val="none"/>
        </w:rPr>
      </w:pPr>
      <w:r>
        <w:rPr>
          <w:rFonts w:hint="default" w:ascii="Times New Roman" w:hAnsi="Times New Roman" w:cs="Times New Roman"/>
          <w:b/>
          <w:bCs/>
          <w:color w:val="auto"/>
          <w:highlight w:val="none"/>
        </w:rPr>
        <w:t>2.年度绩效目标及指标分解</w:t>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绩效评价小组对</w:t>
      </w:r>
      <w:r>
        <w:rPr>
          <w:rFonts w:hint="default" w:ascii="Times New Roman" w:hAnsi="Times New Roman" w:cs="Times New Roman"/>
          <w:color w:val="auto"/>
          <w:highlight w:val="none"/>
        </w:rPr>
        <w:t>《四川省财政厅 四川省水利厅关于下达2022年中央和省级水利发展资金的通知》（川财农〔2022〕9号）、</w:t>
      </w:r>
      <w:r>
        <w:rPr>
          <w:rFonts w:hint="default" w:ascii="Times New Roman" w:hAnsi="Times New Roman" w:cs="Times New Roman"/>
          <w:color w:val="auto"/>
          <w:highlight w:val="none"/>
          <w:shd w:val="clear" w:color="auto" w:fill="auto"/>
        </w:rPr>
        <w:t>德阳市罗江区人民政府办公室关于印发《德阳市罗江区提升自然灾害防治能力重点工程任务分工方案》的通知（德市罗府办发〔2021〕70号）、项目</w:t>
      </w:r>
      <w:r>
        <w:rPr>
          <w:rFonts w:hint="eastAsia" w:ascii="Times New Roman" w:hAnsi="Times New Roman" w:cs="Times New Roman"/>
          <w:color w:val="auto"/>
          <w:highlight w:val="none"/>
          <w:shd w:val="clear" w:color="auto" w:fill="auto"/>
          <w:lang w:val="en-US" w:eastAsia="zh-CN"/>
        </w:rPr>
        <w:t>设备采购</w:t>
      </w:r>
      <w:r>
        <w:rPr>
          <w:rFonts w:hint="default" w:ascii="Times New Roman" w:hAnsi="Times New Roman" w:cs="Times New Roman"/>
          <w:color w:val="auto"/>
          <w:highlight w:val="none"/>
          <w:shd w:val="clear" w:color="auto" w:fill="auto"/>
        </w:rPr>
        <w:t>明细、《政府采购合同》</w:t>
      </w:r>
      <w:r>
        <w:rPr>
          <w:rFonts w:hint="default" w:ascii="Times New Roman" w:hAnsi="Times New Roman" w:cs="Times New Roman"/>
          <w:color w:val="auto"/>
          <w:szCs w:val="32"/>
          <w:highlight w:val="none"/>
          <w:shd w:val="clear" w:color="auto" w:fill="auto"/>
        </w:rPr>
        <w:t>等项</w:t>
      </w:r>
      <w:r>
        <w:rPr>
          <w:rFonts w:hint="default" w:ascii="Times New Roman" w:hAnsi="Times New Roman" w:cs="Times New Roman"/>
          <w:color w:val="auto"/>
          <w:szCs w:val="32"/>
          <w:highlight w:val="none"/>
        </w:rPr>
        <w:t>目相关材料进行了梳理、分析和充分讨论，对本项目应当达到的产出（数量、质量、时效、成本）和效益（社会效益、满意度、可持续影响力）指标进行了细化分解，具体如下：</w:t>
      </w:r>
    </w:p>
    <w:p>
      <w:pPr>
        <w:spacing w:line="580" w:lineRule="exact"/>
        <w:ind w:firstLine="0" w:firstLineChars="0"/>
        <w:jc w:val="center"/>
        <w:rPr>
          <w:rFonts w:hint="default" w:ascii="Times New Roman" w:hAnsi="Times New Roman" w:cs="Times New Roman"/>
          <w:b/>
          <w:bCs/>
          <w:color w:val="auto"/>
          <w:sz w:val="28"/>
          <w:szCs w:val="28"/>
          <w:highlight w:val="none"/>
        </w:rPr>
      </w:pPr>
      <w:r>
        <w:rPr>
          <w:rFonts w:hint="default" w:ascii="Times New Roman" w:hAnsi="Times New Roman" w:cs="Times New Roman"/>
          <w:b/>
          <w:bCs/>
          <w:color w:val="auto"/>
          <w:sz w:val="28"/>
          <w:szCs w:val="28"/>
          <w:highlight w:val="none"/>
        </w:rPr>
        <w:t>表1-2 项目年度绩效目标分解表</w:t>
      </w:r>
    </w:p>
    <w:tbl>
      <w:tblPr>
        <w:tblStyle w:val="14"/>
        <w:tblW w:w="887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41"/>
        <w:gridCol w:w="1269"/>
        <w:gridCol w:w="3251"/>
        <w:gridCol w:w="1760"/>
        <w:gridCol w:w="144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blHeader/>
        </w:trPr>
        <w:tc>
          <w:tcPr>
            <w:tcW w:w="1141" w:type="dxa"/>
            <w:tcBorders>
              <w:tl2br w:val="nil"/>
              <w:tr2bl w:val="nil"/>
            </w:tcBorders>
            <w:shd w:val="clear" w:color="auto" w:fill="auto"/>
            <w:noWrap/>
            <w:tcMar>
              <w:top w:w="15" w:type="dxa"/>
              <w:left w:w="15" w:type="dxa"/>
              <w:right w:w="15" w:type="dxa"/>
            </w:tcMar>
            <w:vAlign w:val="bottom"/>
          </w:tcPr>
          <w:p>
            <w:pPr>
              <w:spacing w:line="360" w:lineRule="auto"/>
              <w:ind w:firstLine="0" w:firstLineChars="0"/>
              <w:jc w:val="center"/>
              <w:rPr>
                <w:rFonts w:hint="eastAsia" w:ascii="仿宋_GB2312" w:hAnsi="仿宋_GB2312" w:eastAsia="仿宋_GB2312" w:cs="仿宋_GB2312"/>
                <w:b/>
                <w:bCs/>
                <w:color w:val="auto"/>
                <w:sz w:val="24"/>
                <w:highlight w:val="none"/>
              </w:rPr>
            </w:pPr>
            <w:r>
              <w:rPr>
                <w:rFonts w:hint="eastAsia" w:ascii="仿宋_GB2312" w:hAnsi="仿宋_GB2312" w:eastAsia="仿宋_GB2312" w:cs="仿宋_GB2312"/>
                <w:b/>
                <w:bCs/>
                <w:color w:val="auto"/>
                <w:kern w:val="0"/>
                <w:sz w:val="24"/>
                <w:highlight w:val="none"/>
                <w:lang w:bidi="ar"/>
              </w:rPr>
              <w:t>一级指标</w:t>
            </w:r>
          </w:p>
        </w:tc>
        <w:tc>
          <w:tcPr>
            <w:tcW w:w="1269" w:type="dxa"/>
            <w:tcBorders>
              <w:tl2br w:val="nil"/>
              <w:tr2bl w:val="nil"/>
            </w:tcBorders>
            <w:shd w:val="clear" w:color="auto" w:fill="auto"/>
            <w:noWrap/>
            <w:tcMar>
              <w:top w:w="15" w:type="dxa"/>
              <w:left w:w="15" w:type="dxa"/>
              <w:right w:w="15" w:type="dxa"/>
            </w:tcMar>
            <w:vAlign w:val="bottom"/>
          </w:tcPr>
          <w:p>
            <w:pPr>
              <w:spacing w:line="360" w:lineRule="auto"/>
              <w:ind w:firstLine="0" w:firstLineChars="0"/>
              <w:jc w:val="center"/>
              <w:rPr>
                <w:rFonts w:hint="eastAsia" w:ascii="仿宋_GB2312" w:hAnsi="仿宋_GB2312" w:eastAsia="仿宋_GB2312" w:cs="仿宋_GB2312"/>
                <w:b/>
                <w:bCs/>
                <w:color w:val="auto"/>
                <w:sz w:val="24"/>
                <w:highlight w:val="none"/>
              </w:rPr>
            </w:pPr>
            <w:r>
              <w:rPr>
                <w:rFonts w:hint="eastAsia" w:ascii="仿宋_GB2312" w:hAnsi="仿宋_GB2312" w:eastAsia="仿宋_GB2312" w:cs="仿宋_GB2312"/>
                <w:b/>
                <w:bCs/>
                <w:color w:val="auto"/>
                <w:kern w:val="0"/>
                <w:sz w:val="24"/>
                <w:highlight w:val="none"/>
                <w:lang w:bidi="ar"/>
              </w:rPr>
              <w:t>二级指标</w:t>
            </w:r>
          </w:p>
        </w:tc>
        <w:tc>
          <w:tcPr>
            <w:tcW w:w="3251" w:type="dxa"/>
            <w:tcBorders>
              <w:tl2br w:val="nil"/>
              <w:tr2bl w:val="nil"/>
            </w:tcBorders>
            <w:shd w:val="clear" w:color="auto" w:fill="auto"/>
            <w:noWrap/>
            <w:tcMar>
              <w:top w:w="15" w:type="dxa"/>
              <w:left w:w="15" w:type="dxa"/>
              <w:right w:w="15" w:type="dxa"/>
            </w:tcMar>
            <w:vAlign w:val="bottom"/>
          </w:tcPr>
          <w:p>
            <w:pPr>
              <w:spacing w:line="360" w:lineRule="auto"/>
              <w:ind w:firstLine="0" w:firstLineChars="0"/>
              <w:jc w:val="center"/>
              <w:rPr>
                <w:rFonts w:hint="eastAsia" w:ascii="仿宋_GB2312" w:hAnsi="仿宋_GB2312" w:eastAsia="仿宋_GB2312" w:cs="仿宋_GB2312"/>
                <w:b/>
                <w:bCs/>
                <w:color w:val="auto"/>
                <w:sz w:val="24"/>
                <w:highlight w:val="none"/>
              </w:rPr>
            </w:pPr>
            <w:r>
              <w:rPr>
                <w:rFonts w:hint="eastAsia" w:ascii="仿宋_GB2312" w:hAnsi="仿宋_GB2312" w:eastAsia="仿宋_GB2312" w:cs="仿宋_GB2312"/>
                <w:b/>
                <w:bCs/>
                <w:color w:val="auto"/>
                <w:kern w:val="0"/>
                <w:sz w:val="24"/>
                <w:highlight w:val="none"/>
                <w:lang w:bidi="ar"/>
              </w:rPr>
              <w:t>三级指标</w:t>
            </w:r>
          </w:p>
        </w:tc>
        <w:tc>
          <w:tcPr>
            <w:tcW w:w="1760" w:type="dxa"/>
            <w:tcBorders>
              <w:tl2br w:val="nil"/>
              <w:tr2bl w:val="nil"/>
            </w:tcBorders>
            <w:shd w:val="clear" w:color="auto" w:fill="auto"/>
            <w:noWrap/>
            <w:tcMar>
              <w:top w:w="15" w:type="dxa"/>
              <w:left w:w="15" w:type="dxa"/>
              <w:right w:w="15" w:type="dxa"/>
            </w:tcMar>
            <w:vAlign w:val="bottom"/>
          </w:tcPr>
          <w:p>
            <w:pPr>
              <w:spacing w:line="360" w:lineRule="auto"/>
              <w:ind w:firstLine="0" w:firstLineChars="0"/>
              <w:jc w:val="center"/>
              <w:rPr>
                <w:rFonts w:hint="eastAsia" w:ascii="仿宋_GB2312" w:hAnsi="仿宋_GB2312" w:eastAsia="仿宋_GB2312" w:cs="仿宋_GB2312"/>
                <w:b/>
                <w:bCs/>
                <w:color w:val="auto"/>
                <w:sz w:val="24"/>
                <w:highlight w:val="none"/>
              </w:rPr>
            </w:pPr>
            <w:r>
              <w:rPr>
                <w:rFonts w:hint="eastAsia" w:ascii="仿宋_GB2312" w:hAnsi="仿宋_GB2312" w:eastAsia="仿宋_GB2312" w:cs="仿宋_GB2312"/>
                <w:b/>
                <w:bCs/>
                <w:color w:val="auto"/>
                <w:kern w:val="0"/>
                <w:sz w:val="24"/>
                <w:highlight w:val="none"/>
                <w:lang w:bidi="ar"/>
              </w:rPr>
              <w:t>指标值</w:t>
            </w:r>
          </w:p>
        </w:tc>
        <w:tc>
          <w:tcPr>
            <w:tcW w:w="1449" w:type="dxa"/>
            <w:tcBorders>
              <w:tl2br w:val="nil"/>
              <w:tr2bl w:val="nil"/>
            </w:tcBorders>
            <w:shd w:val="clear" w:color="auto" w:fill="auto"/>
            <w:noWrap/>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b/>
                <w:bCs/>
                <w:color w:val="auto"/>
                <w:sz w:val="24"/>
                <w:highlight w:val="none"/>
              </w:rPr>
            </w:pPr>
            <w:r>
              <w:rPr>
                <w:rFonts w:hint="eastAsia" w:ascii="仿宋_GB2312" w:hAnsi="仿宋_GB2312" w:eastAsia="仿宋_GB2312" w:cs="仿宋_GB2312"/>
                <w:b/>
                <w:bCs/>
                <w:color w:val="auto"/>
                <w:kern w:val="0"/>
                <w:sz w:val="24"/>
                <w:highlight w:val="none"/>
                <w:lang w:bidi="ar"/>
              </w:rPr>
              <w:t>指标值来源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141" w:type="dxa"/>
            <w:vMerge w:val="restart"/>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kern w:val="0"/>
                <w:sz w:val="24"/>
                <w:highlight w:val="none"/>
                <w:lang w:bidi="ar"/>
              </w:rPr>
              <w:t>产出指标</w:t>
            </w:r>
          </w:p>
        </w:tc>
        <w:tc>
          <w:tcPr>
            <w:tcW w:w="1269" w:type="dxa"/>
            <w:vMerge w:val="restart"/>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val="en-US" w:eastAsia="zh-CN"/>
              </w:rPr>
              <w:t>数量</w:t>
            </w:r>
          </w:p>
        </w:tc>
        <w:tc>
          <w:tcPr>
            <w:tcW w:w="3251"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pacing w:val="-2"/>
                <w:sz w:val="24"/>
                <w:highlight w:val="none"/>
                <w:lang w:val="en-US" w:eastAsia="zh-CN"/>
              </w:rPr>
            </w:pPr>
            <w:r>
              <w:rPr>
                <w:rFonts w:hint="eastAsia" w:ascii="仿宋_GB2312" w:hAnsi="仿宋_GB2312" w:eastAsia="仿宋_GB2312" w:cs="仿宋_GB2312"/>
                <w:color w:val="auto"/>
                <w:spacing w:val="-2"/>
                <w:sz w:val="24"/>
                <w:highlight w:val="none"/>
                <w:lang w:val="en-US" w:eastAsia="zh-CN"/>
              </w:rPr>
              <w:t>液压油管修复</w:t>
            </w:r>
          </w:p>
        </w:tc>
        <w:tc>
          <w:tcPr>
            <w:tcW w:w="1760"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2米</w:t>
            </w:r>
          </w:p>
        </w:tc>
        <w:tc>
          <w:tcPr>
            <w:tcW w:w="1449" w:type="dxa"/>
            <w:tcBorders>
              <w:tl2br w:val="nil"/>
              <w:tr2bl w:val="nil"/>
            </w:tcBorders>
            <w:shd w:val="clear" w:color="auto" w:fill="auto"/>
            <w:noWrap/>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计划标准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141" w:type="dxa"/>
            <w:vMerge w:val="continue"/>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kern w:val="0"/>
                <w:sz w:val="24"/>
                <w:highlight w:val="none"/>
                <w:lang w:bidi="ar"/>
              </w:rPr>
            </w:pPr>
          </w:p>
        </w:tc>
        <w:tc>
          <w:tcPr>
            <w:tcW w:w="1269" w:type="dxa"/>
            <w:vMerge w:val="continue"/>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kern w:val="0"/>
                <w:sz w:val="24"/>
                <w:highlight w:val="none"/>
                <w:lang w:bidi="ar"/>
              </w:rPr>
            </w:pPr>
          </w:p>
        </w:tc>
        <w:tc>
          <w:tcPr>
            <w:tcW w:w="3251"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pacing w:val="-2"/>
                <w:sz w:val="24"/>
                <w:highlight w:val="none"/>
                <w:lang w:val="en-US" w:eastAsia="zh-CN"/>
              </w:rPr>
            </w:pPr>
            <w:r>
              <w:rPr>
                <w:rFonts w:hint="eastAsia" w:ascii="仿宋_GB2312" w:hAnsi="仿宋_GB2312" w:eastAsia="仿宋_GB2312" w:cs="仿宋_GB2312"/>
                <w:color w:val="auto"/>
                <w:spacing w:val="-2"/>
                <w:sz w:val="24"/>
                <w:highlight w:val="none"/>
                <w:lang w:val="en-US" w:eastAsia="zh-CN"/>
              </w:rPr>
              <w:t>液压油</w:t>
            </w:r>
          </w:p>
        </w:tc>
        <w:tc>
          <w:tcPr>
            <w:tcW w:w="1760"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360升</w:t>
            </w:r>
          </w:p>
        </w:tc>
        <w:tc>
          <w:tcPr>
            <w:tcW w:w="1449" w:type="dxa"/>
            <w:tcBorders>
              <w:tl2br w:val="nil"/>
              <w:tr2bl w:val="nil"/>
            </w:tcBorders>
            <w:shd w:val="clear" w:color="auto" w:fill="auto"/>
            <w:noWrap/>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计划标准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141" w:type="dxa"/>
            <w:vMerge w:val="continue"/>
            <w:tcBorders>
              <w:tl2br w:val="nil"/>
              <w:tr2bl w:val="nil"/>
            </w:tcBorders>
            <w:shd w:val="clear" w:color="auto" w:fill="auto"/>
            <w:tcMar>
              <w:top w:w="15" w:type="dxa"/>
              <w:left w:w="15" w:type="dxa"/>
              <w:right w:w="15" w:type="dxa"/>
            </w:tcMar>
            <w:vAlign w:val="center"/>
          </w:tcPr>
          <w:p>
            <w:pPr>
              <w:spacing w:line="360" w:lineRule="auto"/>
              <w:ind w:firstLine="480"/>
              <w:jc w:val="center"/>
              <w:rPr>
                <w:rFonts w:hint="eastAsia" w:ascii="仿宋_GB2312" w:hAnsi="仿宋_GB2312" w:eastAsia="仿宋_GB2312" w:cs="仿宋_GB2312"/>
                <w:color w:val="auto"/>
                <w:sz w:val="24"/>
                <w:highlight w:val="none"/>
              </w:rPr>
            </w:pPr>
          </w:p>
        </w:tc>
        <w:tc>
          <w:tcPr>
            <w:tcW w:w="1269" w:type="dxa"/>
            <w:vMerge w:val="continue"/>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lang w:val="en-US" w:eastAsia="zh-CN"/>
              </w:rPr>
            </w:pPr>
          </w:p>
        </w:tc>
        <w:tc>
          <w:tcPr>
            <w:tcW w:w="3251"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pacing w:val="-2"/>
                <w:sz w:val="24"/>
                <w:highlight w:val="none"/>
                <w:lang w:val="en-US" w:eastAsia="zh-CN"/>
              </w:rPr>
            </w:pPr>
            <w:r>
              <w:rPr>
                <w:rFonts w:hint="eastAsia" w:ascii="仿宋_GB2312" w:hAnsi="仿宋_GB2312" w:eastAsia="仿宋_GB2312" w:cs="仿宋_GB2312"/>
                <w:color w:val="auto"/>
                <w:spacing w:val="-2"/>
                <w:sz w:val="24"/>
                <w:highlight w:val="none"/>
                <w:lang w:val="en-US" w:eastAsia="zh-CN"/>
              </w:rPr>
              <w:t>应急发电机组</w:t>
            </w:r>
          </w:p>
        </w:tc>
        <w:tc>
          <w:tcPr>
            <w:tcW w:w="1760"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1组</w:t>
            </w:r>
          </w:p>
        </w:tc>
        <w:tc>
          <w:tcPr>
            <w:tcW w:w="1449" w:type="dxa"/>
            <w:tcBorders>
              <w:tl2br w:val="nil"/>
              <w:tr2bl w:val="nil"/>
            </w:tcBorders>
            <w:shd w:val="clear" w:color="auto" w:fill="auto"/>
            <w:noWrap/>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计划标准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141" w:type="dxa"/>
            <w:vMerge w:val="continue"/>
            <w:tcBorders>
              <w:tl2br w:val="nil"/>
              <w:tr2bl w:val="nil"/>
            </w:tcBorders>
            <w:shd w:val="clear" w:color="auto" w:fill="auto"/>
            <w:tcMar>
              <w:top w:w="15" w:type="dxa"/>
              <w:left w:w="15" w:type="dxa"/>
              <w:right w:w="15" w:type="dxa"/>
            </w:tcMar>
            <w:vAlign w:val="center"/>
          </w:tcPr>
          <w:p>
            <w:pPr>
              <w:spacing w:line="360" w:lineRule="auto"/>
              <w:ind w:firstLine="480"/>
              <w:jc w:val="center"/>
              <w:rPr>
                <w:rFonts w:hint="eastAsia" w:ascii="仿宋_GB2312" w:hAnsi="仿宋_GB2312" w:eastAsia="仿宋_GB2312" w:cs="仿宋_GB2312"/>
                <w:color w:val="auto"/>
                <w:sz w:val="24"/>
                <w:highlight w:val="none"/>
              </w:rPr>
            </w:pPr>
          </w:p>
        </w:tc>
        <w:tc>
          <w:tcPr>
            <w:tcW w:w="1269" w:type="dxa"/>
            <w:vMerge w:val="continue"/>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lang w:val="en-US" w:eastAsia="zh-CN"/>
              </w:rPr>
            </w:pPr>
          </w:p>
        </w:tc>
        <w:tc>
          <w:tcPr>
            <w:tcW w:w="3251"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pacing w:val="-2"/>
                <w:sz w:val="24"/>
                <w:highlight w:val="none"/>
                <w:lang w:val="en-US" w:eastAsia="zh-CN"/>
              </w:rPr>
            </w:pPr>
            <w:r>
              <w:rPr>
                <w:rFonts w:hint="eastAsia" w:ascii="仿宋_GB2312" w:hAnsi="仿宋_GB2312" w:eastAsia="仿宋_GB2312" w:cs="仿宋_GB2312"/>
                <w:color w:val="auto"/>
                <w:spacing w:val="-2"/>
                <w:sz w:val="24"/>
                <w:highlight w:val="none"/>
                <w:lang w:val="en-US" w:eastAsia="zh-CN"/>
              </w:rPr>
              <w:t>应急发电机组动力发动机保养</w:t>
            </w:r>
          </w:p>
        </w:tc>
        <w:tc>
          <w:tcPr>
            <w:tcW w:w="1760"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1次</w:t>
            </w:r>
          </w:p>
        </w:tc>
        <w:tc>
          <w:tcPr>
            <w:tcW w:w="1449" w:type="dxa"/>
            <w:tcBorders>
              <w:tl2br w:val="nil"/>
              <w:tr2bl w:val="nil"/>
            </w:tcBorders>
            <w:shd w:val="clear" w:color="auto" w:fill="auto"/>
            <w:noWrap/>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计划标准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141" w:type="dxa"/>
            <w:vMerge w:val="continue"/>
            <w:tcBorders>
              <w:tl2br w:val="nil"/>
              <w:tr2bl w:val="nil"/>
            </w:tcBorders>
            <w:shd w:val="clear" w:color="auto" w:fill="auto"/>
            <w:tcMar>
              <w:top w:w="15" w:type="dxa"/>
              <w:left w:w="15" w:type="dxa"/>
              <w:right w:w="15" w:type="dxa"/>
            </w:tcMar>
            <w:vAlign w:val="center"/>
          </w:tcPr>
          <w:p>
            <w:pPr>
              <w:spacing w:line="360" w:lineRule="auto"/>
              <w:ind w:firstLine="480"/>
              <w:jc w:val="center"/>
              <w:rPr>
                <w:rFonts w:hint="eastAsia" w:ascii="仿宋_GB2312" w:hAnsi="仿宋_GB2312" w:eastAsia="仿宋_GB2312" w:cs="仿宋_GB2312"/>
                <w:color w:val="auto"/>
                <w:sz w:val="24"/>
                <w:highlight w:val="none"/>
              </w:rPr>
            </w:pPr>
          </w:p>
        </w:tc>
        <w:tc>
          <w:tcPr>
            <w:tcW w:w="1269" w:type="dxa"/>
            <w:vMerge w:val="continue"/>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lang w:val="en-US" w:eastAsia="zh-CN"/>
              </w:rPr>
            </w:pPr>
          </w:p>
        </w:tc>
        <w:tc>
          <w:tcPr>
            <w:tcW w:w="3251"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pacing w:val="-2"/>
                <w:sz w:val="24"/>
                <w:highlight w:val="none"/>
                <w:lang w:val="en-US" w:eastAsia="zh-CN"/>
              </w:rPr>
            </w:pPr>
            <w:r>
              <w:rPr>
                <w:rFonts w:hint="eastAsia" w:ascii="仿宋_GB2312" w:hAnsi="仿宋_GB2312" w:eastAsia="仿宋_GB2312" w:cs="仿宋_GB2312"/>
                <w:color w:val="auto"/>
                <w:spacing w:val="-2"/>
                <w:sz w:val="24"/>
                <w:highlight w:val="none"/>
                <w:lang w:val="en-US" w:eastAsia="zh-CN"/>
              </w:rPr>
              <w:t>油路电磁阀门保养</w:t>
            </w:r>
          </w:p>
        </w:tc>
        <w:tc>
          <w:tcPr>
            <w:tcW w:w="1760"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24套</w:t>
            </w:r>
          </w:p>
        </w:tc>
        <w:tc>
          <w:tcPr>
            <w:tcW w:w="1449" w:type="dxa"/>
            <w:tcBorders>
              <w:tl2br w:val="nil"/>
              <w:tr2bl w:val="nil"/>
            </w:tcBorders>
            <w:shd w:val="clear" w:color="auto" w:fill="auto"/>
            <w:noWrap/>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计划标准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141" w:type="dxa"/>
            <w:vMerge w:val="continue"/>
            <w:tcBorders>
              <w:tl2br w:val="nil"/>
              <w:tr2bl w:val="nil"/>
            </w:tcBorders>
            <w:shd w:val="clear" w:color="auto" w:fill="auto"/>
            <w:tcMar>
              <w:top w:w="15" w:type="dxa"/>
              <w:left w:w="15" w:type="dxa"/>
              <w:right w:w="15" w:type="dxa"/>
            </w:tcMar>
            <w:vAlign w:val="center"/>
          </w:tcPr>
          <w:p>
            <w:pPr>
              <w:spacing w:line="360" w:lineRule="auto"/>
              <w:ind w:firstLine="480"/>
              <w:jc w:val="center"/>
              <w:rPr>
                <w:rFonts w:hint="eastAsia" w:ascii="仿宋_GB2312" w:hAnsi="仿宋_GB2312" w:eastAsia="仿宋_GB2312" w:cs="仿宋_GB2312"/>
                <w:color w:val="auto"/>
                <w:sz w:val="24"/>
                <w:highlight w:val="none"/>
              </w:rPr>
            </w:pPr>
          </w:p>
        </w:tc>
        <w:tc>
          <w:tcPr>
            <w:tcW w:w="1269" w:type="dxa"/>
            <w:vMerge w:val="continue"/>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lang w:val="en-US" w:eastAsia="zh-CN"/>
              </w:rPr>
            </w:pPr>
          </w:p>
        </w:tc>
        <w:tc>
          <w:tcPr>
            <w:tcW w:w="3251"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pacing w:val="-2"/>
                <w:sz w:val="24"/>
                <w:highlight w:val="none"/>
                <w:lang w:val="en-US" w:eastAsia="zh-CN"/>
              </w:rPr>
            </w:pPr>
            <w:r>
              <w:rPr>
                <w:rFonts w:hint="eastAsia" w:ascii="仿宋_GB2312" w:hAnsi="仿宋_GB2312" w:eastAsia="仿宋_GB2312" w:cs="仿宋_GB2312"/>
                <w:color w:val="auto"/>
                <w:spacing w:val="-2"/>
                <w:sz w:val="24"/>
                <w:highlight w:val="none"/>
                <w:lang w:val="en-US" w:eastAsia="zh-CN"/>
              </w:rPr>
              <w:t>太阳能蓄电池</w:t>
            </w:r>
          </w:p>
        </w:tc>
        <w:tc>
          <w:tcPr>
            <w:tcW w:w="1760"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8组</w:t>
            </w:r>
          </w:p>
        </w:tc>
        <w:tc>
          <w:tcPr>
            <w:tcW w:w="1449" w:type="dxa"/>
            <w:tcBorders>
              <w:tl2br w:val="nil"/>
              <w:tr2bl w:val="nil"/>
            </w:tcBorders>
            <w:shd w:val="clear" w:color="auto" w:fill="auto"/>
            <w:noWrap/>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计划标准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141" w:type="dxa"/>
            <w:vMerge w:val="continue"/>
            <w:tcBorders>
              <w:tl2br w:val="nil"/>
              <w:tr2bl w:val="nil"/>
            </w:tcBorders>
            <w:shd w:val="clear" w:color="auto" w:fill="auto"/>
            <w:tcMar>
              <w:top w:w="15" w:type="dxa"/>
              <w:left w:w="15" w:type="dxa"/>
              <w:right w:w="15" w:type="dxa"/>
            </w:tcMar>
            <w:vAlign w:val="center"/>
          </w:tcPr>
          <w:p>
            <w:pPr>
              <w:spacing w:line="360" w:lineRule="auto"/>
              <w:ind w:firstLine="480"/>
              <w:jc w:val="center"/>
              <w:rPr>
                <w:rFonts w:hint="eastAsia" w:ascii="仿宋_GB2312" w:hAnsi="仿宋_GB2312" w:eastAsia="仿宋_GB2312" w:cs="仿宋_GB2312"/>
                <w:color w:val="auto"/>
                <w:sz w:val="24"/>
                <w:highlight w:val="none"/>
              </w:rPr>
            </w:pPr>
          </w:p>
        </w:tc>
        <w:tc>
          <w:tcPr>
            <w:tcW w:w="1269" w:type="dxa"/>
            <w:vMerge w:val="continue"/>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lang w:val="en-US" w:eastAsia="zh-CN"/>
              </w:rPr>
            </w:pPr>
          </w:p>
        </w:tc>
        <w:tc>
          <w:tcPr>
            <w:tcW w:w="3251"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pacing w:val="-2"/>
                <w:sz w:val="24"/>
                <w:highlight w:val="none"/>
                <w:lang w:val="en-US" w:eastAsia="zh-CN"/>
              </w:rPr>
            </w:pPr>
            <w:r>
              <w:rPr>
                <w:rFonts w:hint="eastAsia" w:ascii="仿宋_GB2312" w:hAnsi="仿宋_GB2312" w:eastAsia="仿宋_GB2312" w:cs="仿宋_GB2312"/>
                <w:color w:val="auto"/>
                <w:spacing w:val="-2"/>
                <w:sz w:val="24"/>
                <w:highlight w:val="none"/>
                <w:lang w:val="en-US" w:eastAsia="zh-CN"/>
              </w:rPr>
              <w:t>户外LED显示模块</w:t>
            </w:r>
          </w:p>
        </w:tc>
        <w:tc>
          <w:tcPr>
            <w:tcW w:w="1760"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20块</w:t>
            </w:r>
          </w:p>
        </w:tc>
        <w:tc>
          <w:tcPr>
            <w:tcW w:w="1449" w:type="dxa"/>
            <w:tcBorders>
              <w:tl2br w:val="nil"/>
              <w:tr2bl w:val="nil"/>
            </w:tcBorders>
            <w:shd w:val="clear" w:color="auto" w:fill="auto"/>
            <w:noWrap/>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计划标准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141" w:type="dxa"/>
            <w:vMerge w:val="continue"/>
            <w:tcBorders>
              <w:tl2br w:val="nil"/>
              <w:tr2bl w:val="nil"/>
            </w:tcBorders>
            <w:shd w:val="clear" w:color="auto" w:fill="auto"/>
            <w:tcMar>
              <w:top w:w="15" w:type="dxa"/>
              <w:left w:w="15" w:type="dxa"/>
              <w:right w:w="15" w:type="dxa"/>
            </w:tcMar>
            <w:vAlign w:val="center"/>
          </w:tcPr>
          <w:p>
            <w:pPr>
              <w:spacing w:line="360" w:lineRule="auto"/>
              <w:ind w:firstLine="480"/>
              <w:jc w:val="center"/>
              <w:rPr>
                <w:rFonts w:hint="eastAsia" w:ascii="仿宋_GB2312" w:hAnsi="仿宋_GB2312" w:eastAsia="仿宋_GB2312" w:cs="仿宋_GB2312"/>
                <w:color w:val="auto"/>
                <w:sz w:val="24"/>
                <w:highlight w:val="none"/>
              </w:rPr>
            </w:pPr>
          </w:p>
        </w:tc>
        <w:tc>
          <w:tcPr>
            <w:tcW w:w="1269" w:type="dxa"/>
            <w:vMerge w:val="continue"/>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lang w:val="en-US" w:eastAsia="zh-CN"/>
              </w:rPr>
            </w:pPr>
          </w:p>
        </w:tc>
        <w:tc>
          <w:tcPr>
            <w:tcW w:w="3251"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pacing w:val="-2"/>
                <w:sz w:val="24"/>
                <w:highlight w:val="none"/>
                <w:lang w:val="en-US" w:eastAsia="zh-CN"/>
              </w:rPr>
            </w:pPr>
            <w:r>
              <w:rPr>
                <w:rFonts w:hint="eastAsia" w:ascii="仿宋_GB2312" w:hAnsi="仿宋_GB2312" w:eastAsia="仿宋_GB2312" w:cs="仿宋_GB2312"/>
                <w:color w:val="auto"/>
                <w:spacing w:val="-2"/>
                <w:sz w:val="24"/>
                <w:highlight w:val="none"/>
                <w:lang w:val="en-US" w:eastAsia="zh-CN"/>
              </w:rPr>
              <w:t>户外LED模组专用电源及线材</w:t>
            </w:r>
          </w:p>
        </w:tc>
        <w:tc>
          <w:tcPr>
            <w:tcW w:w="1760"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20套</w:t>
            </w:r>
          </w:p>
        </w:tc>
        <w:tc>
          <w:tcPr>
            <w:tcW w:w="1449" w:type="dxa"/>
            <w:tcBorders>
              <w:tl2br w:val="nil"/>
              <w:tr2bl w:val="nil"/>
            </w:tcBorders>
            <w:shd w:val="clear" w:color="auto" w:fill="auto"/>
            <w:noWrap/>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计划标准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141" w:type="dxa"/>
            <w:vMerge w:val="continue"/>
            <w:tcBorders>
              <w:tl2br w:val="nil"/>
              <w:tr2bl w:val="nil"/>
            </w:tcBorders>
            <w:shd w:val="clear" w:color="auto" w:fill="auto"/>
            <w:tcMar>
              <w:top w:w="15" w:type="dxa"/>
              <w:left w:w="15" w:type="dxa"/>
              <w:right w:w="15" w:type="dxa"/>
            </w:tcMar>
            <w:vAlign w:val="center"/>
          </w:tcPr>
          <w:p>
            <w:pPr>
              <w:spacing w:line="360" w:lineRule="auto"/>
              <w:ind w:firstLine="480"/>
              <w:jc w:val="center"/>
              <w:rPr>
                <w:rFonts w:hint="eastAsia" w:ascii="仿宋_GB2312" w:hAnsi="仿宋_GB2312" w:eastAsia="仿宋_GB2312" w:cs="仿宋_GB2312"/>
                <w:color w:val="auto"/>
                <w:sz w:val="24"/>
                <w:highlight w:val="none"/>
              </w:rPr>
            </w:pPr>
          </w:p>
        </w:tc>
        <w:tc>
          <w:tcPr>
            <w:tcW w:w="1269" w:type="dxa"/>
            <w:vMerge w:val="continue"/>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lang w:val="en-US" w:eastAsia="zh-CN"/>
              </w:rPr>
            </w:pPr>
          </w:p>
        </w:tc>
        <w:tc>
          <w:tcPr>
            <w:tcW w:w="3251"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pacing w:val="-2"/>
                <w:sz w:val="24"/>
                <w:highlight w:val="none"/>
                <w:lang w:val="en-US" w:eastAsia="zh-CN"/>
              </w:rPr>
            </w:pPr>
            <w:r>
              <w:rPr>
                <w:rFonts w:hint="eastAsia" w:ascii="仿宋_GB2312" w:hAnsi="仿宋_GB2312" w:eastAsia="仿宋_GB2312" w:cs="仿宋_GB2312"/>
                <w:color w:val="auto"/>
                <w:spacing w:val="-2"/>
                <w:sz w:val="24"/>
                <w:highlight w:val="none"/>
                <w:lang w:val="en-US" w:eastAsia="zh-CN"/>
              </w:rPr>
              <w:t>会议室LED显示屏控制卡</w:t>
            </w:r>
          </w:p>
        </w:tc>
        <w:tc>
          <w:tcPr>
            <w:tcW w:w="1760"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2张</w:t>
            </w:r>
          </w:p>
        </w:tc>
        <w:tc>
          <w:tcPr>
            <w:tcW w:w="1449" w:type="dxa"/>
            <w:tcBorders>
              <w:tl2br w:val="nil"/>
              <w:tr2bl w:val="nil"/>
            </w:tcBorders>
            <w:shd w:val="clear" w:color="auto" w:fill="auto"/>
            <w:noWrap/>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计划标准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141" w:type="dxa"/>
            <w:vMerge w:val="continue"/>
            <w:tcBorders>
              <w:tl2br w:val="nil"/>
              <w:tr2bl w:val="nil"/>
            </w:tcBorders>
            <w:shd w:val="clear" w:color="auto" w:fill="auto"/>
            <w:tcMar>
              <w:top w:w="15" w:type="dxa"/>
              <w:left w:w="15" w:type="dxa"/>
              <w:right w:w="15" w:type="dxa"/>
            </w:tcMar>
            <w:vAlign w:val="center"/>
          </w:tcPr>
          <w:p>
            <w:pPr>
              <w:spacing w:line="360" w:lineRule="auto"/>
              <w:ind w:firstLine="480"/>
              <w:jc w:val="center"/>
              <w:rPr>
                <w:rFonts w:hint="eastAsia" w:ascii="仿宋_GB2312" w:hAnsi="仿宋_GB2312" w:eastAsia="仿宋_GB2312" w:cs="仿宋_GB2312"/>
                <w:color w:val="auto"/>
                <w:sz w:val="24"/>
                <w:highlight w:val="none"/>
              </w:rPr>
            </w:pPr>
          </w:p>
        </w:tc>
        <w:tc>
          <w:tcPr>
            <w:tcW w:w="1269" w:type="dxa"/>
            <w:vMerge w:val="continue"/>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lang w:val="en-US" w:eastAsia="zh-CN"/>
              </w:rPr>
            </w:pPr>
          </w:p>
        </w:tc>
        <w:tc>
          <w:tcPr>
            <w:tcW w:w="3251"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pacing w:val="-2"/>
                <w:sz w:val="24"/>
                <w:highlight w:val="none"/>
                <w:lang w:val="en-US" w:eastAsia="zh-CN"/>
              </w:rPr>
            </w:pPr>
            <w:r>
              <w:rPr>
                <w:rFonts w:hint="eastAsia" w:ascii="仿宋_GB2312" w:hAnsi="仿宋_GB2312" w:eastAsia="仿宋_GB2312" w:cs="仿宋_GB2312"/>
                <w:color w:val="auto"/>
                <w:spacing w:val="-2"/>
                <w:sz w:val="24"/>
                <w:highlight w:val="none"/>
                <w:lang w:val="en-US" w:eastAsia="zh-CN"/>
              </w:rPr>
              <w:t>会议室LED显示屏发送卡、接收卡</w:t>
            </w:r>
          </w:p>
        </w:tc>
        <w:tc>
          <w:tcPr>
            <w:tcW w:w="1760"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2套</w:t>
            </w:r>
          </w:p>
        </w:tc>
        <w:tc>
          <w:tcPr>
            <w:tcW w:w="1449" w:type="dxa"/>
            <w:tcBorders>
              <w:tl2br w:val="nil"/>
              <w:tr2bl w:val="nil"/>
            </w:tcBorders>
            <w:shd w:val="clear" w:color="auto" w:fill="auto"/>
            <w:noWrap/>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计划标准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141" w:type="dxa"/>
            <w:vMerge w:val="continue"/>
            <w:tcBorders>
              <w:tl2br w:val="nil"/>
              <w:tr2bl w:val="nil"/>
            </w:tcBorders>
            <w:shd w:val="clear" w:color="auto" w:fill="auto"/>
            <w:tcMar>
              <w:top w:w="15" w:type="dxa"/>
              <w:left w:w="15" w:type="dxa"/>
              <w:right w:w="15" w:type="dxa"/>
            </w:tcMar>
            <w:vAlign w:val="center"/>
          </w:tcPr>
          <w:p>
            <w:pPr>
              <w:spacing w:line="360" w:lineRule="auto"/>
              <w:ind w:firstLine="480"/>
              <w:jc w:val="center"/>
              <w:rPr>
                <w:rFonts w:hint="eastAsia" w:ascii="仿宋_GB2312" w:hAnsi="仿宋_GB2312" w:eastAsia="仿宋_GB2312" w:cs="仿宋_GB2312"/>
                <w:color w:val="auto"/>
                <w:sz w:val="24"/>
                <w:highlight w:val="none"/>
              </w:rPr>
            </w:pPr>
          </w:p>
        </w:tc>
        <w:tc>
          <w:tcPr>
            <w:tcW w:w="1269" w:type="dxa"/>
            <w:vMerge w:val="continue"/>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lang w:val="en-US" w:eastAsia="zh-CN"/>
              </w:rPr>
            </w:pPr>
          </w:p>
        </w:tc>
        <w:tc>
          <w:tcPr>
            <w:tcW w:w="3251"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pacing w:val="-2"/>
                <w:sz w:val="24"/>
                <w:highlight w:val="none"/>
                <w:lang w:val="en-US" w:eastAsia="zh-CN"/>
              </w:rPr>
            </w:pPr>
            <w:r>
              <w:rPr>
                <w:rFonts w:hint="eastAsia" w:ascii="仿宋_GB2312" w:hAnsi="仿宋_GB2312" w:eastAsia="仿宋_GB2312" w:cs="仿宋_GB2312"/>
                <w:color w:val="auto"/>
                <w:spacing w:val="-2"/>
                <w:sz w:val="24"/>
                <w:highlight w:val="none"/>
                <w:lang w:val="en-US" w:eastAsia="zh-CN"/>
              </w:rPr>
              <w:t>会议室LED显示屏编辑软件</w:t>
            </w:r>
          </w:p>
        </w:tc>
        <w:tc>
          <w:tcPr>
            <w:tcW w:w="1760"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1套</w:t>
            </w:r>
          </w:p>
        </w:tc>
        <w:tc>
          <w:tcPr>
            <w:tcW w:w="1449" w:type="dxa"/>
            <w:tcBorders>
              <w:tl2br w:val="nil"/>
              <w:tr2bl w:val="nil"/>
            </w:tcBorders>
            <w:shd w:val="clear" w:color="auto" w:fill="auto"/>
            <w:noWrap/>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计划标准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141" w:type="dxa"/>
            <w:vMerge w:val="continue"/>
            <w:tcBorders>
              <w:tl2br w:val="nil"/>
              <w:tr2bl w:val="nil"/>
            </w:tcBorders>
            <w:shd w:val="clear" w:color="auto" w:fill="auto"/>
            <w:tcMar>
              <w:top w:w="15" w:type="dxa"/>
              <w:left w:w="15" w:type="dxa"/>
              <w:right w:w="15" w:type="dxa"/>
            </w:tcMar>
            <w:vAlign w:val="center"/>
          </w:tcPr>
          <w:p>
            <w:pPr>
              <w:spacing w:line="360" w:lineRule="auto"/>
              <w:ind w:firstLine="480"/>
              <w:jc w:val="center"/>
              <w:rPr>
                <w:rFonts w:hint="eastAsia" w:ascii="仿宋_GB2312" w:hAnsi="仿宋_GB2312" w:eastAsia="仿宋_GB2312" w:cs="仿宋_GB2312"/>
                <w:color w:val="auto"/>
                <w:sz w:val="24"/>
                <w:highlight w:val="none"/>
              </w:rPr>
            </w:pPr>
          </w:p>
        </w:tc>
        <w:tc>
          <w:tcPr>
            <w:tcW w:w="1269" w:type="dxa"/>
            <w:vMerge w:val="continue"/>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lang w:val="en-US" w:eastAsia="zh-CN"/>
              </w:rPr>
            </w:pPr>
          </w:p>
        </w:tc>
        <w:tc>
          <w:tcPr>
            <w:tcW w:w="3251"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pacing w:val="-2"/>
                <w:sz w:val="24"/>
                <w:highlight w:val="none"/>
                <w:lang w:val="en-US" w:eastAsia="zh-CN"/>
              </w:rPr>
            </w:pPr>
            <w:r>
              <w:rPr>
                <w:rFonts w:hint="eastAsia" w:ascii="仿宋_GB2312" w:hAnsi="仿宋_GB2312" w:eastAsia="仿宋_GB2312" w:cs="仿宋_GB2312"/>
                <w:color w:val="auto"/>
                <w:spacing w:val="-2"/>
                <w:sz w:val="24"/>
                <w:highlight w:val="none"/>
                <w:lang w:val="en-US" w:eastAsia="zh-CN"/>
              </w:rPr>
              <w:t>会议室拼接屏视频处理器</w:t>
            </w:r>
          </w:p>
        </w:tc>
        <w:tc>
          <w:tcPr>
            <w:tcW w:w="1760"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2台</w:t>
            </w:r>
          </w:p>
        </w:tc>
        <w:tc>
          <w:tcPr>
            <w:tcW w:w="1449" w:type="dxa"/>
            <w:tcBorders>
              <w:tl2br w:val="nil"/>
              <w:tr2bl w:val="nil"/>
            </w:tcBorders>
            <w:shd w:val="clear" w:color="auto" w:fill="auto"/>
            <w:noWrap/>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计划标准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141" w:type="dxa"/>
            <w:vMerge w:val="continue"/>
            <w:tcBorders>
              <w:tl2br w:val="nil"/>
              <w:tr2bl w:val="nil"/>
            </w:tcBorders>
            <w:shd w:val="clear" w:color="auto" w:fill="auto"/>
            <w:tcMar>
              <w:top w:w="15" w:type="dxa"/>
              <w:left w:w="15" w:type="dxa"/>
              <w:right w:w="15" w:type="dxa"/>
            </w:tcMar>
            <w:vAlign w:val="center"/>
          </w:tcPr>
          <w:p>
            <w:pPr>
              <w:spacing w:line="360" w:lineRule="auto"/>
              <w:ind w:firstLine="480"/>
              <w:jc w:val="center"/>
              <w:rPr>
                <w:rFonts w:hint="eastAsia" w:ascii="仿宋_GB2312" w:hAnsi="仿宋_GB2312" w:eastAsia="仿宋_GB2312" w:cs="仿宋_GB2312"/>
                <w:color w:val="auto"/>
                <w:sz w:val="24"/>
                <w:highlight w:val="none"/>
              </w:rPr>
            </w:pPr>
          </w:p>
        </w:tc>
        <w:tc>
          <w:tcPr>
            <w:tcW w:w="1269" w:type="dxa"/>
            <w:vMerge w:val="continue"/>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lang w:val="en-US" w:eastAsia="zh-CN"/>
              </w:rPr>
            </w:pPr>
          </w:p>
        </w:tc>
        <w:tc>
          <w:tcPr>
            <w:tcW w:w="3251"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pacing w:val="-2"/>
                <w:sz w:val="24"/>
                <w:highlight w:val="none"/>
                <w:lang w:val="en-US" w:eastAsia="zh-CN"/>
              </w:rPr>
            </w:pPr>
            <w:r>
              <w:rPr>
                <w:rFonts w:hint="eastAsia" w:ascii="仿宋_GB2312" w:hAnsi="仿宋_GB2312" w:eastAsia="仿宋_GB2312" w:cs="仿宋_GB2312"/>
                <w:color w:val="auto"/>
                <w:spacing w:val="-2"/>
                <w:sz w:val="24"/>
                <w:highlight w:val="none"/>
                <w:lang w:val="en-US" w:eastAsia="zh-CN"/>
              </w:rPr>
              <w:t>RTU采集终端</w:t>
            </w:r>
          </w:p>
        </w:tc>
        <w:tc>
          <w:tcPr>
            <w:tcW w:w="1760"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2台</w:t>
            </w:r>
          </w:p>
        </w:tc>
        <w:tc>
          <w:tcPr>
            <w:tcW w:w="1449" w:type="dxa"/>
            <w:tcBorders>
              <w:tl2br w:val="nil"/>
              <w:tr2bl w:val="nil"/>
            </w:tcBorders>
            <w:shd w:val="clear" w:color="auto" w:fill="auto"/>
            <w:noWrap/>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计划标准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141" w:type="dxa"/>
            <w:vMerge w:val="continue"/>
            <w:tcBorders>
              <w:tl2br w:val="nil"/>
              <w:tr2bl w:val="nil"/>
            </w:tcBorders>
            <w:shd w:val="clear" w:color="auto" w:fill="auto"/>
            <w:tcMar>
              <w:top w:w="15" w:type="dxa"/>
              <w:left w:w="15" w:type="dxa"/>
              <w:right w:w="15" w:type="dxa"/>
            </w:tcMar>
            <w:vAlign w:val="center"/>
          </w:tcPr>
          <w:p>
            <w:pPr>
              <w:spacing w:line="360" w:lineRule="auto"/>
              <w:ind w:firstLine="480"/>
              <w:jc w:val="center"/>
              <w:rPr>
                <w:rFonts w:hint="eastAsia" w:ascii="仿宋_GB2312" w:hAnsi="仿宋_GB2312" w:eastAsia="仿宋_GB2312" w:cs="仿宋_GB2312"/>
                <w:color w:val="auto"/>
                <w:sz w:val="24"/>
                <w:highlight w:val="none"/>
              </w:rPr>
            </w:pPr>
          </w:p>
        </w:tc>
        <w:tc>
          <w:tcPr>
            <w:tcW w:w="1269" w:type="dxa"/>
            <w:vMerge w:val="continue"/>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lang w:val="en-US" w:eastAsia="zh-CN"/>
              </w:rPr>
            </w:pPr>
          </w:p>
        </w:tc>
        <w:tc>
          <w:tcPr>
            <w:tcW w:w="3251"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pacing w:val="-2"/>
                <w:sz w:val="24"/>
                <w:highlight w:val="none"/>
                <w:lang w:val="en-US" w:eastAsia="zh-CN"/>
              </w:rPr>
            </w:pPr>
            <w:r>
              <w:rPr>
                <w:rFonts w:hint="eastAsia" w:ascii="仿宋_GB2312" w:hAnsi="仿宋_GB2312" w:eastAsia="仿宋_GB2312" w:cs="仿宋_GB2312"/>
                <w:color w:val="auto"/>
                <w:spacing w:val="-2"/>
                <w:sz w:val="24"/>
                <w:highlight w:val="none"/>
                <w:lang w:val="en-US" w:eastAsia="zh-CN"/>
              </w:rPr>
              <w:t>通讯模块</w:t>
            </w:r>
          </w:p>
        </w:tc>
        <w:tc>
          <w:tcPr>
            <w:tcW w:w="1760"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2套</w:t>
            </w:r>
          </w:p>
        </w:tc>
        <w:tc>
          <w:tcPr>
            <w:tcW w:w="1449" w:type="dxa"/>
            <w:tcBorders>
              <w:tl2br w:val="nil"/>
              <w:tr2bl w:val="nil"/>
            </w:tcBorders>
            <w:shd w:val="clear" w:color="auto" w:fill="auto"/>
            <w:noWrap/>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计划标准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141" w:type="dxa"/>
            <w:vMerge w:val="continue"/>
            <w:tcBorders>
              <w:tl2br w:val="nil"/>
              <w:tr2bl w:val="nil"/>
            </w:tcBorders>
            <w:shd w:val="clear" w:color="auto" w:fill="auto"/>
            <w:tcMar>
              <w:top w:w="15" w:type="dxa"/>
              <w:left w:w="15" w:type="dxa"/>
              <w:right w:w="15" w:type="dxa"/>
            </w:tcMar>
            <w:vAlign w:val="center"/>
          </w:tcPr>
          <w:p>
            <w:pPr>
              <w:spacing w:line="360" w:lineRule="auto"/>
              <w:ind w:firstLine="480"/>
              <w:jc w:val="center"/>
              <w:rPr>
                <w:rFonts w:hint="eastAsia" w:ascii="仿宋_GB2312" w:hAnsi="仿宋_GB2312" w:eastAsia="仿宋_GB2312" w:cs="仿宋_GB2312"/>
                <w:color w:val="auto"/>
                <w:sz w:val="24"/>
                <w:highlight w:val="none"/>
              </w:rPr>
            </w:pPr>
          </w:p>
        </w:tc>
        <w:tc>
          <w:tcPr>
            <w:tcW w:w="1269" w:type="dxa"/>
            <w:vMerge w:val="continue"/>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lang w:val="en-US" w:eastAsia="zh-CN"/>
              </w:rPr>
            </w:pPr>
          </w:p>
        </w:tc>
        <w:tc>
          <w:tcPr>
            <w:tcW w:w="3251"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pacing w:val="-2"/>
                <w:sz w:val="24"/>
                <w:highlight w:val="none"/>
                <w:lang w:val="en-US" w:eastAsia="zh-CN"/>
              </w:rPr>
            </w:pPr>
            <w:r>
              <w:rPr>
                <w:rFonts w:hint="eastAsia" w:ascii="仿宋_GB2312" w:hAnsi="仿宋_GB2312" w:eastAsia="仿宋_GB2312" w:cs="仿宋_GB2312"/>
                <w:color w:val="auto"/>
                <w:spacing w:val="-2"/>
                <w:sz w:val="24"/>
                <w:highlight w:val="none"/>
                <w:lang w:val="en-US" w:eastAsia="zh-CN"/>
              </w:rPr>
              <w:t>雨量计</w:t>
            </w:r>
          </w:p>
        </w:tc>
        <w:tc>
          <w:tcPr>
            <w:tcW w:w="1760"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4套</w:t>
            </w:r>
          </w:p>
        </w:tc>
        <w:tc>
          <w:tcPr>
            <w:tcW w:w="1449" w:type="dxa"/>
            <w:tcBorders>
              <w:tl2br w:val="nil"/>
              <w:tr2bl w:val="nil"/>
            </w:tcBorders>
            <w:shd w:val="clear" w:color="auto" w:fill="auto"/>
            <w:noWrap/>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计划标准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141" w:type="dxa"/>
            <w:vMerge w:val="continue"/>
            <w:tcBorders>
              <w:tl2br w:val="nil"/>
              <w:tr2bl w:val="nil"/>
            </w:tcBorders>
            <w:shd w:val="clear" w:color="auto" w:fill="auto"/>
            <w:tcMar>
              <w:top w:w="15" w:type="dxa"/>
              <w:left w:w="15" w:type="dxa"/>
              <w:right w:w="15" w:type="dxa"/>
            </w:tcMar>
            <w:vAlign w:val="center"/>
          </w:tcPr>
          <w:p>
            <w:pPr>
              <w:spacing w:line="360" w:lineRule="auto"/>
              <w:ind w:firstLine="480"/>
              <w:jc w:val="center"/>
              <w:rPr>
                <w:rFonts w:hint="eastAsia" w:ascii="仿宋_GB2312" w:hAnsi="仿宋_GB2312" w:eastAsia="仿宋_GB2312" w:cs="仿宋_GB2312"/>
                <w:color w:val="auto"/>
                <w:sz w:val="24"/>
                <w:highlight w:val="none"/>
              </w:rPr>
            </w:pPr>
          </w:p>
        </w:tc>
        <w:tc>
          <w:tcPr>
            <w:tcW w:w="1269"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质量</w:t>
            </w:r>
          </w:p>
        </w:tc>
        <w:tc>
          <w:tcPr>
            <w:tcW w:w="3251"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pacing w:val="-2"/>
                <w:sz w:val="24"/>
                <w:highlight w:val="none"/>
                <w:lang w:val="en-US" w:eastAsia="zh-CN"/>
              </w:rPr>
              <w:t>设备设施</w:t>
            </w:r>
            <w:r>
              <w:rPr>
                <w:rFonts w:hint="eastAsia" w:ascii="仿宋_GB2312" w:hAnsi="仿宋_GB2312" w:eastAsia="仿宋_GB2312" w:cs="仿宋_GB2312"/>
                <w:color w:val="auto"/>
                <w:spacing w:val="-2"/>
                <w:sz w:val="24"/>
                <w:highlight w:val="none"/>
              </w:rPr>
              <w:t>验</w:t>
            </w:r>
            <w:r>
              <w:rPr>
                <w:rFonts w:hint="eastAsia" w:ascii="仿宋_GB2312" w:hAnsi="仿宋_GB2312" w:eastAsia="仿宋_GB2312" w:cs="仿宋_GB2312"/>
                <w:color w:val="auto"/>
                <w:spacing w:val="-4"/>
                <w:sz w:val="24"/>
                <w:highlight w:val="none"/>
              </w:rPr>
              <w:t>收合格率</w:t>
            </w:r>
          </w:p>
        </w:tc>
        <w:tc>
          <w:tcPr>
            <w:tcW w:w="1760"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100%</w:t>
            </w:r>
          </w:p>
        </w:tc>
        <w:tc>
          <w:tcPr>
            <w:tcW w:w="1449" w:type="dxa"/>
            <w:tcBorders>
              <w:tl2br w:val="nil"/>
              <w:tr2bl w:val="nil"/>
            </w:tcBorders>
            <w:shd w:val="clear" w:color="auto" w:fill="auto"/>
            <w:noWrap/>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国家标准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141" w:type="dxa"/>
            <w:vMerge w:val="continue"/>
            <w:tcBorders>
              <w:tl2br w:val="nil"/>
              <w:tr2bl w:val="nil"/>
            </w:tcBorders>
            <w:shd w:val="clear" w:color="auto" w:fill="auto"/>
            <w:tcMar>
              <w:top w:w="15" w:type="dxa"/>
              <w:left w:w="15" w:type="dxa"/>
              <w:right w:w="15" w:type="dxa"/>
            </w:tcMar>
            <w:vAlign w:val="center"/>
          </w:tcPr>
          <w:p>
            <w:pPr>
              <w:spacing w:line="360" w:lineRule="auto"/>
              <w:ind w:firstLine="480"/>
              <w:jc w:val="center"/>
              <w:rPr>
                <w:rFonts w:hint="eastAsia" w:ascii="仿宋_GB2312" w:hAnsi="仿宋_GB2312" w:eastAsia="仿宋_GB2312" w:cs="仿宋_GB2312"/>
                <w:color w:val="auto"/>
                <w:sz w:val="24"/>
                <w:highlight w:val="none"/>
              </w:rPr>
            </w:pPr>
          </w:p>
        </w:tc>
        <w:tc>
          <w:tcPr>
            <w:tcW w:w="1269"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时效</w:t>
            </w:r>
          </w:p>
        </w:tc>
        <w:tc>
          <w:tcPr>
            <w:tcW w:w="3251"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pacing w:val="-2"/>
                <w:sz w:val="24"/>
                <w:highlight w:val="none"/>
              </w:rPr>
              <w:t>完成及时性</w:t>
            </w:r>
          </w:p>
        </w:tc>
        <w:tc>
          <w:tcPr>
            <w:tcW w:w="1760"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pacing w:val="-2"/>
                <w:sz w:val="24"/>
                <w:highlight w:val="none"/>
              </w:rPr>
              <w:t>2022年11月30日前完成</w:t>
            </w:r>
          </w:p>
        </w:tc>
        <w:tc>
          <w:tcPr>
            <w:tcW w:w="1449" w:type="dxa"/>
            <w:tcBorders>
              <w:tl2br w:val="nil"/>
              <w:tr2bl w:val="nil"/>
            </w:tcBorders>
            <w:shd w:val="clear" w:color="auto" w:fill="auto"/>
            <w:noWrap/>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计划标准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141" w:type="dxa"/>
            <w:vMerge w:val="continue"/>
            <w:tcBorders>
              <w:tl2br w:val="nil"/>
              <w:tr2bl w:val="nil"/>
            </w:tcBorders>
            <w:shd w:val="clear" w:color="auto" w:fill="auto"/>
            <w:tcMar>
              <w:top w:w="15" w:type="dxa"/>
              <w:left w:w="15" w:type="dxa"/>
              <w:right w:w="15" w:type="dxa"/>
            </w:tcMar>
            <w:vAlign w:val="center"/>
          </w:tcPr>
          <w:p>
            <w:pPr>
              <w:spacing w:line="360" w:lineRule="auto"/>
              <w:ind w:firstLine="480"/>
              <w:jc w:val="center"/>
              <w:rPr>
                <w:rFonts w:hint="eastAsia" w:ascii="仿宋_GB2312" w:hAnsi="仿宋_GB2312" w:eastAsia="仿宋_GB2312" w:cs="仿宋_GB2312"/>
                <w:color w:val="auto"/>
                <w:sz w:val="24"/>
                <w:highlight w:val="none"/>
              </w:rPr>
            </w:pPr>
          </w:p>
        </w:tc>
        <w:tc>
          <w:tcPr>
            <w:tcW w:w="1269"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kern w:val="0"/>
                <w:sz w:val="24"/>
                <w:highlight w:val="none"/>
                <w:lang w:bidi="ar"/>
              </w:rPr>
              <w:t>成本</w:t>
            </w:r>
          </w:p>
        </w:tc>
        <w:tc>
          <w:tcPr>
            <w:tcW w:w="3251"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pacing w:val="-2"/>
                <w:sz w:val="24"/>
                <w:highlight w:val="none"/>
              </w:rPr>
              <w:t>加强成本控制，提高生产效率</w:t>
            </w:r>
          </w:p>
        </w:tc>
        <w:tc>
          <w:tcPr>
            <w:tcW w:w="1760"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各环节符合规范</w:t>
            </w:r>
          </w:p>
        </w:tc>
        <w:tc>
          <w:tcPr>
            <w:tcW w:w="1449" w:type="dxa"/>
            <w:tcBorders>
              <w:tl2br w:val="nil"/>
              <w:tr2bl w:val="nil"/>
            </w:tcBorders>
            <w:shd w:val="clear" w:color="auto" w:fill="auto"/>
            <w:noWrap/>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计划标准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7" w:hRule="atLeast"/>
        </w:trPr>
        <w:tc>
          <w:tcPr>
            <w:tcW w:w="1141" w:type="dxa"/>
            <w:vMerge w:val="restart"/>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效果指标</w:t>
            </w:r>
          </w:p>
        </w:tc>
        <w:tc>
          <w:tcPr>
            <w:tcW w:w="1269"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pacing w:val="-2"/>
                <w:sz w:val="24"/>
                <w:highlight w:val="none"/>
              </w:rPr>
            </w:pPr>
            <w:r>
              <w:rPr>
                <w:rFonts w:hint="eastAsia" w:ascii="仿宋_GB2312" w:hAnsi="仿宋_GB2312" w:eastAsia="仿宋_GB2312" w:cs="仿宋_GB2312"/>
                <w:color w:val="auto"/>
                <w:spacing w:val="-2"/>
                <w:sz w:val="24"/>
                <w:highlight w:val="none"/>
                <w:lang w:val="en-US" w:eastAsia="zh-CN"/>
              </w:rPr>
              <w:t>经济效益</w:t>
            </w:r>
          </w:p>
        </w:tc>
        <w:tc>
          <w:tcPr>
            <w:tcW w:w="3251"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pacing w:val="-2"/>
                <w:sz w:val="24"/>
                <w:highlight w:val="none"/>
              </w:rPr>
            </w:pPr>
            <w:r>
              <w:rPr>
                <w:rFonts w:hint="eastAsia" w:ascii="仿宋_GB2312" w:hAnsi="仿宋_GB2312" w:eastAsia="仿宋_GB2312" w:cs="仿宋_GB2312"/>
                <w:color w:val="auto"/>
                <w:spacing w:val="-2"/>
                <w:sz w:val="24"/>
                <w:highlight w:val="none"/>
                <w:lang w:val="en-US" w:eastAsia="zh-CN"/>
              </w:rPr>
              <w:t>保障防洪工程安全度汛</w:t>
            </w:r>
          </w:p>
        </w:tc>
        <w:tc>
          <w:tcPr>
            <w:tcW w:w="1760"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提升</w:t>
            </w:r>
          </w:p>
        </w:tc>
        <w:tc>
          <w:tcPr>
            <w:tcW w:w="1449" w:type="dxa"/>
            <w:tcBorders>
              <w:tl2br w:val="nil"/>
              <w:tr2bl w:val="nil"/>
            </w:tcBorders>
            <w:shd w:val="clear" w:color="auto" w:fill="auto"/>
            <w:noWrap/>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计划标准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rPr>
        <w:tc>
          <w:tcPr>
            <w:tcW w:w="1141" w:type="dxa"/>
            <w:vMerge w:val="continue"/>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rPr>
            </w:pPr>
          </w:p>
        </w:tc>
        <w:tc>
          <w:tcPr>
            <w:tcW w:w="1269"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pacing w:val="-2"/>
                <w:sz w:val="24"/>
                <w:highlight w:val="none"/>
              </w:rPr>
            </w:pPr>
            <w:r>
              <w:rPr>
                <w:rFonts w:hint="eastAsia" w:ascii="仿宋_GB2312" w:hAnsi="仿宋_GB2312" w:eastAsia="仿宋_GB2312" w:cs="仿宋_GB2312"/>
                <w:color w:val="auto"/>
                <w:spacing w:val="-2"/>
                <w:sz w:val="24"/>
                <w:highlight w:val="none"/>
                <w:lang w:val="en-US" w:eastAsia="zh-CN"/>
              </w:rPr>
              <w:t>生态效益</w:t>
            </w:r>
          </w:p>
        </w:tc>
        <w:tc>
          <w:tcPr>
            <w:tcW w:w="3251"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pacing w:val="-2"/>
                <w:sz w:val="24"/>
                <w:highlight w:val="none"/>
              </w:rPr>
            </w:pPr>
            <w:r>
              <w:rPr>
                <w:rFonts w:hint="eastAsia" w:ascii="仿宋_GB2312" w:hAnsi="仿宋_GB2312" w:eastAsia="仿宋_GB2312" w:cs="仿宋_GB2312"/>
                <w:color w:val="auto"/>
                <w:spacing w:val="-2"/>
                <w:sz w:val="24"/>
                <w:highlight w:val="none"/>
                <w:lang w:val="en-US" w:eastAsia="zh-CN"/>
              </w:rPr>
              <w:t>促进地区生态和谐发展</w:t>
            </w:r>
          </w:p>
        </w:tc>
        <w:tc>
          <w:tcPr>
            <w:tcW w:w="1760"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i w:val="0"/>
                <w:iCs w:val="0"/>
                <w:color w:val="000000"/>
                <w:kern w:val="2"/>
                <w:sz w:val="16"/>
                <w:szCs w:val="16"/>
                <w:u w:val="none"/>
                <w:lang w:val="en-US" w:eastAsia="zh-CN" w:bidi="ar-SA"/>
              </w:rPr>
            </w:pPr>
            <w:r>
              <w:rPr>
                <w:rFonts w:hint="eastAsia" w:ascii="仿宋_GB2312" w:hAnsi="仿宋_GB2312" w:eastAsia="仿宋_GB2312" w:cs="仿宋_GB2312"/>
                <w:color w:val="auto"/>
                <w:sz w:val="24"/>
                <w:highlight w:val="none"/>
              </w:rPr>
              <w:t>提升</w:t>
            </w:r>
          </w:p>
        </w:tc>
        <w:tc>
          <w:tcPr>
            <w:tcW w:w="1449" w:type="dxa"/>
            <w:tcBorders>
              <w:tl2br w:val="nil"/>
              <w:tr2bl w:val="nil"/>
            </w:tcBorders>
            <w:shd w:val="clear" w:color="auto" w:fill="auto"/>
            <w:noWrap/>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计划标准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rPr>
        <w:tc>
          <w:tcPr>
            <w:tcW w:w="1141" w:type="dxa"/>
            <w:vMerge w:val="continue"/>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rPr>
            </w:pPr>
          </w:p>
        </w:tc>
        <w:tc>
          <w:tcPr>
            <w:tcW w:w="1269" w:type="dxa"/>
            <w:vMerge w:val="restart"/>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kern w:val="0"/>
                <w:sz w:val="24"/>
                <w:highlight w:val="none"/>
                <w:lang w:bidi="ar"/>
              </w:rPr>
              <w:t>社会效益</w:t>
            </w:r>
          </w:p>
        </w:tc>
        <w:tc>
          <w:tcPr>
            <w:tcW w:w="3251"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pacing w:val="-4"/>
                <w:sz w:val="24"/>
                <w:highlight w:val="none"/>
                <w:lang w:val="en-US" w:eastAsia="zh-CN"/>
              </w:rPr>
              <w:t>保障人民群众</w:t>
            </w:r>
            <w:r>
              <w:rPr>
                <w:rFonts w:hint="eastAsia" w:ascii="仿宋_GB2312" w:hAnsi="仿宋_GB2312" w:eastAsia="仿宋_GB2312" w:cs="仿宋_GB2312"/>
                <w:color w:val="auto"/>
                <w:spacing w:val="-2"/>
                <w:sz w:val="24"/>
                <w:highlight w:val="none"/>
                <w:lang w:val="en-US" w:eastAsia="zh-CN"/>
              </w:rPr>
              <w:t>居住环境</w:t>
            </w:r>
          </w:p>
        </w:tc>
        <w:tc>
          <w:tcPr>
            <w:tcW w:w="1760"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提升</w:t>
            </w:r>
          </w:p>
        </w:tc>
        <w:tc>
          <w:tcPr>
            <w:tcW w:w="1449" w:type="dxa"/>
            <w:tcBorders>
              <w:tl2br w:val="nil"/>
              <w:tr2bl w:val="nil"/>
            </w:tcBorders>
            <w:shd w:val="clear" w:color="auto" w:fill="auto"/>
            <w:noWrap/>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计划标准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141" w:type="dxa"/>
            <w:vMerge w:val="continue"/>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rPr>
            </w:pPr>
          </w:p>
        </w:tc>
        <w:tc>
          <w:tcPr>
            <w:tcW w:w="1269" w:type="dxa"/>
            <w:vMerge w:val="continue"/>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kern w:val="0"/>
                <w:sz w:val="24"/>
                <w:highlight w:val="none"/>
                <w:lang w:bidi="ar"/>
              </w:rPr>
            </w:pPr>
          </w:p>
        </w:tc>
        <w:tc>
          <w:tcPr>
            <w:tcW w:w="3251"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pacing w:val="-4"/>
                <w:sz w:val="24"/>
                <w:highlight w:val="none"/>
                <w:lang w:val="en-US" w:eastAsia="zh-CN"/>
              </w:rPr>
              <w:t>保障人民群众生命财产</w:t>
            </w:r>
            <w:r>
              <w:rPr>
                <w:rFonts w:hint="eastAsia" w:ascii="仿宋_GB2312" w:hAnsi="仿宋_GB2312" w:eastAsia="仿宋_GB2312" w:cs="仿宋_GB2312"/>
                <w:color w:val="auto"/>
                <w:spacing w:val="-2"/>
                <w:sz w:val="24"/>
                <w:highlight w:val="none"/>
                <w:lang w:val="en-US" w:eastAsia="zh-CN"/>
              </w:rPr>
              <w:t>安全</w:t>
            </w:r>
          </w:p>
        </w:tc>
        <w:tc>
          <w:tcPr>
            <w:tcW w:w="1760"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提升</w:t>
            </w:r>
          </w:p>
        </w:tc>
        <w:tc>
          <w:tcPr>
            <w:tcW w:w="1449" w:type="dxa"/>
            <w:tcBorders>
              <w:tl2br w:val="nil"/>
              <w:tr2bl w:val="nil"/>
            </w:tcBorders>
            <w:shd w:val="clear" w:color="auto" w:fill="auto"/>
            <w:noWrap/>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计划标准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rPr>
        <w:tc>
          <w:tcPr>
            <w:tcW w:w="1141" w:type="dxa"/>
            <w:vMerge w:val="continue"/>
            <w:tcBorders>
              <w:tl2br w:val="nil"/>
              <w:tr2bl w:val="nil"/>
            </w:tcBorders>
            <w:shd w:val="clear" w:color="auto" w:fill="auto"/>
            <w:tcMar>
              <w:top w:w="15" w:type="dxa"/>
              <w:left w:w="15" w:type="dxa"/>
              <w:right w:w="15" w:type="dxa"/>
            </w:tcMar>
            <w:vAlign w:val="center"/>
          </w:tcPr>
          <w:p>
            <w:pPr>
              <w:spacing w:line="360" w:lineRule="auto"/>
              <w:ind w:firstLine="480"/>
              <w:jc w:val="center"/>
              <w:rPr>
                <w:rFonts w:hint="eastAsia" w:ascii="仿宋_GB2312" w:hAnsi="仿宋_GB2312" w:eastAsia="仿宋_GB2312" w:cs="仿宋_GB2312"/>
                <w:color w:val="auto"/>
                <w:sz w:val="24"/>
                <w:highlight w:val="none"/>
              </w:rPr>
            </w:pPr>
          </w:p>
        </w:tc>
        <w:tc>
          <w:tcPr>
            <w:tcW w:w="1269"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kern w:val="0"/>
                <w:sz w:val="24"/>
                <w:highlight w:val="none"/>
                <w:lang w:bidi="ar"/>
              </w:rPr>
              <w:t>可持续性</w:t>
            </w:r>
          </w:p>
        </w:tc>
        <w:tc>
          <w:tcPr>
            <w:tcW w:w="3251" w:type="dxa"/>
            <w:tcBorders>
              <w:tl2br w:val="nil"/>
              <w:tr2bl w:val="nil"/>
            </w:tcBorders>
            <w:shd w:val="clear" w:color="auto" w:fill="auto"/>
            <w:tcMar>
              <w:top w:w="15" w:type="dxa"/>
              <w:left w:w="15" w:type="dxa"/>
              <w:right w:w="15" w:type="dxa"/>
            </w:tcMar>
            <w:vAlign w:val="center"/>
          </w:tcPr>
          <w:p>
            <w:pPr>
              <w:widowControl/>
              <w:spacing w:line="360" w:lineRule="auto"/>
              <w:ind w:firstLine="0" w:firstLineChars="0"/>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pacing w:val="-2"/>
                <w:sz w:val="24"/>
                <w:highlight w:val="none"/>
                <w:lang w:val="en-US" w:eastAsia="zh-CN"/>
              </w:rPr>
              <w:t>为</w:t>
            </w:r>
            <w:r>
              <w:rPr>
                <w:rFonts w:hint="eastAsia" w:ascii="仿宋_GB2312" w:hAnsi="仿宋_GB2312" w:eastAsia="仿宋_GB2312" w:cs="仿宋_GB2312"/>
                <w:color w:val="auto"/>
                <w:spacing w:val="-2"/>
                <w:sz w:val="24"/>
                <w:highlight w:val="none"/>
              </w:rPr>
              <w:t>国民经济持续健康发展和社会稳定提供安全保障</w:t>
            </w:r>
          </w:p>
        </w:tc>
        <w:tc>
          <w:tcPr>
            <w:tcW w:w="1760"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发生工程设计标准内洪水不受严重影响</w:t>
            </w:r>
          </w:p>
        </w:tc>
        <w:tc>
          <w:tcPr>
            <w:tcW w:w="1449" w:type="dxa"/>
            <w:tcBorders>
              <w:tl2br w:val="nil"/>
              <w:tr2bl w:val="nil"/>
            </w:tcBorders>
            <w:shd w:val="clear" w:color="auto" w:fill="auto"/>
            <w:noWrap/>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计划标准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rPr>
        <w:tc>
          <w:tcPr>
            <w:tcW w:w="1141" w:type="dxa"/>
            <w:vMerge w:val="restart"/>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满意度指标</w:t>
            </w:r>
          </w:p>
        </w:tc>
        <w:tc>
          <w:tcPr>
            <w:tcW w:w="1269" w:type="dxa"/>
            <w:vMerge w:val="restart"/>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kern w:val="0"/>
                <w:sz w:val="24"/>
                <w:highlight w:val="none"/>
                <w:lang w:bidi="ar"/>
              </w:rPr>
            </w:pPr>
            <w:r>
              <w:rPr>
                <w:rFonts w:hint="eastAsia" w:ascii="仿宋_GB2312" w:hAnsi="仿宋_GB2312" w:eastAsia="仿宋_GB2312" w:cs="仿宋_GB2312"/>
                <w:color w:val="auto"/>
                <w:kern w:val="0"/>
                <w:sz w:val="24"/>
                <w:highlight w:val="none"/>
                <w:lang w:bidi="ar"/>
              </w:rPr>
              <w:t>服务对象满意度指标</w:t>
            </w:r>
          </w:p>
        </w:tc>
        <w:tc>
          <w:tcPr>
            <w:tcW w:w="3251"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kern w:val="0"/>
                <w:sz w:val="24"/>
                <w:highlight w:val="none"/>
                <w:lang w:bidi="ar"/>
              </w:rPr>
            </w:pPr>
            <w:r>
              <w:rPr>
                <w:rFonts w:hint="eastAsia" w:ascii="仿宋_GB2312" w:hAnsi="仿宋_GB2312" w:eastAsia="仿宋_GB2312" w:cs="仿宋_GB2312"/>
                <w:color w:val="auto"/>
                <w:kern w:val="0"/>
                <w:sz w:val="24"/>
                <w:highlight w:val="none"/>
                <w:lang w:val="en-US" w:eastAsia="zh-CN" w:bidi="ar"/>
              </w:rPr>
              <w:t>上级主管部门满意度</w:t>
            </w:r>
          </w:p>
        </w:tc>
        <w:tc>
          <w:tcPr>
            <w:tcW w:w="1760"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kern w:val="0"/>
                <w:sz w:val="24"/>
                <w:highlight w:val="none"/>
                <w:lang w:bidi="ar"/>
              </w:rPr>
            </w:pPr>
            <w:r>
              <w:rPr>
                <w:rFonts w:hint="eastAsia" w:ascii="仿宋_GB2312" w:hAnsi="仿宋_GB2312" w:eastAsia="仿宋_GB2312" w:cs="仿宋_GB2312"/>
                <w:color w:val="auto"/>
                <w:kern w:val="0"/>
                <w:sz w:val="24"/>
                <w:highlight w:val="none"/>
                <w:lang w:val="en-US" w:eastAsia="zh-CN" w:bidi="ar"/>
              </w:rPr>
              <w:t>≥90%</w:t>
            </w:r>
          </w:p>
        </w:tc>
        <w:tc>
          <w:tcPr>
            <w:tcW w:w="1449" w:type="dxa"/>
            <w:tcBorders>
              <w:tl2br w:val="nil"/>
              <w:tr2bl w:val="nil"/>
            </w:tcBorders>
            <w:shd w:val="clear" w:color="auto" w:fill="auto"/>
            <w:noWrap/>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计划标准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rPr>
        <w:tc>
          <w:tcPr>
            <w:tcW w:w="1141" w:type="dxa"/>
            <w:vMerge w:val="continue"/>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rPr>
            </w:pPr>
          </w:p>
        </w:tc>
        <w:tc>
          <w:tcPr>
            <w:tcW w:w="1269" w:type="dxa"/>
            <w:vMerge w:val="continue"/>
            <w:tcBorders>
              <w:tl2br w:val="nil"/>
              <w:tr2bl w:val="nil"/>
            </w:tcBorders>
            <w:shd w:val="clear" w:color="auto" w:fill="auto"/>
            <w:tcMar>
              <w:top w:w="15" w:type="dxa"/>
              <w:left w:w="15" w:type="dxa"/>
              <w:right w:w="15" w:type="dxa"/>
            </w:tcMar>
            <w:vAlign w:val="center"/>
          </w:tcPr>
          <w:p>
            <w:pPr>
              <w:spacing w:line="360" w:lineRule="auto"/>
              <w:ind w:left="0" w:leftChars="0" w:firstLine="0" w:firstLineChars="0"/>
              <w:jc w:val="both"/>
              <w:rPr>
                <w:rFonts w:hint="eastAsia" w:ascii="仿宋_GB2312" w:hAnsi="仿宋_GB2312" w:eastAsia="仿宋_GB2312" w:cs="仿宋_GB2312"/>
                <w:color w:val="auto"/>
                <w:sz w:val="24"/>
                <w:highlight w:val="none"/>
              </w:rPr>
            </w:pPr>
          </w:p>
        </w:tc>
        <w:tc>
          <w:tcPr>
            <w:tcW w:w="3251"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kern w:val="0"/>
                <w:sz w:val="24"/>
                <w:highlight w:val="none"/>
                <w:lang w:bidi="ar"/>
              </w:rPr>
            </w:pPr>
            <w:r>
              <w:rPr>
                <w:rFonts w:hint="eastAsia" w:ascii="仿宋_GB2312" w:hAnsi="仿宋_GB2312" w:eastAsia="仿宋_GB2312" w:cs="仿宋_GB2312"/>
                <w:color w:val="auto"/>
                <w:kern w:val="0"/>
                <w:sz w:val="24"/>
                <w:highlight w:val="none"/>
                <w:lang w:val="en-US" w:eastAsia="zh-CN" w:bidi="ar"/>
              </w:rPr>
              <w:t>服务群众满意度</w:t>
            </w:r>
          </w:p>
        </w:tc>
        <w:tc>
          <w:tcPr>
            <w:tcW w:w="1760"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kern w:val="0"/>
                <w:sz w:val="24"/>
                <w:highlight w:val="none"/>
                <w:lang w:val="en-US" w:eastAsia="zh-CN" w:bidi="ar"/>
              </w:rPr>
            </w:pPr>
            <w:r>
              <w:rPr>
                <w:rFonts w:hint="eastAsia" w:ascii="仿宋_GB2312" w:hAnsi="仿宋_GB2312" w:eastAsia="仿宋_GB2312" w:cs="仿宋_GB2312"/>
                <w:color w:val="auto"/>
                <w:kern w:val="0"/>
                <w:sz w:val="24"/>
                <w:highlight w:val="none"/>
                <w:lang w:val="en-US" w:eastAsia="zh-CN" w:bidi="ar"/>
              </w:rPr>
              <w:t>≥90%</w:t>
            </w:r>
          </w:p>
        </w:tc>
        <w:tc>
          <w:tcPr>
            <w:tcW w:w="1449" w:type="dxa"/>
            <w:tcBorders>
              <w:tl2br w:val="nil"/>
              <w:tr2bl w:val="nil"/>
            </w:tcBorders>
            <w:shd w:val="clear" w:color="auto" w:fill="auto"/>
            <w:noWrap/>
            <w:tcMar>
              <w:top w:w="15" w:type="dxa"/>
              <w:left w:w="15" w:type="dxa"/>
              <w:right w:w="15" w:type="dxa"/>
            </w:tcMar>
            <w:vAlign w:val="center"/>
          </w:tcPr>
          <w:p>
            <w:pPr>
              <w:spacing w:line="360" w:lineRule="auto"/>
              <w:ind w:firstLine="0" w:firstLineChars="0"/>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计划标准</w:t>
            </w:r>
          </w:p>
        </w:tc>
      </w:tr>
    </w:tbl>
    <w:p>
      <w:pPr>
        <w:pStyle w:val="3"/>
        <w:spacing w:before="312" w:beforeLines="100" w:beforeAutospacing="0" w:afterAutospacing="0" w:line="580" w:lineRule="exact"/>
        <w:ind w:firstLine="643"/>
        <w:jc w:val="both"/>
        <w:rPr>
          <w:rFonts w:hint="default" w:ascii="Times New Roman" w:hAnsi="Times New Roman" w:eastAsia="楷体_GB2312" w:cs="Times New Roman"/>
          <w:color w:val="auto"/>
          <w:sz w:val="32"/>
          <w:szCs w:val="32"/>
          <w:highlight w:val="none"/>
        </w:rPr>
      </w:pPr>
      <w:bookmarkStart w:id="5" w:name="_Toc4453"/>
      <w:r>
        <w:rPr>
          <w:rFonts w:hint="default" w:ascii="Times New Roman" w:hAnsi="Times New Roman" w:eastAsia="楷体_GB2312" w:cs="Times New Roman"/>
          <w:color w:val="auto"/>
          <w:sz w:val="32"/>
          <w:szCs w:val="32"/>
          <w:highlight w:val="none"/>
        </w:rPr>
        <w:t>（四）项目预算及计划实施内容</w:t>
      </w:r>
      <w:bookmarkEnd w:id="5"/>
    </w:p>
    <w:p>
      <w:pPr>
        <w:spacing w:line="580" w:lineRule="exact"/>
        <w:ind w:firstLine="640"/>
        <w:rPr>
          <w:rFonts w:hint="default" w:ascii="Times New Roman" w:hAnsi="Times New Roman" w:cs="Times New Roman"/>
          <w:color w:val="auto"/>
          <w:szCs w:val="32"/>
          <w:highlight w:val="none"/>
        </w:rPr>
      </w:pPr>
      <w:r>
        <w:rPr>
          <w:rFonts w:hint="eastAsia" w:ascii="Times New Roman" w:hAnsi="Times New Roman" w:cs="Times New Roman"/>
          <w:color w:val="auto"/>
          <w:szCs w:val="32"/>
          <w:highlight w:val="none"/>
          <w:lang w:eastAsia="zh-CN"/>
        </w:rPr>
        <w:t>2022年山洪灾害防治非工程措施设施维修养护</w:t>
      </w:r>
      <w:r>
        <w:rPr>
          <w:rFonts w:hint="default" w:ascii="Times New Roman" w:hAnsi="Times New Roman" w:cs="Times New Roman"/>
          <w:color w:val="auto"/>
          <w:szCs w:val="32"/>
          <w:highlight w:val="none"/>
        </w:rPr>
        <w:t>项目实施内容为：</w:t>
      </w:r>
      <w:r>
        <w:rPr>
          <w:rFonts w:hint="eastAsia" w:ascii="Times New Roman" w:hAnsi="Times New Roman" w:cs="Times New Roman"/>
          <w:color w:val="auto"/>
          <w:szCs w:val="32"/>
          <w:highlight w:val="none"/>
          <w:lang w:val="en-US" w:eastAsia="zh-CN"/>
        </w:rPr>
        <w:t>采购</w:t>
      </w:r>
      <w:r>
        <w:rPr>
          <w:rFonts w:hint="eastAsia" w:ascii="Times New Roman" w:hAnsi="Times New Roman" w:cs="Times New Roman"/>
          <w:color w:val="auto"/>
          <w:szCs w:val="32"/>
          <w:highlight w:val="none"/>
          <w:lang w:eastAsia="zh-CN"/>
        </w:rPr>
        <w:t>山洪灾害防治非工程措施</w:t>
      </w:r>
      <w:r>
        <w:rPr>
          <w:rFonts w:hint="eastAsia" w:ascii="Times New Roman" w:hAnsi="Times New Roman" w:cs="Times New Roman"/>
          <w:color w:val="auto"/>
          <w:szCs w:val="32"/>
          <w:highlight w:val="none"/>
          <w:lang w:val="en-US" w:eastAsia="zh-CN"/>
        </w:rPr>
        <w:t>相关设备设施及安装调试</w:t>
      </w:r>
      <w:r>
        <w:rPr>
          <w:rFonts w:hint="default" w:ascii="Times New Roman" w:hAnsi="Times New Roman" w:cs="Times New Roman"/>
          <w:color w:val="auto"/>
          <w:szCs w:val="32"/>
          <w:highlight w:val="none"/>
        </w:rPr>
        <w:t>，</w:t>
      </w:r>
      <w:r>
        <w:rPr>
          <w:rFonts w:hint="default" w:ascii="Times New Roman" w:hAnsi="Times New Roman" w:cs="Times New Roman"/>
          <w:color w:val="auto"/>
          <w:szCs w:val="32"/>
          <w:highlight w:val="none"/>
          <w:shd w:val="clear" w:color="auto" w:fill="auto"/>
        </w:rPr>
        <w:t>具体指：液压油管修复、液压油、应急发电机组维修、应急发电机组动力发动机保养、油路电磁阀门保养、太阳能蓄电池、户外LED显示模块、户外LED模组专用电源及线材、会议室LED显示屏控制卡、会议室LED显示屏发送卡和接收卡、会议室LED显示屏编辑软件、会议室拼接屏视频处理器、RTU采集终端、通讯模块、雨量计</w:t>
      </w:r>
      <w:r>
        <w:rPr>
          <w:rFonts w:hint="eastAsia" w:ascii="Times New Roman" w:hAnsi="Times New Roman" w:cs="Times New Roman"/>
          <w:color w:val="auto"/>
          <w:szCs w:val="32"/>
          <w:highlight w:val="none"/>
          <w:shd w:val="clear" w:color="auto" w:fill="auto"/>
          <w:lang w:val="en-US" w:eastAsia="zh-CN"/>
        </w:rPr>
        <w:t>等</w:t>
      </w:r>
      <w:r>
        <w:rPr>
          <w:rFonts w:hint="default" w:ascii="Times New Roman" w:hAnsi="Times New Roman" w:cs="Times New Roman"/>
          <w:color w:val="auto"/>
          <w:szCs w:val="32"/>
          <w:highlight w:val="none"/>
          <w:shd w:val="clear" w:color="auto" w:fill="auto"/>
        </w:rPr>
        <w:t>。</w:t>
      </w:r>
      <w:r>
        <w:rPr>
          <w:rFonts w:hint="default" w:ascii="Times New Roman" w:hAnsi="Times New Roman" w:cs="Times New Roman"/>
          <w:color w:val="auto"/>
          <w:szCs w:val="32"/>
          <w:highlight w:val="none"/>
        </w:rPr>
        <w:t>根据</w:t>
      </w:r>
      <w:r>
        <w:rPr>
          <w:rFonts w:hint="eastAsia" w:ascii="Times New Roman" w:hAnsi="Times New Roman" w:cs="Times New Roman"/>
          <w:color w:val="auto"/>
          <w:highlight w:val="none"/>
          <w:lang w:eastAsia="zh-CN"/>
        </w:rPr>
        <w:t>四川省财政厅</w:t>
      </w:r>
      <w:r>
        <w:rPr>
          <w:rFonts w:hint="eastAsia" w:ascii="Times New Roman" w:hAnsi="Times New Roman" w:cs="Times New Roman"/>
          <w:color w:val="auto"/>
          <w:highlight w:val="none"/>
          <w:lang w:val="en-US" w:eastAsia="zh-CN"/>
        </w:rPr>
        <w:t xml:space="preserve"> </w:t>
      </w:r>
      <w:r>
        <w:rPr>
          <w:rFonts w:hint="eastAsia" w:ascii="Times New Roman" w:hAnsi="Times New Roman" w:cs="Times New Roman"/>
          <w:color w:val="auto"/>
          <w:highlight w:val="none"/>
          <w:lang w:eastAsia="zh-CN"/>
        </w:rPr>
        <w:t>四川省水利厅《关于下达2022年中央和省级水利发展资金的通知》（川财农〔2022〕9号），2022年中央和省级水利发展资金安排表中</w:t>
      </w:r>
      <w:r>
        <w:rPr>
          <w:rFonts w:hint="eastAsia" w:ascii="Times New Roman" w:hAnsi="Times New Roman" w:cs="Times New Roman"/>
          <w:color w:val="auto"/>
          <w:szCs w:val="32"/>
          <w:highlight w:val="none"/>
          <w:lang w:eastAsia="zh-CN"/>
        </w:rPr>
        <w:t>“德阳市罗江区山洪灾害防治非工程措施设施维修养护”</w:t>
      </w:r>
      <w:r>
        <w:rPr>
          <w:rFonts w:hint="eastAsia" w:ascii="Times New Roman" w:hAnsi="Times New Roman" w:cs="Times New Roman"/>
          <w:color w:val="auto"/>
          <w:szCs w:val="32"/>
          <w:highlight w:val="none"/>
          <w:lang w:val="en-US" w:eastAsia="zh-CN"/>
        </w:rPr>
        <w:t>项目，</w:t>
      </w:r>
      <w:r>
        <w:rPr>
          <w:rFonts w:hint="default" w:ascii="Times New Roman" w:hAnsi="Times New Roman" w:cs="Times New Roman"/>
          <w:color w:val="auto"/>
          <w:szCs w:val="32"/>
          <w:highlight w:val="none"/>
        </w:rPr>
        <w:t>安排的预算资金总额为</w:t>
      </w:r>
      <w:r>
        <w:rPr>
          <w:rFonts w:hint="eastAsia" w:ascii="Times New Roman" w:hAnsi="Times New Roman" w:cs="Times New Roman"/>
          <w:color w:val="auto"/>
          <w:szCs w:val="32"/>
          <w:highlight w:val="none"/>
          <w:lang w:val="en-US" w:eastAsia="zh-CN"/>
        </w:rPr>
        <w:t>15</w:t>
      </w:r>
      <w:r>
        <w:rPr>
          <w:rFonts w:hint="default" w:ascii="Times New Roman" w:hAnsi="Times New Roman" w:cs="Times New Roman"/>
          <w:color w:val="auto"/>
          <w:szCs w:val="32"/>
          <w:highlight w:val="none"/>
        </w:rPr>
        <w:t>万元。</w:t>
      </w:r>
    </w:p>
    <w:p>
      <w:pPr>
        <w:pStyle w:val="3"/>
        <w:spacing w:beforeAutospacing="0" w:afterAutospacing="0" w:line="580" w:lineRule="exact"/>
        <w:ind w:firstLine="643"/>
        <w:jc w:val="both"/>
        <w:rPr>
          <w:rFonts w:hint="default" w:ascii="Times New Roman" w:hAnsi="Times New Roman" w:eastAsia="楷体_GB2312" w:cs="Times New Roman"/>
          <w:color w:val="auto"/>
          <w:sz w:val="32"/>
          <w:szCs w:val="32"/>
          <w:highlight w:val="none"/>
        </w:rPr>
      </w:pPr>
      <w:bookmarkStart w:id="6" w:name="_Toc3141"/>
      <w:r>
        <w:rPr>
          <w:rFonts w:hint="default" w:ascii="Times New Roman" w:hAnsi="Times New Roman" w:eastAsia="楷体_GB2312" w:cs="Times New Roman"/>
          <w:color w:val="auto"/>
          <w:sz w:val="32"/>
          <w:szCs w:val="32"/>
          <w:highlight w:val="none"/>
        </w:rPr>
        <w:t>（五）预算执行及实施情况</w:t>
      </w:r>
      <w:bookmarkEnd w:id="6"/>
    </w:p>
    <w:p>
      <w:pPr>
        <w:spacing w:line="580" w:lineRule="exact"/>
        <w:ind w:firstLine="643"/>
        <w:outlineLvl w:val="2"/>
        <w:rPr>
          <w:rFonts w:hint="default" w:ascii="Times New Roman" w:hAnsi="Times New Roman" w:cs="Times New Roman"/>
          <w:b/>
          <w:bCs/>
          <w:color w:val="auto"/>
          <w:szCs w:val="32"/>
          <w:highlight w:val="none"/>
        </w:rPr>
      </w:pPr>
      <w:r>
        <w:rPr>
          <w:rFonts w:hint="default" w:ascii="Times New Roman" w:hAnsi="Times New Roman" w:cs="Times New Roman"/>
          <w:b/>
          <w:bCs/>
          <w:color w:val="auto"/>
          <w:szCs w:val="32"/>
          <w:highlight w:val="none"/>
        </w:rPr>
        <w:t>1.项目资金使用情况</w:t>
      </w:r>
    </w:p>
    <w:p>
      <w:pPr>
        <w:spacing w:line="580" w:lineRule="exact"/>
        <w:ind w:firstLine="640"/>
        <w:rPr>
          <w:rFonts w:hint="default" w:ascii="Times New Roman" w:hAnsi="Times New Roman" w:cs="Times New Roman"/>
          <w:color w:val="auto"/>
          <w:szCs w:val="32"/>
          <w:highlight w:val="none"/>
        </w:rPr>
      </w:pPr>
      <w:bookmarkStart w:id="7" w:name="_Hlk118752362"/>
      <w:r>
        <w:rPr>
          <w:rFonts w:hint="default" w:ascii="Times New Roman" w:hAnsi="Times New Roman" w:cs="Times New Roman"/>
          <w:color w:val="auto"/>
          <w:szCs w:val="32"/>
          <w:highlight w:val="none"/>
        </w:rPr>
        <w:t>经查阅</w:t>
      </w:r>
      <w:r>
        <w:rPr>
          <w:rFonts w:hint="eastAsia" w:ascii="Times New Roman" w:hAnsi="Times New Roman" w:cs="Times New Roman"/>
          <w:color w:val="auto"/>
          <w:szCs w:val="32"/>
          <w:highlight w:val="none"/>
          <w:lang w:eastAsia="zh-CN"/>
        </w:rPr>
        <w:t>“</w:t>
      </w:r>
      <w:r>
        <w:rPr>
          <w:rFonts w:hint="eastAsia" w:ascii="Times New Roman" w:hAnsi="Times New Roman" w:cs="Times New Roman"/>
          <w:color w:val="auto"/>
          <w:highlight w:val="none"/>
          <w:lang w:eastAsia="zh-CN"/>
        </w:rPr>
        <w:t>2022年山洪灾害防治非工程措施设施维修养护</w:t>
      </w:r>
      <w:r>
        <w:rPr>
          <w:rFonts w:hint="eastAsia" w:ascii="Times New Roman" w:hAnsi="Times New Roman" w:cs="Times New Roman"/>
          <w:color w:val="auto"/>
          <w:szCs w:val="32"/>
          <w:highlight w:val="none"/>
          <w:lang w:eastAsia="zh-CN"/>
        </w:rPr>
        <w:t>”</w:t>
      </w:r>
      <w:r>
        <w:rPr>
          <w:rFonts w:hint="default" w:ascii="Times New Roman" w:hAnsi="Times New Roman" w:cs="Times New Roman"/>
          <w:color w:val="auto"/>
          <w:szCs w:val="32"/>
          <w:highlight w:val="none"/>
        </w:rPr>
        <w:t>项目支出</w:t>
      </w:r>
      <w:r>
        <w:rPr>
          <w:rFonts w:hint="eastAsia" w:ascii="Times New Roman" w:hAnsi="Times New Roman" w:cs="Times New Roman"/>
          <w:color w:val="auto"/>
          <w:szCs w:val="32"/>
          <w:highlight w:val="none"/>
          <w:lang w:val="en-US" w:eastAsia="zh-CN"/>
        </w:rPr>
        <w:t>会议纪要</w:t>
      </w:r>
      <w:r>
        <w:rPr>
          <w:rFonts w:hint="default" w:ascii="Times New Roman" w:hAnsi="Times New Roman" w:cs="Times New Roman"/>
          <w:color w:val="auto"/>
          <w:szCs w:val="32"/>
          <w:highlight w:val="none"/>
        </w:rPr>
        <w:t>、</w:t>
      </w:r>
      <w:r>
        <w:rPr>
          <w:rFonts w:hint="eastAsia" w:ascii="Times New Roman" w:hAnsi="Times New Roman" w:cs="Times New Roman"/>
          <w:color w:val="auto"/>
          <w:szCs w:val="32"/>
          <w:highlight w:val="none"/>
          <w:lang w:val="en-US" w:eastAsia="zh-CN"/>
        </w:rPr>
        <w:t>合同费付款审签单、付款申请函、发票等</w:t>
      </w:r>
      <w:r>
        <w:rPr>
          <w:rFonts w:hint="default" w:ascii="Times New Roman" w:hAnsi="Times New Roman" w:cs="Times New Roman"/>
          <w:color w:val="auto"/>
          <w:szCs w:val="32"/>
          <w:highlight w:val="none"/>
        </w:rPr>
        <w:t>相关财务资料，</w:t>
      </w:r>
      <w:r>
        <w:rPr>
          <w:rFonts w:hint="eastAsia" w:ascii="Times New Roman" w:hAnsi="Times New Roman" w:cs="Times New Roman"/>
          <w:color w:val="auto"/>
          <w:szCs w:val="32"/>
          <w:highlight w:val="none"/>
          <w:lang w:val="en-US" w:eastAsia="zh-CN"/>
        </w:rPr>
        <w:t>合同签订金额：96,020.00元，结算方式：完成合同要求工作并经过甲方验收后，支付总费用的97%，质保金3%，待质保期满1年后一次性无息返还</w:t>
      </w:r>
      <w:r>
        <w:rPr>
          <w:rFonts w:hint="default" w:ascii="Times New Roman" w:hAnsi="Times New Roman" w:cs="Times New Roman"/>
          <w:color w:val="auto"/>
          <w:szCs w:val="32"/>
          <w:highlight w:val="none"/>
        </w:rPr>
        <w:t>。</w:t>
      </w:r>
      <w:r>
        <w:rPr>
          <w:rFonts w:hint="eastAsia" w:ascii="Times New Roman" w:hAnsi="Times New Roman" w:cs="Times New Roman"/>
          <w:color w:val="auto"/>
          <w:szCs w:val="32"/>
          <w:highlight w:val="none"/>
          <w:lang w:val="en-US" w:eastAsia="zh-CN"/>
        </w:rPr>
        <w:t>2022年</w:t>
      </w:r>
      <w:r>
        <w:rPr>
          <w:rFonts w:hint="default" w:ascii="Times New Roman" w:hAnsi="Times New Roman" w:cs="Times New Roman"/>
          <w:color w:val="auto"/>
          <w:szCs w:val="32"/>
          <w:highlight w:val="none"/>
        </w:rPr>
        <w:t>，</w:t>
      </w:r>
      <w:r>
        <w:rPr>
          <w:rFonts w:hint="default" w:ascii="Times New Roman" w:hAnsi="Times New Roman" w:cs="Times New Roman"/>
          <w:color w:val="auto"/>
          <w:highlight w:val="none"/>
        </w:rPr>
        <w:t>四川同创优讯科技有限公司</w:t>
      </w:r>
      <w:r>
        <w:rPr>
          <w:rFonts w:hint="default" w:ascii="Times New Roman" w:hAnsi="Times New Roman" w:cs="Times New Roman"/>
          <w:color w:val="auto"/>
          <w:szCs w:val="32"/>
          <w:highlight w:val="none"/>
        </w:rPr>
        <w:t>向</w:t>
      </w:r>
      <w:r>
        <w:rPr>
          <w:rFonts w:hint="eastAsia" w:ascii="Times New Roman" w:hAnsi="Times New Roman" w:cs="Times New Roman"/>
          <w:color w:val="auto"/>
          <w:szCs w:val="32"/>
          <w:highlight w:val="none"/>
          <w:lang w:eastAsia="zh-CN"/>
        </w:rPr>
        <w:t>德阳市罗江区水旱灾害防御中心</w:t>
      </w:r>
      <w:r>
        <w:rPr>
          <w:rFonts w:hint="default" w:ascii="Times New Roman" w:hAnsi="Times New Roman" w:cs="Times New Roman"/>
          <w:color w:val="auto"/>
          <w:szCs w:val="32"/>
          <w:highlight w:val="none"/>
        </w:rPr>
        <w:t>提交拨付进度资金申请，经</w:t>
      </w:r>
      <w:r>
        <w:rPr>
          <w:rFonts w:hint="eastAsia" w:ascii="Times New Roman" w:hAnsi="Times New Roman" w:cs="Times New Roman"/>
          <w:color w:val="auto"/>
          <w:szCs w:val="32"/>
          <w:highlight w:val="none"/>
          <w:lang w:eastAsia="zh-CN"/>
        </w:rPr>
        <w:t>德阳市罗江区</w:t>
      </w:r>
      <w:r>
        <w:rPr>
          <w:rFonts w:hint="eastAsia" w:ascii="Times New Roman" w:hAnsi="Times New Roman" w:cs="Times New Roman"/>
          <w:color w:val="auto"/>
          <w:szCs w:val="32"/>
          <w:highlight w:val="none"/>
          <w:lang w:val="en-US" w:eastAsia="zh-CN"/>
        </w:rPr>
        <w:t>水利局和</w:t>
      </w:r>
      <w:r>
        <w:rPr>
          <w:rFonts w:hint="eastAsia" w:ascii="Times New Roman" w:hAnsi="Times New Roman" w:cs="Times New Roman"/>
          <w:color w:val="auto"/>
          <w:szCs w:val="32"/>
          <w:highlight w:val="none"/>
          <w:lang w:eastAsia="zh-CN"/>
        </w:rPr>
        <w:t>水旱灾害防御中心</w:t>
      </w:r>
      <w:r>
        <w:rPr>
          <w:rFonts w:hint="default" w:ascii="Times New Roman" w:hAnsi="Times New Roman" w:cs="Times New Roman"/>
          <w:color w:val="auto"/>
          <w:szCs w:val="32"/>
          <w:highlight w:val="none"/>
        </w:rPr>
        <w:t>验收合格后，</w:t>
      </w:r>
      <w:r>
        <w:rPr>
          <w:rFonts w:hint="eastAsia" w:ascii="Times New Roman" w:hAnsi="Times New Roman" w:cs="Times New Roman"/>
          <w:color w:val="auto"/>
          <w:szCs w:val="32"/>
          <w:highlight w:val="none"/>
          <w:lang w:val="en-US" w:eastAsia="zh-CN"/>
        </w:rPr>
        <w:t>该项目预算金额为15万元。</w:t>
      </w:r>
      <w:r>
        <w:rPr>
          <w:rFonts w:hint="eastAsia" w:ascii="Times New Roman" w:hAnsi="Times New Roman" w:cs="Times New Roman"/>
          <w:color w:val="auto"/>
          <w:szCs w:val="32"/>
          <w:highlight w:val="none"/>
          <w:lang w:eastAsia="zh-CN"/>
        </w:rPr>
        <w:t>德阳市罗江区</w:t>
      </w:r>
      <w:r>
        <w:rPr>
          <w:rFonts w:hint="eastAsia" w:ascii="Times New Roman" w:hAnsi="Times New Roman" w:cs="Times New Roman"/>
          <w:color w:val="auto"/>
          <w:szCs w:val="32"/>
          <w:highlight w:val="none"/>
          <w:lang w:val="en-US" w:eastAsia="zh-CN"/>
        </w:rPr>
        <w:t>水利局实际支付预算</w:t>
      </w:r>
      <w:r>
        <w:rPr>
          <w:rFonts w:hint="default" w:ascii="Times New Roman" w:hAnsi="Times New Roman" w:cs="Times New Roman"/>
          <w:color w:val="auto"/>
          <w:szCs w:val="32"/>
          <w:highlight w:val="none"/>
        </w:rPr>
        <w:t>资金总额62.09%。</w:t>
      </w:r>
    </w:p>
    <w:bookmarkEnd w:id="7"/>
    <w:p>
      <w:pPr>
        <w:spacing w:line="580" w:lineRule="exact"/>
        <w:ind w:firstLine="0" w:firstLineChars="0"/>
        <w:jc w:val="center"/>
        <w:rPr>
          <w:rFonts w:hint="default" w:ascii="Times New Roman" w:hAnsi="Times New Roman" w:cs="Times New Roman"/>
          <w:b/>
          <w:bCs/>
          <w:color w:val="auto"/>
          <w:sz w:val="28"/>
          <w:szCs w:val="28"/>
          <w:highlight w:val="none"/>
        </w:rPr>
      </w:pPr>
      <w:r>
        <w:rPr>
          <w:rFonts w:hint="default" w:ascii="Times New Roman" w:hAnsi="Times New Roman" w:cs="Times New Roman"/>
          <w:b/>
          <w:bCs/>
          <w:color w:val="auto"/>
          <w:sz w:val="28"/>
          <w:szCs w:val="28"/>
          <w:highlight w:val="none"/>
        </w:rPr>
        <w:t>表1-3 项目资金使用情况</w:t>
      </w:r>
    </w:p>
    <w:tbl>
      <w:tblPr>
        <w:tblStyle w:val="14"/>
        <w:tblW w:w="5000" w:type="pct"/>
        <w:tblInd w:w="0" w:type="dxa"/>
        <w:tblLayout w:type="fixed"/>
        <w:tblCellMar>
          <w:top w:w="0" w:type="dxa"/>
          <w:left w:w="108" w:type="dxa"/>
          <w:bottom w:w="0" w:type="dxa"/>
          <w:right w:w="108" w:type="dxa"/>
        </w:tblCellMar>
      </w:tblPr>
      <w:tblGrid>
        <w:gridCol w:w="748"/>
        <w:gridCol w:w="1225"/>
        <w:gridCol w:w="3465"/>
        <w:gridCol w:w="1435"/>
        <w:gridCol w:w="2188"/>
      </w:tblGrid>
      <w:tr>
        <w:tblPrEx>
          <w:tblCellMar>
            <w:top w:w="0" w:type="dxa"/>
            <w:left w:w="108" w:type="dxa"/>
            <w:bottom w:w="0" w:type="dxa"/>
            <w:right w:w="108" w:type="dxa"/>
          </w:tblCellMar>
        </w:tblPrEx>
        <w:trPr>
          <w:trHeight w:val="300" w:hRule="atLeast"/>
        </w:trPr>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ind w:firstLine="0" w:firstLineChars="0"/>
              <w:jc w:val="center"/>
              <w:textAlignment w:val="center"/>
              <w:rPr>
                <w:rFonts w:hint="default" w:ascii="Times New Roman" w:hAnsi="Times New Roman" w:cs="Times New Roman"/>
                <w:b/>
                <w:bCs/>
                <w:color w:val="auto"/>
                <w:sz w:val="24"/>
                <w:highlight w:val="none"/>
              </w:rPr>
            </w:pPr>
            <w:bookmarkStart w:id="8" w:name="_Hlk118752618"/>
            <w:r>
              <w:rPr>
                <w:rFonts w:hint="default" w:ascii="Times New Roman" w:hAnsi="Times New Roman" w:cs="Times New Roman"/>
                <w:b/>
                <w:bCs/>
                <w:color w:val="auto"/>
                <w:kern w:val="0"/>
                <w:sz w:val="24"/>
                <w:highlight w:val="none"/>
                <w:lang w:bidi="ar"/>
              </w:rPr>
              <w:t>序号</w:t>
            </w:r>
          </w:p>
        </w:tc>
        <w:tc>
          <w:tcPr>
            <w:tcW w:w="6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ind w:firstLine="0" w:firstLineChars="0"/>
              <w:jc w:val="center"/>
              <w:textAlignment w:val="center"/>
              <w:rPr>
                <w:rFonts w:hint="default" w:ascii="Times New Roman" w:hAnsi="Times New Roman" w:cs="Times New Roman"/>
                <w:b/>
                <w:bCs/>
                <w:color w:val="auto"/>
                <w:sz w:val="24"/>
                <w:highlight w:val="none"/>
              </w:rPr>
            </w:pPr>
            <w:r>
              <w:rPr>
                <w:rFonts w:hint="default" w:ascii="Times New Roman" w:hAnsi="Times New Roman" w:cs="Times New Roman"/>
                <w:b/>
                <w:bCs/>
                <w:color w:val="auto"/>
                <w:kern w:val="0"/>
                <w:sz w:val="24"/>
                <w:highlight w:val="none"/>
                <w:lang w:bidi="ar"/>
              </w:rPr>
              <w:t>支出日期</w:t>
            </w:r>
          </w:p>
        </w:tc>
        <w:tc>
          <w:tcPr>
            <w:tcW w:w="19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ind w:firstLine="0" w:firstLineChars="0"/>
              <w:jc w:val="center"/>
              <w:textAlignment w:val="center"/>
              <w:rPr>
                <w:rFonts w:hint="default" w:ascii="Times New Roman" w:hAnsi="Times New Roman" w:cs="Times New Roman"/>
                <w:b/>
                <w:bCs/>
                <w:color w:val="auto"/>
                <w:sz w:val="24"/>
                <w:highlight w:val="none"/>
              </w:rPr>
            </w:pPr>
            <w:r>
              <w:rPr>
                <w:rFonts w:hint="default" w:ascii="Times New Roman" w:hAnsi="Times New Roman" w:cs="Times New Roman"/>
                <w:b/>
                <w:bCs/>
                <w:color w:val="auto"/>
                <w:kern w:val="0"/>
                <w:sz w:val="24"/>
                <w:highlight w:val="none"/>
                <w:lang w:bidi="ar"/>
              </w:rPr>
              <w:t>支出方向</w:t>
            </w: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ind w:firstLine="0" w:firstLineChars="0"/>
              <w:jc w:val="center"/>
              <w:textAlignment w:val="center"/>
              <w:rPr>
                <w:rFonts w:hint="default" w:ascii="Times New Roman" w:hAnsi="Times New Roman" w:cs="Times New Roman"/>
                <w:b/>
                <w:bCs/>
                <w:color w:val="auto"/>
                <w:sz w:val="24"/>
                <w:highlight w:val="none"/>
              </w:rPr>
            </w:pPr>
            <w:r>
              <w:rPr>
                <w:rFonts w:hint="default" w:ascii="Times New Roman" w:hAnsi="Times New Roman" w:cs="Times New Roman"/>
                <w:b/>
                <w:bCs/>
                <w:color w:val="auto"/>
                <w:kern w:val="0"/>
                <w:sz w:val="24"/>
                <w:highlight w:val="none"/>
                <w:lang w:bidi="ar"/>
              </w:rPr>
              <w:t>金额</w:t>
            </w:r>
          </w:p>
        </w:tc>
        <w:tc>
          <w:tcPr>
            <w:tcW w:w="12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ind w:firstLine="0" w:firstLineChars="0"/>
              <w:jc w:val="center"/>
              <w:textAlignment w:val="center"/>
              <w:rPr>
                <w:rFonts w:hint="default" w:ascii="Times New Roman" w:hAnsi="Times New Roman" w:cs="Times New Roman"/>
                <w:b/>
                <w:bCs/>
                <w:color w:val="auto"/>
                <w:sz w:val="24"/>
                <w:highlight w:val="none"/>
              </w:rPr>
            </w:pPr>
            <w:r>
              <w:rPr>
                <w:rFonts w:hint="default" w:ascii="Times New Roman" w:hAnsi="Times New Roman" w:cs="Times New Roman"/>
                <w:b/>
                <w:bCs/>
                <w:color w:val="auto"/>
                <w:kern w:val="0"/>
                <w:sz w:val="24"/>
                <w:highlight w:val="none"/>
                <w:lang w:bidi="ar"/>
              </w:rPr>
              <w:t>对方公司</w:t>
            </w:r>
          </w:p>
        </w:tc>
      </w:tr>
      <w:tr>
        <w:tblPrEx>
          <w:tblCellMar>
            <w:top w:w="0" w:type="dxa"/>
            <w:left w:w="108" w:type="dxa"/>
            <w:bottom w:w="0" w:type="dxa"/>
            <w:right w:w="108" w:type="dxa"/>
          </w:tblCellMar>
        </w:tblPrEx>
        <w:trPr>
          <w:trHeight w:val="300" w:hRule="atLeast"/>
        </w:trPr>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ind w:firstLine="0" w:firstLineChars="0"/>
              <w:jc w:val="center"/>
              <w:textAlignment w:val="center"/>
              <w:rPr>
                <w:rFonts w:hint="default" w:ascii="Times New Roman" w:hAnsi="Times New Roman" w:cs="Times New Roman"/>
                <w:color w:val="auto"/>
                <w:sz w:val="24"/>
                <w:highlight w:val="none"/>
              </w:rPr>
            </w:pPr>
            <w:r>
              <w:rPr>
                <w:rFonts w:hint="default" w:ascii="Times New Roman" w:hAnsi="Times New Roman" w:cs="Times New Roman"/>
                <w:color w:val="auto"/>
                <w:kern w:val="0"/>
                <w:sz w:val="24"/>
                <w:highlight w:val="none"/>
                <w:lang w:bidi="ar"/>
              </w:rPr>
              <w:t>1</w:t>
            </w:r>
          </w:p>
        </w:tc>
        <w:tc>
          <w:tcPr>
            <w:tcW w:w="6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ind w:firstLine="0" w:firstLineChars="0"/>
              <w:jc w:val="center"/>
              <w:textAlignment w:val="center"/>
              <w:rPr>
                <w:rFonts w:hint="default" w:ascii="Times New Roman" w:hAnsi="Times New Roman" w:eastAsia="仿宋_GB2312" w:cs="Times New Roman"/>
                <w:color w:val="auto"/>
                <w:sz w:val="24"/>
                <w:highlight w:val="none"/>
                <w:lang w:val="en-US" w:eastAsia="zh-CN"/>
              </w:rPr>
            </w:pPr>
            <w:r>
              <w:rPr>
                <w:rFonts w:hint="eastAsia" w:ascii="Times New Roman" w:hAnsi="Times New Roman" w:cs="Times New Roman"/>
                <w:color w:val="auto"/>
                <w:kern w:val="0"/>
                <w:sz w:val="24"/>
                <w:highlight w:val="none"/>
                <w:lang w:val="en-US" w:eastAsia="zh-CN" w:bidi="ar"/>
              </w:rPr>
              <w:t>2022.12.5</w:t>
            </w:r>
          </w:p>
        </w:tc>
        <w:tc>
          <w:tcPr>
            <w:tcW w:w="19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ind w:firstLine="0" w:firstLineChars="0"/>
              <w:jc w:val="center"/>
              <w:textAlignment w:val="center"/>
              <w:rPr>
                <w:rFonts w:hint="default" w:ascii="Times New Roman" w:hAnsi="Times New Roman" w:cs="Times New Roman"/>
                <w:color w:val="auto"/>
                <w:sz w:val="24"/>
                <w:highlight w:val="none"/>
              </w:rPr>
            </w:pPr>
            <w:r>
              <w:rPr>
                <w:rFonts w:hint="eastAsia" w:ascii="Times New Roman" w:hAnsi="Times New Roman" w:cs="Times New Roman"/>
                <w:color w:val="auto"/>
                <w:kern w:val="0"/>
                <w:sz w:val="24"/>
                <w:highlight w:val="none"/>
                <w:lang w:eastAsia="zh-CN" w:bidi="ar"/>
              </w:rPr>
              <w:t>“2022年山洪灾害防治非工程措施设施维修养护”</w:t>
            </w:r>
            <w:r>
              <w:rPr>
                <w:rFonts w:hint="eastAsia" w:ascii="Times New Roman" w:hAnsi="Times New Roman" w:cs="Times New Roman"/>
                <w:color w:val="auto"/>
                <w:kern w:val="0"/>
                <w:sz w:val="24"/>
                <w:highlight w:val="none"/>
                <w:lang w:val="en-US" w:eastAsia="zh-CN" w:bidi="ar"/>
              </w:rPr>
              <w:t>97</w:t>
            </w:r>
            <w:r>
              <w:rPr>
                <w:rFonts w:hint="default" w:ascii="Times New Roman" w:hAnsi="Times New Roman" w:cs="Times New Roman"/>
                <w:color w:val="auto"/>
                <w:kern w:val="0"/>
                <w:sz w:val="24"/>
                <w:highlight w:val="none"/>
                <w:lang w:bidi="ar"/>
              </w:rPr>
              <w:t>%费用</w:t>
            </w: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ind w:firstLine="0" w:firstLineChars="0"/>
              <w:jc w:val="center"/>
              <w:textAlignment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93,139.40</w:t>
            </w:r>
          </w:p>
        </w:tc>
        <w:tc>
          <w:tcPr>
            <w:tcW w:w="12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ind w:firstLine="0" w:firstLineChars="0"/>
              <w:jc w:val="center"/>
              <w:textAlignment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四川同创优讯科技有限公司</w:t>
            </w:r>
          </w:p>
        </w:tc>
      </w:tr>
      <w:bookmarkEnd w:id="8"/>
    </w:tbl>
    <w:p>
      <w:pPr>
        <w:pStyle w:val="4"/>
        <w:spacing w:before="312" w:beforeLines="100" w:after="0" w:line="580" w:lineRule="exact"/>
        <w:ind w:firstLine="643"/>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2.组织实施情况</w:t>
      </w:r>
    </w:p>
    <w:p>
      <w:pPr>
        <w:spacing w:line="580" w:lineRule="exact"/>
        <w:ind w:firstLine="640"/>
        <w:rPr>
          <w:rFonts w:hint="default" w:ascii="Times New Roman" w:hAnsi="Times New Roman" w:cs="Times New Roman"/>
          <w:color w:val="auto"/>
          <w:szCs w:val="32"/>
          <w:highlight w:val="none"/>
        </w:rPr>
      </w:pPr>
      <w:bookmarkStart w:id="9" w:name="_Hlk118753290"/>
      <w:r>
        <w:rPr>
          <w:rFonts w:hint="eastAsia" w:ascii="Times New Roman" w:hAnsi="Times New Roman" w:cs="Times New Roman"/>
          <w:color w:val="auto"/>
          <w:szCs w:val="32"/>
          <w:highlight w:val="none"/>
          <w:lang w:eastAsia="zh-CN"/>
        </w:rPr>
        <w:t>德阳市罗江区水旱灾害防御中心</w:t>
      </w:r>
      <w:r>
        <w:rPr>
          <w:rFonts w:hint="default" w:ascii="Times New Roman" w:hAnsi="Times New Roman" w:cs="Times New Roman"/>
          <w:color w:val="auto"/>
          <w:szCs w:val="32"/>
          <w:highlight w:val="none"/>
        </w:rPr>
        <w:t>作为采购方，与</w:t>
      </w:r>
      <w:r>
        <w:rPr>
          <w:rFonts w:hint="default" w:ascii="Times New Roman" w:hAnsi="Times New Roman" w:cs="Times New Roman"/>
          <w:color w:val="auto"/>
          <w:highlight w:val="none"/>
        </w:rPr>
        <w:t>四川同创优讯科技有限公司</w:t>
      </w:r>
      <w:r>
        <w:rPr>
          <w:rFonts w:hint="default" w:ascii="Times New Roman" w:hAnsi="Times New Roman" w:cs="Times New Roman"/>
          <w:color w:val="auto"/>
          <w:szCs w:val="32"/>
          <w:highlight w:val="none"/>
        </w:rPr>
        <w:t>签订了</w:t>
      </w:r>
      <w:r>
        <w:rPr>
          <w:rFonts w:hint="eastAsia" w:ascii="Times New Roman" w:hAnsi="Times New Roman" w:cs="Times New Roman"/>
          <w:color w:val="auto"/>
          <w:szCs w:val="32"/>
          <w:highlight w:val="none"/>
          <w:lang w:eastAsia="zh-CN"/>
        </w:rPr>
        <w:t>2022年山洪灾害防治非工程措施设施维修养护</w:t>
      </w:r>
      <w:r>
        <w:rPr>
          <w:rFonts w:hint="default" w:ascii="Times New Roman" w:hAnsi="Times New Roman" w:cs="Times New Roman"/>
          <w:color w:val="auto"/>
          <w:szCs w:val="32"/>
          <w:highlight w:val="none"/>
        </w:rPr>
        <w:t>合同。根据《德阳市罗江区</w:t>
      </w:r>
      <w:r>
        <w:rPr>
          <w:rFonts w:hint="eastAsia" w:ascii="Times New Roman" w:hAnsi="Times New Roman" w:cs="Times New Roman"/>
          <w:color w:val="auto"/>
          <w:szCs w:val="32"/>
          <w:highlight w:val="none"/>
          <w:lang w:eastAsia="zh-CN"/>
        </w:rPr>
        <w:t>2022年山洪灾害防治非工程措施设施维修养护</w:t>
      </w:r>
      <w:r>
        <w:rPr>
          <w:rFonts w:hint="default" w:ascii="Times New Roman" w:hAnsi="Times New Roman" w:cs="Times New Roman"/>
          <w:color w:val="auto"/>
          <w:szCs w:val="32"/>
          <w:highlight w:val="none"/>
        </w:rPr>
        <w:t>项目</w:t>
      </w:r>
      <w:r>
        <w:rPr>
          <w:rFonts w:hint="eastAsia" w:ascii="Times New Roman" w:hAnsi="Times New Roman" w:cs="Times New Roman"/>
          <w:color w:val="auto"/>
          <w:szCs w:val="32"/>
          <w:highlight w:val="none"/>
          <w:lang w:val="en-US" w:eastAsia="zh-CN"/>
        </w:rPr>
        <w:t>采购合同</w:t>
      </w:r>
      <w:r>
        <w:rPr>
          <w:rFonts w:hint="default" w:ascii="Times New Roman" w:hAnsi="Times New Roman" w:cs="Times New Roman"/>
          <w:color w:val="auto"/>
          <w:szCs w:val="32"/>
          <w:highlight w:val="none"/>
        </w:rPr>
        <w:t>》约定，</w:t>
      </w:r>
      <w:r>
        <w:rPr>
          <w:rFonts w:hint="eastAsia" w:ascii="Times New Roman" w:hAnsi="Times New Roman" w:cs="Times New Roman"/>
          <w:color w:val="auto"/>
          <w:szCs w:val="32"/>
          <w:highlight w:val="none"/>
          <w:lang w:eastAsia="zh-CN"/>
        </w:rPr>
        <w:t>四川同创优讯科技有限公司</w:t>
      </w:r>
      <w:r>
        <w:rPr>
          <w:rFonts w:hint="default" w:ascii="Times New Roman" w:hAnsi="Times New Roman" w:cs="Times New Roman"/>
          <w:color w:val="auto"/>
          <w:szCs w:val="32"/>
          <w:highlight w:val="none"/>
        </w:rPr>
        <w:t>应配齐</w:t>
      </w:r>
      <w:r>
        <w:rPr>
          <w:rFonts w:hint="eastAsia" w:ascii="Times New Roman" w:hAnsi="Times New Roman" w:cs="Times New Roman"/>
          <w:color w:val="auto"/>
          <w:szCs w:val="32"/>
          <w:highlight w:val="none"/>
          <w:lang w:val="en-US" w:eastAsia="zh-CN"/>
        </w:rPr>
        <w:t>山洪灾害防治</w:t>
      </w:r>
      <w:r>
        <w:rPr>
          <w:rFonts w:hint="eastAsia" w:ascii="Times New Roman" w:hAnsi="Times New Roman" w:cs="Times New Roman"/>
          <w:color w:val="auto"/>
          <w:szCs w:val="32"/>
          <w:highlight w:val="none"/>
          <w:lang w:eastAsia="zh-CN"/>
        </w:rPr>
        <w:t>非工程措施设施，</w:t>
      </w:r>
      <w:r>
        <w:rPr>
          <w:rFonts w:hint="eastAsia" w:ascii="Times New Roman" w:hAnsi="Times New Roman" w:cs="Times New Roman"/>
          <w:color w:val="auto"/>
          <w:szCs w:val="32"/>
          <w:highlight w:val="none"/>
          <w:lang w:val="en-US" w:eastAsia="zh-CN"/>
        </w:rPr>
        <w:t>保证项目硬件设备质量并负责安装调试</w:t>
      </w:r>
      <w:r>
        <w:rPr>
          <w:rFonts w:hint="default" w:ascii="Times New Roman" w:hAnsi="Times New Roman" w:cs="Times New Roman"/>
          <w:color w:val="auto"/>
          <w:szCs w:val="32"/>
          <w:highlight w:val="none"/>
        </w:rPr>
        <w:t>。</w:t>
      </w:r>
      <w:bookmarkEnd w:id="9"/>
    </w:p>
    <w:p>
      <w:pPr>
        <w:pStyle w:val="4"/>
        <w:spacing w:before="0" w:after="0" w:line="580" w:lineRule="exact"/>
        <w:ind w:firstLine="643"/>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3.完成情况</w:t>
      </w:r>
    </w:p>
    <w:p>
      <w:pPr>
        <w:spacing w:line="580" w:lineRule="exact"/>
        <w:ind w:firstLine="640"/>
        <w:rPr>
          <w:rFonts w:hint="default" w:ascii="Times New Roman" w:hAnsi="Times New Roman" w:cs="Times New Roman"/>
          <w:color w:val="auto"/>
          <w:szCs w:val="32"/>
          <w:highlight w:val="none"/>
        </w:rPr>
      </w:pPr>
      <w:bookmarkStart w:id="10" w:name="_Hlk118753369"/>
      <w:r>
        <w:rPr>
          <w:rFonts w:hint="eastAsia" w:ascii="Times New Roman" w:hAnsi="Times New Roman" w:cs="Times New Roman"/>
          <w:color w:val="auto"/>
          <w:szCs w:val="32"/>
          <w:highlight w:val="none"/>
          <w:lang w:eastAsia="zh-CN"/>
        </w:rPr>
        <w:t>德阳市罗江区水利局“2022年山洪灾害防治非工程措施设施维修养护”</w:t>
      </w:r>
      <w:r>
        <w:rPr>
          <w:rFonts w:hint="default" w:ascii="Times New Roman" w:hAnsi="Times New Roman" w:cs="Times New Roman"/>
          <w:color w:val="auto"/>
          <w:szCs w:val="32"/>
          <w:highlight w:val="none"/>
        </w:rPr>
        <w:t>整个项目</w:t>
      </w:r>
      <w:r>
        <w:rPr>
          <w:rFonts w:hint="eastAsia" w:ascii="Times New Roman" w:hAnsi="Times New Roman" w:cs="Times New Roman"/>
          <w:color w:val="auto"/>
          <w:szCs w:val="32"/>
          <w:highlight w:val="none"/>
          <w:lang w:val="en-US" w:eastAsia="zh-CN"/>
        </w:rPr>
        <w:t>完成采购</w:t>
      </w:r>
      <w:r>
        <w:rPr>
          <w:rFonts w:hint="default" w:ascii="Times New Roman" w:hAnsi="Times New Roman" w:cs="Times New Roman"/>
          <w:color w:val="auto"/>
          <w:szCs w:val="32"/>
          <w:highlight w:val="none"/>
        </w:rPr>
        <w:t>液压油管修复2米、液压油360升、应急发电机组维修1组、应急发电机组动力发动机保养1次、油路电磁阀门保养24套、太阳能蓄电池8组、户外LED显示模块10块、户外LED模组专用电源及线材20套、会议室LED显示屏控制卡2张、会议室LED显示屏发送卡和接收卡2套、会议室LED显示屏编辑软件1套、会议室拼接屏视频处理器2台、RTU采集终端2台、通讯模块2套、雨量计4套、安装调试1批</w:t>
      </w:r>
      <w:r>
        <w:rPr>
          <w:rFonts w:hint="eastAsia" w:ascii="Times New Roman" w:hAnsi="Times New Roman" w:cs="Times New Roman"/>
          <w:color w:val="auto"/>
          <w:szCs w:val="32"/>
          <w:highlight w:val="none"/>
          <w:lang w:eastAsia="zh-CN"/>
        </w:rPr>
        <w:t>，</w:t>
      </w:r>
      <w:r>
        <w:rPr>
          <w:rFonts w:hint="eastAsia" w:ascii="Times New Roman" w:hAnsi="Times New Roman" w:cs="Times New Roman"/>
          <w:color w:val="auto"/>
          <w:szCs w:val="32"/>
          <w:highlight w:val="none"/>
          <w:lang w:val="en-US" w:eastAsia="zh-CN"/>
        </w:rPr>
        <w:t>项目总金额96,020.00</w:t>
      </w:r>
      <w:r>
        <w:rPr>
          <w:rFonts w:hint="default" w:ascii="Times New Roman" w:hAnsi="Times New Roman" w:cs="Times New Roman"/>
          <w:color w:val="auto"/>
          <w:szCs w:val="32"/>
          <w:highlight w:val="none"/>
        </w:rPr>
        <w:t>元。</w:t>
      </w:r>
    </w:p>
    <w:bookmarkEnd w:id="10"/>
    <w:p>
      <w:pPr>
        <w:pStyle w:val="2"/>
        <w:spacing w:before="0" w:after="0" w:line="580" w:lineRule="exact"/>
        <w:ind w:firstLine="640"/>
        <w:rPr>
          <w:rFonts w:hint="default" w:ascii="Times New Roman" w:hAnsi="Times New Roman" w:eastAsia="黑体" w:cs="Times New Roman"/>
          <w:b w:val="0"/>
          <w:bCs/>
          <w:color w:val="auto"/>
          <w:sz w:val="32"/>
          <w:szCs w:val="20"/>
          <w:highlight w:val="none"/>
        </w:rPr>
      </w:pPr>
      <w:bookmarkStart w:id="11" w:name="_Toc17481"/>
      <w:r>
        <w:rPr>
          <w:rFonts w:hint="default" w:ascii="Times New Roman" w:hAnsi="Times New Roman" w:eastAsia="黑体" w:cs="Times New Roman"/>
          <w:b w:val="0"/>
          <w:bCs/>
          <w:color w:val="auto"/>
          <w:sz w:val="32"/>
          <w:szCs w:val="20"/>
          <w:highlight w:val="none"/>
        </w:rPr>
        <w:t>二、评价工作开展情况</w:t>
      </w:r>
      <w:bookmarkEnd w:id="11"/>
    </w:p>
    <w:p>
      <w:pPr>
        <w:pStyle w:val="3"/>
        <w:spacing w:beforeAutospacing="0" w:afterAutospacing="0" w:line="580" w:lineRule="exact"/>
        <w:ind w:firstLine="643"/>
        <w:jc w:val="both"/>
        <w:rPr>
          <w:rFonts w:hint="default" w:ascii="Times New Roman" w:hAnsi="Times New Roman" w:eastAsia="楷体_GB2312" w:cs="Times New Roman"/>
          <w:color w:val="auto"/>
          <w:sz w:val="32"/>
          <w:szCs w:val="32"/>
          <w:highlight w:val="none"/>
        </w:rPr>
      </w:pPr>
      <w:bookmarkStart w:id="12" w:name="_Toc28984"/>
      <w:r>
        <w:rPr>
          <w:rFonts w:hint="default" w:ascii="Times New Roman" w:hAnsi="Times New Roman" w:eastAsia="楷体_GB2312" w:cs="Times New Roman"/>
          <w:color w:val="auto"/>
          <w:sz w:val="32"/>
          <w:szCs w:val="32"/>
          <w:highlight w:val="none"/>
        </w:rPr>
        <w:t>（一）绩效评价的目的</w:t>
      </w:r>
      <w:bookmarkEnd w:id="12"/>
    </w:p>
    <w:p>
      <w:pPr>
        <w:spacing w:line="580" w:lineRule="exact"/>
        <w:ind w:firstLine="640"/>
        <w:rPr>
          <w:rFonts w:hint="default" w:ascii="Times New Roman" w:hAnsi="Times New Roman" w:cs="Times New Roman"/>
          <w:color w:val="auto"/>
          <w:highlight w:val="none"/>
        </w:rPr>
      </w:pPr>
      <w:r>
        <w:rPr>
          <w:rFonts w:hint="default" w:ascii="Times New Roman" w:hAnsi="Times New Roman" w:cs="Times New Roman"/>
          <w:color w:val="auto"/>
          <w:highlight w:val="none"/>
        </w:rPr>
        <w:t>本次以评价</w:t>
      </w:r>
      <w:r>
        <w:rPr>
          <w:rFonts w:hint="eastAsia" w:ascii="Times New Roman" w:hAnsi="Times New Roman" w:cs="Times New Roman"/>
          <w:color w:val="auto"/>
          <w:highlight w:val="none"/>
          <w:lang w:eastAsia="zh-CN"/>
        </w:rPr>
        <w:t>德阳市罗江区水利局“2022年山洪灾害防治非工程措施设施维修养护”</w:t>
      </w:r>
      <w:r>
        <w:rPr>
          <w:rFonts w:hint="default" w:ascii="Times New Roman" w:hAnsi="Times New Roman" w:cs="Times New Roman"/>
          <w:color w:val="auto"/>
          <w:highlight w:val="none"/>
        </w:rPr>
        <w:t>项目产生的效果为导向，通过系统整理和分析项目的</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决策</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过程</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产出</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效</w:t>
      </w:r>
      <w:r>
        <w:rPr>
          <w:rFonts w:hint="eastAsia" w:ascii="Times New Roman" w:hAnsi="Times New Roman" w:cs="Times New Roman"/>
          <w:color w:val="auto"/>
          <w:highlight w:val="none"/>
          <w:lang w:val="en-US" w:eastAsia="zh-CN"/>
        </w:rPr>
        <w:t>益</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等情况，对本项目的经济性、效率性、效益性和公平性进行客观、公正</w:t>
      </w:r>
      <w:r>
        <w:rPr>
          <w:rFonts w:hint="eastAsia" w:ascii="Times New Roman" w:hAnsi="Times New Roman" w:cs="Times New Roman"/>
          <w:color w:val="auto"/>
          <w:highlight w:val="none"/>
          <w:lang w:eastAsia="zh-CN"/>
        </w:rPr>
        <w:t>的</w:t>
      </w:r>
      <w:r>
        <w:rPr>
          <w:rFonts w:hint="default" w:ascii="Times New Roman" w:hAnsi="Times New Roman" w:cs="Times New Roman"/>
          <w:color w:val="auto"/>
          <w:highlight w:val="none"/>
        </w:rPr>
        <w:t>测量、分析和评判。同时，梳理项目存在的主要问题，提出改善管理建议，为优化财政支出管理，进一步完善和实施绩效目标制定、绩效动态跟踪、绩效评价、结果应用等全过程预算绩效管理提供决策依据，为下一步实施预算绩效管理奠定基础。具体目标如下：</w:t>
      </w:r>
    </w:p>
    <w:p>
      <w:pPr>
        <w:spacing w:line="580" w:lineRule="exact"/>
        <w:ind w:firstLine="640"/>
        <w:rPr>
          <w:rFonts w:hint="default" w:ascii="Times New Roman" w:hAnsi="Times New Roman" w:cs="Times New Roman"/>
          <w:color w:val="auto"/>
          <w:highlight w:val="none"/>
        </w:rPr>
      </w:pPr>
      <w:r>
        <w:rPr>
          <w:rFonts w:hint="default" w:ascii="Times New Roman" w:hAnsi="Times New Roman" w:cs="Times New Roman"/>
          <w:color w:val="auto"/>
          <w:highlight w:val="none"/>
        </w:rPr>
        <w:t>1.通过评价，了解</w:t>
      </w:r>
      <w:r>
        <w:rPr>
          <w:rFonts w:hint="eastAsia" w:ascii="Times New Roman" w:hAnsi="Times New Roman" w:cs="Times New Roman"/>
          <w:color w:val="auto"/>
          <w:highlight w:val="none"/>
          <w:lang w:eastAsia="zh-CN"/>
        </w:rPr>
        <w:t>德阳市罗江区水利局“2022年山洪灾害防治非工程措施设施维修养护</w:t>
      </w:r>
      <w:r>
        <w:rPr>
          <w:rFonts w:hint="default" w:ascii="Times New Roman" w:hAnsi="Times New Roman" w:cs="Times New Roman"/>
          <w:color w:val="auto"/>
          <w:highlight w:val="none"/>
        </w:rPr>
        <w:t>项目</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的基本状况，对项目的实施背景和目的、实施内容和现状、预算安排及使用情况深入调研和分析；</w:t>
      </w:r>
    </w:p>
    <w:p>
      <w:pPr>
        <w:spacing w:line="580" w:lineRule="exact"/>
        <w:ind w:firstLine="640"/>
        <w:rPr>
          <w:rFonts w:hint="default" w:ascii="Times New Roman" w:hAnsi="Times New Roman" w:cs="Times New Roman"/>
          <w:color w:val="auto"/>
          <w:highlight w:val="none"/>
        </w:rPr>
      </w:pPr>
      <w:r>
        <w:rPr>
          <w:rFonts w:hint="default" w:ascii="Times New Roman" w:hAnsi="Times New Roman" w:cs="Times New Roman"/>
          <w:color w:val="auto"/>
          <w:highlight w:val="none"/>
        </w:rPr>
        <w:t>2.通过评价，了解</w:t>
      </w:r>
      <w:r>
        <w:rPr>
          <w:rFonts w:hint="eastAsia" w:ascii="Times New Roman" w:hAnsi="Times New Roman" w:cs="Times New Roman"/>
          <w:color w:val="auto"/>
          <w:highlight w:val="none"/>
          <w:lang w:eastAsia="zh-CN"/>
        </w:rPr>
        <w:t>德阳市罗江区水利局“2022年山洪灾害防治非工程措施设施维修养护项目”</w:t>
      </w:r>
      <w:r>
        <w:rPr>
          <w:rFonts w:hint="default" w:ascii="Times New Roman" w:hAnsi="Times New Roman" w:cs="Times New Roman"/>
          <w:color w:val="auto"/>
          <w:highlight w:val="none"/>
        </w:rPr>
        <w:t>的实际完成情况，了解项目相关组织实施主体在实施过程中的履职情况，评估项目的整体绩效状况；</w:t>
      </w:r>
    </w:p>
    <w:p>
      <w:pPr>
        <w:spacing w:line="580" w:lineRule="exact"/>
        <w:ind w:firstLine="640"/>
        <w:rPr>
          <w:rFonts w:hint="default" w:ascii="Times New Roman" w:hAnsi="Times New Roman" w:cs="Times New Roman"/>
          <w:color w:val="auto"/>
          <w:highlight w:val="none"/>
        </w:rPr>
      </w:pPr>
      <w:r>
        <w:rPr>
          <w:rFonts w:hint="default" w:ascii="Times New Roman" w:hAnsi="Times New Roman" w:cs="Times New Roman"/>
          <w:color w:val="auto"/>
          <w:highlight w:val="none"/>
        </w:rPr>
        <w:t>3.通过评价，发掘</w:t>
      </w:r>
      <w:r>
        <w:rPr>
          <w:rFonts w:hint="eastAsia" w:ascii="Times New Roman" w:hAnsi="Times New Roman" w:cs="Times New Roman"/>
          <w:color w:val="auto"/>
          <w:highlight w:val="none"/>
          <w:lang w:eastAsia="zh-CN"/>
        </w:rPr>
        <w:t>德阳市罗江区水利局“2022年山洪灾害防治非工程措施设施维修养护项目”</w:t>
      </w:r>
      <w:r>
        <w:rPr>
          <w:rFonts w:hint="default" w:ascii="Times New Roman" w:hAnsi="Times New Roman" w:cs="Times New Roman"/>
          <w:color w:val="auto"/>
          <w:highlight w:val="none"/>
        </w:rPr>
        <w:t>所产生的现实意义和实际价值，总结本项目对促进</w:t>
      </w:r>
      <w:r>
        <w:rPr>
          <w:rFonts w:hint="eastAsia" w:ascii="Times New Roman" w:hAnsi="Times New Roman" w:cs="Times New Roman"/>
          <w:color w:val="auto"/>
          <w:highlight w:val="none"/>
          <w:lang w:eastAsia="zh-CN"/>
        </w:rPr>
        <w:t>2022年山洪灾害防治非工程措施设施维修养护</w:t>
      </w:r>
      <w:r>
        <w:rPr>
          <w:rFonts w:hint="default" w:ascii="Times New Roman" w:hAnsi="Times New Roman" w:cs="Times New Roman"/>
          <w:color w:val="auto"/>
          <w:highlight w:val="none"/>
        </w:rPr>
        <w:t>发展意义；</w:t>
      </w:r>
    </w:p>
    <w:p>
      <w:pPr>
        <w:spacing w:line="580" w:lineRule="exact"/>
        <w:ind w:firstLine="640"/>
        <w:rPr>
          <w:rFonts w:hint="default" w:ascii="Times New Roman" w:hAnsi="Times New Roman" w:cs="Times New Roman"/>
          <w:color w:val="auto"/>
          <w:highlight w:val="none"/>
        </w:rPr>
      </w:pPr>
      <w:r>
        <w:rPr>
          <w:rFonts w:hint="default" w:ascii="Times New Roman" w:hAnsi="Times New Roman" w:cs="Times New Roman"/>
          <w:color w:val="auto"/>
          <w:highlight w:val="none"/>
        </w:rPr>
        <w:t>4.通过评价，从</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全面预算绩效管理</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的角度发现项目在决策、实施和管理过程中存在的问题，寻求解决方案，为进一步深化项目管理工作提供依据，促进</w:t>
      </w:r>
      <w:r>
        <w:rPr>
          <w:rFonts w:hint="eastAsia" w:ascii="Times New Roman" w:hAnsi="Times New Roman" w:cs="Times New Roman"/>
          <w:color w:val="auto"/>
          <w:highlight w:val="none"/>
          <w:lang w:eastAsia="zh-CN"/>
        </w:rPr>
        <w:t>德阳市罗江区水利局</w:t>
      </w:r>
      <w:r>
        <w:rPr>
          <w:rFonts w:hint="default" w:ascii="Times New Roman" w:hAnsi="Times New Roman" w:cs="Times New Roman"/>
          <w:color w:val="auto"/>
          <w:highlight w:val="none"/>
        </w:rPr>
        <w:t>的管理水平，提高财政资金的使用效率和效果，推进预算绩效管理。</w:t>
      </w:r>
    </w:p>
    <w:p>
      <w:pPr>
        <w:pStyle w:val="3"/>
        <w:spacing w:beforeAutospacing="0" w:afterAutospacing="0" w:line="580" w:lineRule="exact"/>
        <w:ind w:firstLine="643"/>
        <w:jc w:val="both"/>
        <w:rPr>
          <w:rFonts w:hint="default" w:ascii="Times New Roman" w:hAnsi="Times New Roman" w:eastAsia="楷体_GB2312" w:cs="Times New Roman"/>
          <w:color w:val="auto"/>
          <w:sz w:val="32"/>
          <w:szCs w:val="32"/>
          <w:highlight w:val="none"/>
        </w:rPr>
      </w:pPr>
      <w:bookmarkStart w:id="13" w:name="_Toc13396"/>
      <w:r>
        <w:rPr>
          <w:rFonts w:hint="default" w:ascii="Times New Roman" w:hAnsi="Times New Roman" w:eastAsia="楷体_GB2312" w:cs="Times New Roman"/>
          <w:color w:val="auto"/>
          <w:sz w:val="32"/>
          <w:szCs w:val="32"/>
          <w:highlight w:val="none"/>
        </w:rPr>
        <w:t>（二）评价的思路、原则、依据及方法</w:t>
      </w:r>
      <w:bookmarkEnd w:id="13"/>
    </w:p>
    <w:p>
      <w:pPr>
        <w:pStyle w:val="4"/>
        <w:spacing w:before="0" w:after="0" w:line="580" w:lineRule="exact"/>
        <w:ind w:firstLine="643"/>
        <w:rPr>
          <w:rFonts w:hint="default" w:ascii="Times New Roman" w:hAnsi="Times New Roman" w:cs="Times New Roman"/>
          <w:bCs/>
          <w:color w:val="auto"/>
          <w:szCs w:val="32"/>
          <w:highlight w:val="none"/>
        </w:rPr>
      </w:pPr>
      <w:r>
        <w:rPr>
          <w:rFonts w:hint="default" w:ascii="Times New Roman" w:hAnsi="Times New Roman" w:cs="Times New Roman"/>
          <w:bCs/>
          <w:color w:val="auto"/>
          <w:szCs w:val="32"/>
          <w:highlight w:val="none"/>
        </w:rPr>
        <w:t>1.评价思路</w:t>
      </w:r>
    </w:p>
    <w:p>
      <w:pPr>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评价小组以既顾及全面，又突出重点作为本次绩效评价工作的总体思路开展绩效评价工作。通过分析</w:t>
      </w:r>
      <w:r>
        <w:rPr>
          <w:rFonts w:hint="eastAsia" w:ascii="Times New Roman" w:hAnsi="Times New Roman" w:cs="Times New Roman"/>
          <w:color w:val="auto"/>
          <w:szCs w:val="32"/>
          <w:highlight w:val="none"/>
          <w:lang w:eastAsia="zh-CN"/>
        </w:rPr>
        <w:t>德阳市罗江区水利局</w:t>
      </w:r>
      <w:r>
        <w:rPr>
          <w:rFonts w:hint="default" w:ascii="Times New Roman" w:hAnsi="Times New Roman" w:cs="Times New Roman"/>
          <w:color w:val="auto"/>
          <w:highlight w:val="none"/>
        </w:rPr>
        <w:t>等</w:t>
      </w:r>
      <w:r>
        <w:rPr>
          <w:rFonts w:hint="default" w:ascii="Times New Roman" w:hAnsi="Times New Roman" w:cs="Times New Roman"/>
          <w:color w:val="auto"/>
          <w:szCs w:val="32"/>
          <w:highlight w:val="none"/>
        </w:rPr>
        <w:t>组织实施主体提供的</w:t>
      </w:r>
      <w:r>
        <w:rPr>
          <w:rFonts w:hint="eastAsia" w:ascii="Times New Roman" w:hAnsi="Times New Roman" w:cs="Times New Roman"/>
          <w:color w:val="auto"/>
          <w:szCs w:val="32"/>
          <w:highlight w:val="none"/>
          <w:lang w:eastAsia="zh-CN"/>
        </w:rPr>
        <w:t>《四川省财政厅 四川省水利厅关于下达2022年中央和省级水利发展资金的通知》（川财农〔2022〕9号）</w:t>
      </w:r>
      <w:r>
        <w:rPr>
          <w:rFonts w:hint="eastAsia" w:ascii="Times New Roman" w:hAnsi="Times New Roman" w:cs="Times New Roman"/>
          <w:color w:val="auto"/>
          <w:szCs w:val="32"/>
          <w:highlight w:val="none"/>
          <w:lang w:val="en-US" w:eastAsia="zh-CN"/>
        </w:rPr>
        <w:t>文件</w:t>
      </w:r>
      <w:r>
        <w:rPr>
          <w:rFonts w:hint="eastAsia" w:ascii="Times New Roman" w:hAnsi="Times New Roman" w:cs="Times New Roman"/>
          <w:color w:val="auto"/>
          <w:szCs w:val="32"/>
          <w:highlight w:val="none"/>
          <w:lang w:eastAsia="zh-CN"/>
        </w:rPr>
        <w:t>，</w:t>
      </w:r>
      <w:r>
        <w:rPr>
          <w:rFonts w:hint="eastAsia" w:ascii="Times New Roman" w:hAnsi="Times New Roman" w:cs="Times New Roman"/>
          <w:color w:val="auto"/>
          <w:szCs w:val="32"/>
          <w:highlight w:val="none"/>
          <w:lang w:val="en-US" w:eastAsia="zh-CN"/>
        </w:rPr>
        <w:t>项目竞争性谈判资料、绩效自评报告</w:t>
      </w:r>
      <w:r>
        <w:rPr>
          <w:rFonts w:hint="eastAsia" w:ascii="Times New Roman" w:hAnsi="Times New Roman" w:cs="Times New Roman"/>
          <w:color w:val="auto"/>
          <w:szCs w:val="32"/>
          <w:highlight w:val="none"/>
          <w:lang w:eastAsia="zh-CN"/>
        </w:rPr>
        <w:t>、</w:t>
      </w:r>
      <w:r>
        <w:rPr>
          <w:rFonts w:hint="default" w:ascii="Times New Roman" w:hAnsi="Times New Roman" w:cs="Times New Roman"/>
          <w:color w:val="auto"/>
          <w:szCs w:val="32"/>
          <w:highlight w:val="none"/>
        </w:rPr>
        <w:t>资金使用明细、质量验收等资料，全面把握</w:t>
      </w:r>
      <w:r>
        <w:rPr>
          <w:rFonts w:hint="eastAsia" w:ascii="Times New Roman" w:hAnsi="Times New Roman" w:cs="Times New Roman"/>
          <w:color w:val="auto"/>
          <w:szCs w:val="32"/>
          <w:highlight w:val="none"/>
          <w:lang w:eastAsia="zh-CN"/>
        </w:rPr>
        <w:t>“2022年山洪灾害防治非工程措施设施维修养护项目”</w:t>
      </w:r>
      <w:r>
        <w:rPr>
          <w:rFonts w:hint="default" w:ascii="Times New Roman" w:hAnsi="Times New Roman" w:cs="Times New Roman"/>
          <w:color w:val="auto"/>
          <w:szCs w:val="32"/>
          <w:highlight w:val="none"/>
        </w:rPr>
        <w:t>的总体目标及资金使用情况，全面了解项目</w:t>
      </w:r>
      <w:r>
        <w:rPr>
          <w:rFonts w:hint="eastAsia" w:ascii="Times New Roman" w:hAnsi="Times New Roman" w:cs="Times New Roman"/>
          <w:color w:val="auto"/>
          <w:szCs w:val="32"/>
          <w:highlight w:val="none"/>
          <w:lang w:val="en-US" w:eastAsia="zh-CN"/>
        </w:rPr>
        <w:t>资金下达</w:t>
      </w:r>
      <w:r>
        <w:rPr>
          <w:rFonts w:hint="default" w:ascii="Times New Roman" w:hAnsi="Times New Roman" w:cs="Times New Roman"/>
          <w:color w:val="auto"/>
          <w:szCs w:val="32"/>
          <w:highlight w:val="none"/>
        </w:rPr>
        <w:t>、组织实施、项目验收、资金拨付、监督管理等工作流程。通过社会调研、访谈等途径获取</w:t>
      </w:r>
      <w:r>
        <w:rPr>
          <w:rFonts w:hint="eastAsia" w:ascii="Times New Roman" w:hAnsi="Times New Roman" w:cs="Times New Roman"/>
          <w:color w:val="auto"/>
          <w:szCs w:val="32"/>
          <w:highlight w:val="none"/>
          <w:lang w:eastAsia="zh-CN"/>
        </w:rPr>
        <w:t>“2022年山洪灾害防治非工程措施设施维修养护”</w:t>
      </w:r>
      <w:r>
        <w:rPr>
          <w:rFonts w:hint="default" w:ascii="Times New Roman" w:hAnsi="Times New Roman" w:cs="Times New Roman"/>
          <w:color w:val="auto"/>
          <w:szCs w:val="32"/>
          <w:highlight w:val="none"/>
        </w:rPr>
        <w:t>项目的基础资料，综合使用政策研究、数据分析、归纳总结等方式，深挖项目中存在的问题，并提出切实可行的解决方案。</w:t>
      </w:r>
    </w:p>
    <w:p>
      <w:pPr>
        <w:pStyle w:val="4"/>
        <w:spacing w:before="0" w:after="0" w:line="580" w:lineRule="exact"/>
        <w:ind w:firstLine="643"/>
        <w:rPr>
          <w:rFonts w:hint="default" w:ascii="Times New Roman" w:hAnsi="Times New Roman" w:cs="Times New Roman"/>
          <w:bCs/>
          <w:color w:val="auto"/>
          <w:szCs w:val="32"/>
          <w:highlight w:val="none"/>
        </w:rPr>
      </w:pPr>
      <w:r>
        <w:rPr>
          <w:rFonts w:hint="default" w:ascii="Times New Roman" w:hAnsi="Times New Roman" w:cs="Times New Roman"/>
          <w:bCs/>
          <w:color w:val="auto"/>
          <w:szCs w:val="32"/>
          <w:highlight w:val="none"/>
        </w:rPr>
        <w:t>2.评价原则</w:t>
      </w:r>
    </w:p>
    <w:p>
      <w:pPr>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（1）科学规范原则</w:t>
      </w:r>
    </w:p>
    <w:p>
      <w:pPr>
        <w:spacing w:line="580" w:lineRule="exact"/>
        <w:ind w:firstLine="640"/>
        <w:rPr>
          <w:rFonts w:hint="default" w:ascii="Times New Roman" w:hAnsi="Times New Roman" w:cs="Times New Roman"/>
          <w:color w:val="auto"/>
          <w:highlight w:val="none"/>
        </w:rPr>
      </w:pPr>
      <w:r>
        <w:rPr>
          <w:rFonts w:hint="default" w:ascii="Times New Roman" w:hAnsi="Times New Roman" w:cs="Times New Roman"/>
          <w:color w:val="auto"/>
          <w:szCs w:val="32"/>
          <w:highlight w:val="none"/>
        </w:rPr>
        <w:t>根据《关于全面实施预算绩效管理的意见》（中发〔2018〕</w:t>
      </w:r>
      <w:r>
        <w:rPr>
          <w:rFonts w:hint="default" w:ascii="Times New Roman" w:hAnsi="Times New Roman" w:cs="Times New Roman"/>
          <w:color w:val="auto"/>
          <w:highlight w:val="none"/>
        </w:rPr>
        <w:t>34号）、财政部《关于印发〈预算绩效评价共性指标体系框架〉的通知》（财预〔2013〕53号）及《项目支出绩效评价管理办法》（财预〔2020〕10号）、</w:t>
      </w:r>
      <w:r>
        <w:rPr>
          <w:rFonts w:hint="default" w:ascii="Times New Roman" w:hAnsi="Times New Roman" w:cs="Times New Roman"/>
          <w:color w:val="auto"/>
          <w:szCs w:val="32"/>
          <w:highlight w:val="none"/>
        </w:rPr>
        <w:t>《中共四川省委 四川省人民政府关于全面实施预算绩效管理的实施意见》（川委发〔2019〕8号）、《德阳市罗江区财政局关于开展2022年重点绩效评价工作的通知》（</w:t>
      </w:r>
      <w:r>
        <w:rPr>
          <w:rFonts w:hint="eastAsia" w:ascii="Times New Roman" w:hAnsi="Times New Roman" w:cs="Times New Roman"/>
          <w:color w:val="auto"/>
          <w:szCs w:val="32"/>
          <w:highlight w:val="none"/>
          <w:lang w:eastAsia="zh-CN"/>
        </w:rPr>
        <w:t>德市罗财绩〔2023〕6号</w:t>
      </w:r>
      <w:r>
        <w:rPr>
          <w:rFonts w:hint="default" w:ascii="Times New Roman" w:hAnsi="Times New Roman" w:cs="Times New Roman"/>
          <w:color w:val="auto"/>
          <w:szCs w:val="32"/>
          <w:highlight w:val="none"/>
        </w:rPr>
        <w:t>）</w:t>
      </w:r>
      <w:r>
        <w:rPr>
          <w:rFonts w:hint="default" w:ascii="Times New Roman" w:hAnsi="Times New Roman" w:cs="Times New Roman"/>
          <w:color w:val="auto"/>
          <w:highlight w:val="none"/>
        </w:rPr>
        <w:t>中对项目支出绩效评价的相关要求，评价小组对收集到的数据进行整理，并对发现的问题及时处理，保证评价程序的科学性、规范性。</w:t>
      </w:r>
    </w:p>
    <w:p>
      <w:pPr>
        <w:spacing w:line="580" w:lineRule="exact"/>
        <w:ind w:firstLine="640"/>
        <w:rPr>
          <w:rFonts w:hint="default" w:ascii="Times New Roman" w:hAnsi="Times New Roman" w:cs="Times New Roman"/>
          <w:color w:val="auto"/>
          <w:highlight w:val="none"/>
        </w:rPr>
      </w:pPr>
      <w:r>
        <w:rPr>
          <w:rFonts w:hint="default" w:ascii="Times New Roman" w:hAnsi="Times New Roman" w:cs="Times New Roman"/>
          <w:color w:val="auto"/>
          <w:highlight w:val="none"/>
        </w:rPr>
        <w:t>（2）公开公正原则</w:t>
      </w:r>
    </w:p>
    <w:p>
      <w:pPr>
        <w:spacing w:line="580" w:lineRule="exact"/>
        <w:ind w:firstLine="640"/>
        <w:rPr>
          <w:rFonts w:hint="default" w:ascii="Times New Roman" w:hAnsi="Times New Roman" w:cs="Times New Roman"/>
          <w:color w:val="auto"/>
          <w:highlight w:val="none"/>
        </w:rPr>
      </w:pPr>
      <w:r>
        <w:rPr>
          <w:rFonts w:hint="default" w:ascii="Times New Roman" w:hAnsi="Times New Roman" w:cs="Times New Roman"/>
          <w:color w:val="auto"/>
          <w:highlight w:val="none"/>
        </w:rPr>
        <w:t>从评价目标的设定、指标体系的设计、数据收集与填报、复核等所有环节，都必须保障评价过程的公开性、程序的规范性和合理性，评价小组应及时处理评价过程中发现的问题，以此保证评价结果的准确性和科学性。</w:t>
      </w:r>
    </w:p>
    <w:p>
      <w:pPr>
        <w:spacing w:line="580" w:lineRule="exact"/>
        <w:ind w:firstLine="640"/>
        <w:rPr>
          <w:rFonts w:hint="default" w:ascii="Times New Roman" w:hAnsi="Times New Roman" w:cs="Times New Roman"/>
          <w:color w:val="auto"/>
          <w:highlight w:val="none"/>
        </w:rPr>
      </w:pPr>
      <w:r>
        <w:rPr>
          <w:rFonts w:hint="default" w:ascii="Times New Roman" w:hAnsi="Times New Roman" w:cs="Times New Roman"/>
          <w:color w:val="auto"/>
          <w:highlight w:val="none"/>
        </w:rPr>
        <w:t>（3）独立客观原则</w:t>
      </w:r>
    </w:p>
    <w:p>
      <w:pPr>
        <w:spacing w:line="580" w:lineRule="exact"/>
        <w:ind w:firstLine="640"/>
        <w:rPr>
          <w:rFonts w:hint="default" w:ascii="Times New Roman" w:hAnsi="Times New Roman" w:cs="Times New Roman"/>
          <w:color w:val="auto"/>
          <w:highlight w:val="none"/>
        </w:rPr>
      </w:pPr>
      <w:r>
        <w:rPr>
          <w:rFonts w:hint="default" w:ascii="Times New Roman" w:hAnsi="Times New Roman" w:cs="Times New Roman"/>
          <w:color w:val="auto"/>
          <w:highlight w:val="none"/>
        </w:rPr>
        <w:t>评价以数据为准绳，坚持评价的客观性。即由相关部门填报或提供数据，评价小组根据填报或提供的数据，在进行汇总、分析、评价的基础上独立开展绩效评价工作，得出评价结论，并形成评价报告。</w:t>
      </w:r>
    </w:p>
    <w:p>
      <w:pPr>
        <w:pStyle w:val="4"/>
        <w:spacing w:before="0" w:after="0" w:line="580" w:lineRule="exact"/>
        <w:ind w:firstLine="643"/>
        <w:rPr>
          <w:rFonts w:hint="default" w:ascii="Times New Roman" w:hAnsi="Times New Roman" w:cs="Times New Roman"/>
          <w:bCs/>
          <w:color w:val="auto"/>
          <w:szCs w:val="32"/>
          <w:highlight w:val="none"/>
        </w:rPr>
      </w:pPr>
      <w:r>
        <w:rPr>
          <w:rFonts w:hint="default" w:ascii="Times New Roman" w:hAnsi="Times New Roman" w:cs="Times New Roman"/>
          <w:bCs/>
          <w:color w:val="auto"/>
          <w:szCs w:val="32"/>
          <w:highlight w:val="none"/>
        </w:rPr>
        <w:t>3.评价依据及方法</w:t>
      </w:r>
    </w:p>
    <w:p>
      <w:pPr>
        <w:spacing w:line="580" w:lineRule="exact"/>
        <w:ind w:firstLine="640"/>
        <w:rPr>
          <w:rFonts w:hint="default" w:ascii="Times New Roman" w:hAnsi="Times New Roman" w:cs="Times New Roman"/>
          <w:color w:val="auto"/>
          <w:highlight w:val="none"/>
        </w:rPr>
      </w:pPr>
      <w:r>
        <w:rPr>
          <w:rFonts w:hint="default" w:ascii="Times New Roman" w:hAnsi="Times New Roman" w:cs="Times New Roman"/>
          <w:color w:val="auto"/>
          <w:highlight w:val="none"/>
        </w:rPr>
        <w:t>评价小组在绩效评价过程中，参照的评价依据包括但不限于：国家、省、市、区或县相关法律法规、方针政策、规章制度；国家、省、市、区或县各级政府制定的国民经济与社会发展规划；各级财政部门制定的绩效管理制度及工作规范；部门（单位）职能职责；中长期发展规划和年度工作计划；绩效目标等，具体如下：</w:t>
      </w:r>
    </w:p>
    <w:p>
      <w:pPr>
        <w:spacing w:line="580" w:lineRule="exact"/>
        <w:ind w:firstLine="0" w:firstLineChars="0"/>
        <w:jc w:val="center"/>
        <w:rPr>
          <w:rFonts w:hint="default" w:ascii="Times New Roman" w:hAnsi="Times New Roman" w:cs="Times New Roman"/>
          <w:b/>
          <w:bCs/>
          <w:color w:val="auto"/>
          <w:sz w:val="28"/>
          <w:szCs w:val="28"/>
          <w:highlight w:val="none"/>
        </w:rPr>
      </w:pPr>
      <w:r>
        <w:rPr>
          <w:rFonts w:hint="default" w:ascii="Times New Roman" w:hAnsi="Times New Roman" w:cs="Times New Roman"/>
          <w:b/>
          <w:bCs/>
          <w:color w:val="auto"/>
          <w:sz w:val="28"/>
          <w:szCs w:val="28"/>
          <w:highlight w:val="none"/>
        </w:rPr>
        <w:t>表2-1 项目支出绩效评价依据</w:t>
      </w:r>
    </w:p>
    <w:tbl>
      <w:tblPr>
        <w:tblStyle w:val="14"/>
        <w:tblW w:w="887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76"/>
        <w:gridCol w:w="578"/>
        <w:gridCol w:w="69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1" w:hRule="atLeast"/>
          <w:tblHeader/>
        </w:trPr>
        <w:tc>
          <w:tcPr>
            <w:tcW w:w="1376" w:type="dxa"/>
            <w:tcBorders>
              <w:tl2br w:val="nil"/>
              <w:tr2bl w:val="nil"/>
            </w:tcBorders>
            <w:shd w:val="clear" w:color="auto" w:fill="auto"/>
            <w:noWrap/>
            <w:tcMar>
              <w:top w:w="15" w:type="dxa"/>
              <w:left w:w="15" w:type="dxa"/>
              <w:right w:w="15" w:type="dxa"/>
            </w:tcMar>
            <w:vAlign w:val="center"/>
          </w:tcPr>
          <w:p>
            <w:pPr>
              <w:widowControl/>
              <w:ind w:firstLine="0" w:firstLineChars="0"/>
              <w:jc w:val="center"/>
              <w:textAlignment w:val="center"/>
              <w:rPr>
                <w:rFonts w:hint="default" w:ascii="Times New Roman" w:hAnsi="Times New Roman" w:cs="Times New Roman"/>
                <w:b/>
                <w:color w:val="auto"/>
                <w:sz w:val="24"/>
                <w:highlight w:val="none"/>
              </w:rPr>
            </w:pPr>
            <w:r>
              <w:rPr>
                <w:rFonts w:hint="default" w:ascii="Times New Roman" w:hAnsi="Times New Roman" w:cs="Times New Roman"/>
                <w:b/>
                <w:color w:val="auto"/>
                <w:kern w:val="0"/>
                <w:sz w:val="24"/>
                <w:highlight w:val="none"/>
                <w:lang w:bidi="ar"/>
              </w:rPr>
              <w:t>类型</w:t>
            </w:r>
          </w:p>
        </w:tc>
        <w:tc>
          <w:tcPr>
            <w:tcW w:w="578" w:type="dxa"/>
            <w:tcBorders>
              <w:tl2br w:val="nil"/>
              <w:tr2bl w:val="nil"/>
            </w:tcBorders>
            <w:shd w:val="clear" w:color="auto" w:fill="auto"/>
            <w:noWrap/>
            <w:tcMar>
              <w:top w:w="15" w:type="dxa"/>
              <w:left w:w="15" w:type="dxa"/>
              <w:right w:w="15" w:type="dxa"/>
            </w:tcMar>
            <w:vAlign w:val="center"/>
          </w:tcPr>
          <w:p>
            <w:pPr>
              <w:widowControl/>
              <w:ind w:firstLine="0" w:firstLineChars="0"/>
              <w:jc w:val="center"/>
              <w:textAlignment w:val="center"/>
              <w:rPr>
                <w:rFonts w:hint="default" w:ascii="Times New Roman" w:hAnsi="Times New Roman" w:cs="Times New Roman"/>
                <w:b/>
                <w:color w:val="auto"/>
                <w:sz w:val="24"/>
                <w:highlight w:val="none"/>
              </w:rPr>
            </w:pPr>
            <w:r>
              <w:rPr>
                <w:rFonts w:hint="default" w:ascii="Times New Roman" w:hAnsi="Times New Roman" w:cs="Times New Roman"/>
                <w:b/>
                <w:color w:val="auto"/>
                <w:kern w:val="0"/>
                <w:sz w:val="24"/>
                <w:highlight w:val="none"/>
                <w:lang w:bidi="ar"/>
              </w:rPr>
              <w:t>序号</w:t>
            </w:r>
          </w:p>
        </w:tc>
        <w:tc>
          <w:tcPr>
            <w:tcW w:w="6921" w:type="dxa"/>
            <w:tcBorders>
              <w:tl2br w:val="nil"/>
              <w:tr2bl w:val="nil"/>
            </w:tcBorders>
            <w:shd w:val="clear" w:color="auto" w:fill="auto"/>
            <w:noWrap/>
            <w:tcMar>
              <w:top w:w="15" w:type="dxa"/>
              <w:left w:w="15" w:type="dxa"/>
              <w:right w:w="15" w:type="dxa"/>
            </w:tcMar>
            <w:vAlign w:val="center"/>
          </w:tcPr>
          <w:p>
            <w:pPr>
              <w:widowControl/>
              <w:ind w:firstLine="0" w:firstLineChars="0"/>
              <w:jc w:val="center"/>
              <w:textAlignment w:val="center"/>
              <w:rPr>
                <w:rFonts w:hint="default" w:ascii="Times New Roman" w:hAnsi="Times New Roman" w:cs="Times New Roman"/>
                <w:b/>
                <w:color w:val="auto"/>
                <w:sz w:val="24"/>
                <w:highlight w:val="none"/>
              </w:rPr>
            </w:pPr>
            <w:r>
              <w:rPr>
                <w:rFonts w:hint="default" w:ascii="Times New Roman" w:hAnsi="Times New Roman" w:cs="Times New Roman"/>
                <w:b/>
                <w:color w:val="auto"/>
                <w:kern w:val="0"/>
                <w:sz w:val="24"/>
                <w:highlight w:val="none"/>
                <w:lang w:bidi="ar"/>
              </w:rPr>
              <w:t>文件名称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blHeader/>
        </w:trPr>
        <w:tc>
          <w:tcPr>
            <w:tcW w:w="1376" w:type="dxa"/>
            <w:vMerge w:val="restart"/>
            <w:tcBorders>
              <w:tl2br w:val="nil"/>
              <w:tr2bl w:val="nil"/>
            </w:tcBorders>
            <w:shd w:val="clear" w:color="auto" w:fill="auto"/>
            <w:noWrap/>
            <w:tcMar>
              <w:top w:w="15" w:type="dxa"/>
              <w:left w:w="15" w:type="dxa"/>
              <w:right w:w="15" w:type="dxa"/>
            </w:tcMar>
            <w:vAlign w:val="center"/>
          </w:tcPr>
          <w:p>
            <w:pPr>
              <w:widowControl/>
              <w:ind w:firstLine="0" w:firstLineChars="0"/>
              <w:jc w:val="center"/>
              <w:textAlignment w:val="center"/>
              <w:rPr>
                <w:rFonts w:hint="default" w:ascii="Times New Roman" w:hAnsi="Times New Roman" w:cs="Times New Roman"/>
                <w:color w:val="auto"/>
                <w:sz w:val="24"/>
                <w:highlight w:val="none"/>
              </w:rPr>
            </w:pPr>
            <w:r>
              <w:rPr>
                <w:rFonts w:hint="default" w:ascii="Times New Roman" w:hAnsi="Times New Roman" w:cs="Times New Roman"/>
                <w:color w:val="auto"/>
                <w:kern w:val="0"/>
                <w:sz w:val="24"/>
                <w:highlight w:val="none"/>
                <w:lang w:bidi="ar"/>
              </w:rPr>
              <w:t>绩效管理类</w:t>
            </w:r>
          </w:p>
        </w:tc>
        <w:tc>
          <w:tcPr>
            <w:tcW w:w="578" w:type="dxa"/>
            <w:tcBorders>
              <w:tl2br w:val="nil"/>
              <w:tr2bl w:val="nil"/>
            </w:tcBorders>
            <w:shd w:val="clear" w:color="auto" w:fill="auto"/>
            <w:noWrap/>
            <w:tcMar>
              <w:top w:w="15" w:type="dxa"/>
              <w:left w:w="15" w:type="dxa"/>
              <w:right w:w="15" w:type="dxa"/>
            </w:tcMar>
            <w:vAlign w:val="center"/>
          </w:tcPr>
          <w:p>
            <w:pPr>
              <w:widowControl/>
              <w:ind w:firstLine="0" w:firstLineChars="0"/>
              <w:jc w:val="center"/>
              <w:textAlignment w:val="center"/>
              <w:rPr>
                <w:rFonts w:hint="default" w:ascii="Times New Roman" w:hAnsi="Times New Roman" w:cs="Times New Roman"/>
                <w:color w:val="auto"/>
                <w:sz w:val="24"/>
                <w:highlight w:val="none"/>
              </w:rPr>
            </w:pPr>
            <w:r>
              <w:rPr>
                <w:rFonts w:hint="default" w:ascii="Times New Roman" w:hAnsi="Times New Roman" w:cs="Times New Roman"/>
                <w:color w:val="auto"/>
                <w:kern w:val="0"/>
                <w:sz w:val="24"/>
                <w:highlight w:val="none"/>
                <w:lang w:bidi="ar"/>
              </w:rPr>
              <w:t>1</w:t>
            </w:r>
          </w:p>
        </w:tc>
        <w:tc>
          <w:tcPr>
            <w:tcW w:w="6921" w:type="dxa"/>
            <w:tcBorders>
              <w:tl2br w:val="nil"/>
              <w:tr2bl w:val="nil"/>
            </w:tcBorders>
            <w:shd w:val="clear" w:color="auto" w:fill="auto"/>
            <w:noWrap/>
            <w:tcMar>
              <w:top w:w="15" w:type="dxa"/>
              <w:left w:w="15" w:type="dxa"/>
              <w:right w:w="15" w:type="dxa"/>
            </w:tcMar>
            <w:vAlign w:val="center"/>
          </w:tcPr>
          <w:p>
            <w:pPr>
              <w:widowControl/>
              <w:ind w:firstLine="0" w:firstLineChars="0"/>
              <w:textAlignment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《关于全面实施预算绩效管理的意见》（中发〔2018〕34号）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blHeader/>
        </w:trPr>
        <w:tc>
          <w:tcPr>
            <w:tcW w:w="1376" w:type="dxa"/>
            <w:vMerge w:val="continue"/>
            <w:tcBorders>
              <w:tl2br w:val="nil"/>
              <w:tr2bl w:val="nil"/>
            </w:tcBorders>
            <w:shd w:val="clear" w:color="auto" w:fill="auto"/>
            <w:noWrap/>
            <w:tcMar>
              <w:top w:w="15" w:type="dxa"/>
              <w:left w:w="15" w:type="dxa"/>
              <w:right w:w="15" w:type="dxa"/>
            </w:tcMar>
            <w:vAlign w:val="center"/>
          </w:tcPr>
          <w:p>
            <w:pPr>
              <w:ind w:firstLine="0" w:firstLineChars="0"/>
              <w:jc w:val="center"/>
              <w:rPr>
                <w:rFonts w:hint="default" w:ascii="Times New Roman" w:hAnsi="Times New Roman" w:cs="Times New Roman"/>
                <w:color w:val="auto"/>
                <w:sz w:val="24"/>
                <w:highlight w:val="none"/>
              </w:rPr>
            </w:pPr>
          </w:p>
        </w:tc>
        <w:tc>
          <w:tcPr>
            <w:tcW w:w="578" w:type="dxa"/>
            <w:tcBorders>
              <w:tl2br w:val="nil"/>
              <w:tr2bl w:val="nil"/>
            </w:tcBorders>
            <w:shd w:val="clear" w:color="auto" w:fill="auto"/>
            <w:noWrap/>
            <w:tcMar>
              <w:top w:w="15" w:type="dxa"/>
              <w:left w:w="15" w:type="dxa"/>
              <w:right w:w="15" w:type="dxa"/>
            </w:tcMar>
            <w:vAlign w:val="center"/>
          </w:tcPr>
          <w:p>
            <w:pPr>
              <w:widowControl/>
              <w:ind w:firstLine="0" w:firstLineChars="0"/>
              <w:jc w:val="center"/>
              <w:textAlignment w:val="center"/>
              <w:rPr>
                <w:rFonts w:hint="default" w:ascii="Times New Roman" w:hAnsi="Times New Roman" w:cs="Times New Roman"/>
                <w:color w:val="auto"/>
                <w:sz w:val="24"/>
                <w:highlight w:val="none"/>
              </w:rPr>
            </w:pPr>
            <w:r>
              <w:rPr>
                <w:rFonts w:hint="default" w:ascii="Times New Roman" w:hAnsi="Times New Roman" w:cs="Times New Roman"/>
                <w:color w:val="auto"/>
                <w:kern w:val="0"/>
                <w:sz w:val="24"/>
                <w:highlight w:val="none"/>
                <w:lang w:bidi="ar"/>
              </w:rPr>
              <w:t>2</w:t>
            </w:r>
          </w:p>
        </w:tc>
        <w:tc>
          <w:tcPr>
            <w:tcW w:w="6921" w:type="dxa"/>
            <w:tcBorders>
              <w:tl2br w:val="nil"/>
              <w:tr2bl w:val="nil"/>
            </w:tcBorders>
            <w:shd w:val="clear" w:color="auto" w:fill="auto"/>
            <w:noWrap/>
            <w:tcMar>
              <w:top w:w="15" w:type="dxa"/>
              <w:left w:w="15" w:type="dxa"/>
              <w:right w:w="15" w:type="dxa"/>
            </w:tcMar>
            <w:vAlign w:val="center"/>
          </w:tcPr>
          <w:p>
            <w:pPr>
              <w:widowControl/>
              <w:ind w:firstLine="0" w:firstLineChars="0"/>
              <w:textAlignment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《关于印发〈预算绩效评价共性指标体系框架〉的通知》（财预〔2013〕53号）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blHeader/>
        </w:trPr>
        <w:tc>
          <w:tcPr>
            <w:tcW w:w="1376" w:type="dxa"/>
            <w:vMerge w:val="continue"/>
            <w:tcBorders>
              <w:tl2br w:val="nil"/>
              <w:tr2bl w:val="nil"/>
            </w:tcBorders>
            <w:shd w:val="clear" w:color="auto" w:fill="auto"/>
            <w:noWrap/>
            <w:tcMar>
              <w:top w:w="15" w:type="dxa"/>
              <w:left w:w="15" w:type="dxa"/>
              <w:right w:w="15" w:type="dxa"/>
            </w:tcMar>
            <w:vAlign w:val="center"/>
          </w:tcPr>
          <w:p>
            <w:pPr>
              <w:ind w:firstLine="0" w:firstLineChars="0"/>
              <w:jc w:val="center"/>
              <w:rPr>
                <w:rFonts w:hint="default" w:ascii="Times New Roman" w:hAnsi="Times New Roman" w:cs="Times New Roman"/>
                <w:color w:val="auto"/>
                <w:sz w:val="24"/>
                <w:highlight w:val="none"/>
              </w:rPr>
            </w:pPr>
          </w:p>
        </w:tc>
        <w:tc>
          <w:tcPr>
            <w:tcW w:w="578" w:type="dxa"/>
            <w:tcBorders>
              <w:tl2br w:val="nil"/>
              <w:tr2bl w:val="nil"/>
            </w:tcBorders>
            <w:shd w:val="clear" w:color="auto" w:fill="auto"/>
            <w:noWrap/>
            <w:tcMar>
              <w:top w:w="15" w:type="dxa"/>
              <w:left w:w="15" w:type="dxa"/>
              <w:right w:w="15" w:type="dxa"/>
            </w:tcMar>
            <w:vAlign w:val="center"/>
          </w:tcPr>
          <w:p>
            <w:pPr>
              <w:widowControl/>
              <w:ind w:firstLine="0" w:firstLineChars="0"/>
              <w:jc w:val="center"/>
              <w:textAlignment w:val="center"/>
              <w:rPr>
                <w:rFonts w:hint="default" w:ascii="Times New Roman" w:hAnsi="Times New Roman" w:cs="Times New Roman"/>
                <w:color w:val="auto"/>
                <w:sz w:val="24"/>
                <w:highlight w:val="none"/>
              </w:rPr>
            </w:pPr>
            <w:r>
              <w:rPr>
                <w:rFonts w:hint="default" w:ascii="Times New Roman" w:hAnsi="Times New Roman" w:cs="Times New Roman"/>
                <w:color w:val="auto"/>
                <w:kern w:val="0"/>
                <w:sz w:val="24"/>
                <w:highlight w:val="none"/>
                <w:lang w:bidi="ar"/>
              </w:rPr>
              <w:t>3</w:t>
            </w:r>
          </w:p>
        </w:tc>
        <w:tc>
          <w:tcPr>
            <w:tcW w:w="6921" w:type="dxa"/>
            <w:tcBorders>
              <w:tl2br w:val="nil"/>
              <w:tr2bl w:val="nil"/>
            </w:tcBorders>
            <w:shd w:val="clear" w:color="auto" w:fill="auto"/>
            <w:noWrap/>
            <w:tcMar>
              <w:top w:w="15" w:type="dxa"/>
              <w:left w:w="15" w:type="dxa"/>
              <w:right w:w="15" w:type="dxa"/>
            </w:tcMar>
            <w:vAlign w:val="center"/>
          </w:tcPr>
          <w:p>
            <w:pPr>
              <w:widowControl/>
              <w:ind w:firstLine="0" w:firstLineChars="0"/>
              <w:textAlignment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《项目支出绩效评价管理办法》（财预〔2020〕10号）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blHeader/>
        </w:trPr>
        <w:tc>
          <w:tcPr>
            <w:tcW w:w="1376" w:type="dxa"/>
            <w:vMerge w:val="continue"/>
            <w:tcBorders>
              <w:tl2br w:val="nil"/>
              <w:tr2bl w:val="nil"/>
            </w:tcBorders>
            <w:shd w:val="clear" w:color="auto" w:fill="auto"/>
            <w:noWrap/>
            <w:tcMar>
              <w:top w:w="15" w:type="dxa"/>
              <w:left w:w="15" w:type="dxa"/>
              <w:right w:w="15" w:type="dxa"/>
            </w:tcMar>
            <w:vAlign w:val="center"/>
          </w:tcPr>
          <w:p>
            <w:pPr>
              <w:ind w:firstLine="0" w:firstLineChars="0"/>
              <w:jc w:val="center"/>
              <w:rPr>
                <w:rFonts w:hint="default" w:ascii="Times New Roman" w:hAnsi="Times New Roman" w:cs="Times New Roman"/>
                <w:color w:val="auto"/>
                <w:sz w:val="24"/>
                <w:highlight w:val="none"/>
              </w:rPr>
            </w:pPr>
          </w:p>
        </w:tc>
        <w:tc>
          <w:tcPr>
            <w:tcW w:w="578" w:type="dxa"/>
            <w:tcBorders>
              <w:tl2br w:val="nil"/>
              <w:tr2bl w:val="nil"/>
            </w:tcBorders>
            <w:shd w:val="clear" w:color="auto" w:fill="auto"/>
            <w:noWrap/>
            <w:tcMar>
              <w:top w:w="15" w:type="dxa"/>
              <w:left w:w="15" w:type="dxa"/>
              <w:right w:w="15" w:type="dxa"/>
            </w:tcMar>
            <w:vAlign w:val="center"/>
          </w:tcPr>
          <w:p>
            <w:pPr>
              <w:widowControl/>
              <w:ind w:firstLine="0" w:firstLineChars="0"/>
              <w:jc w:val="center"/>
              <w:textAlignment w:val="center"/>
              <w:rPr>
                <w:rFonts w:hint="default" w:ascii="Times New Roman" w:hAnsi="Times New Roman" w:cs="Times New Roman"/>
                <w:color w:val="auto"/>
                <w:sz w:val="24"/>
                <w:highlight w:val="none"/>
              </w:rPr>
            </w:pPr>
            <w:r>
              <w:rPr>
                <w:rFonts w:hint="default" w:ascii="Times New Roman" w:hAnsi="Times New Roman" w:cs="Times New Roman"/>
                <w:color w:val="auto"/>
                <w:kern w:val="0"/>
                <w:sz w:val="24"/>
                <w:highlight w:val="none"/>
                <w:lang w:bidi="ar"/>
              </w:rPr>
              <w:t>4</w:t>
            </w:r>
          </w:p>
        </w:tc>
        <w:tc>
          <w:tcPr>
            <w:tcW w:w="6921" w:type="dxa"/>
            <w:tcBorders>
              <w:tl2br w:val="nil"/>
              <w:tr2bl w:val="nil"/>
            </w:tcBorders>
            <w:shd w:val="clear" w:color="auto" w:fill="auto"/>
            <w:noWrap/>
            <w:tcMar>
              <w:top w:w="15" w:type="dxa"/>
              <w:left w:w="15" w:type="dxa"/>
              <w:right w:w="15" w:type="dxa"/>
            </w:tcMar>
            <w:vAlign w:val="center"/>
          </w:tcPr>
          <w:p>
            <w:pPr>
              <w:widowControl/>
              <w:ind w:firstLine="0" w:firstLineChars="0"/>
              <w:textAlignment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《中共四川省委 四川省人民政府关于全面实施预算绩效管理的实施意见》（川委发〔2019〕8号）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blHeader/>
        </w:trPr>
        <w:tc>
          <w:tcPr>
            <w:tcW w:w="1376" w:type="dxa"/>
            <w:vMerge w:val="continue"/>
            <w:tcBorders>
              <w:tl2br w:val="nil"/>
              <w:tr2bl w:val="nil"/>
            </w:tcBorders>
            <w:shd w:val="clear" w:color="auto" w:fill="auto"/>
            <w:noWrap/>
            <w:tcMar>
              <w:top w:w="15" w:type="dxa"/>
              <w:left w:w="15" w:type="dxa"/>
              <w:right w:w="15" w:type="dxa"/>
            </w:tcMar>
            <w:vAlign w:val="center"/>
          </w:tcPr>
          <w:p>
            <w:pPr>
              <w:ind w:firstLine="0" w:firstLineChars="0"/>
              <w:jc w:val="center"/>
              <w:rPr>
                <w:rFonts w:hint="default" w:ascii="Times New Roman" w:hAnsi="Times New Roman" w:cs="Times New Roman"/>
                <w:color w:val="auto"/>
                <w:sz w:val="24"/>
                <w:highlight w:val="none"/>
              </w:rPr>
            </w:pPr>
          </w:p>
        </w:tc>
        <w:tc>
          <w:tcPr>
            <w:tcW w:w="578" w:type="dxa"/>
            <w:tcBorders>
              <w:tl2br w:val="nil"/>
              <w:tr2bl w:val="nil"/>
            </w:tcBorders>
            <w:shd w:val="clear" w:color="auto" w:fill="auto"/>
            <w:noWrap/>
            <w:tcMar>
              <w:top w:w="15" w:type="dxa"/>
              <w:left w:w="15" w:type="dxa"/>
              <w:right w:w="15" w:type="dxa"/>
            </w:tcMar>
            <w:vAlign w:val="center"/>
          </w:tcPr>
          <w:p>
            <w:pPr>
              <w:widowControl/>
              <w:ind w:firstLine="0" w:firstLineChars="0"/>
              <w:jc w:val="center"/>
              <w:textAlignment w:val="center"/>
              <w:rPr>
                <w:rFonts w:hint="default" w:ascii="Times New Roman" w:hAnsi="Times New Roman" w:cs="Times New Roman"/>
                <w:color w:val="auto"/>
                <w:sz w:val="24"/>
                <w:highlight w:val="none"/>
              </w:rPr>
            </w:pPr>
            <w:r>
              <w:rPr>
                <w:rFonts w:hint="default" w:ascii="Times New Roman" w:hAnsi="Times New Roman" w:cs="Times New Roman"/>
                <w:color w:val="auto"/>
                <w:kern w:val="0"/>
                <w:sz w:val="24"/>
                <w:highlight w:val="none"/>
                <w:lang w:bidi="ar"/>
              </w:rPr>
              <w:t>5</w:t>
            </w:r>
          </w:p>
        </w:tc>
        <w:tc>
          <w:tcPr>
            <w:tcW w:w="6921" w:type="dxa"/>
            <w:tcBorders>
              <w:tl2br w:val="nil"/>
              <w:tr2bl w:val="nil"/>
            </w:tcBorders>
            <w:shd w:val="clear" w:color="auto" w:fill="auto"/>
            <w:noWrap/>
            <w:tcMar>
              <w:top w:w="15" w:type="dxa"/>
              <w:left w:w="15" w:type="dxa"/>
              <w:right w:w="15" w:type="dxa"/>
            </w:tcMar>
            <w:vAlign w:val="center"/>
          </w:tcPr>
          <w:p>
            <w:pPr>
              <w:widowControl/>
              <w:ind w:firstLine="0" w:firstLineChars="0"/>
              <w:textAlignment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《德阳市罗江区财政局关于开展2022年重点绩效评价工作的通知》（</w:t>
            </w:r>
            <w:r>
              <w:rPr>
                <w:rFonts w:hint="eastAsia" w:ascii="Times New Roman" w:hAnsi="Times New Roman" w:cs="Times New Roman"/>
                <w:color w:val="auto"/>
                <w:sz w:val="24"/>
                <w:highlight w:val="none"/>
                <w:lang w:eastAsia="zh-CN"/>
              </w:rPr>
              <w:t>德市罗财绩〔2023〕6号</w:t>
            </w:r>
            <w:r>
              <w:rPr>
                <w:rFonts w:hint="default" w:ascii="Times New Roman" w:hAnsi="Times New Roman" w:cs="Times New Roman"/>
                <w:color w:val="auto"/>
                <w:sz w:val="24"/>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blHeader/>
        </w:trPr>
        <w:tc>
          <w:tcPr>
            <w:tcW w:w="1376" w:type="dxa"/>
            <w:vMerge w:val="restart"/>
            <w:tcBorders>
              <w:tl2br w:val="nil"/>
              <w:tr2bl w:val="nil"/>
            </w:tcBorders>
            <w:shd w:val="clear" w:color="auto" w:fill="auto"/>
            <w:noWrap/>
            <w:tcMar>
              <w:top w:w="15" w:type="dxa"/>
              <w:left w:w="15" w:type="dxa"/>
              <w:right w:w="15" w:type="dxa"/>
            </w:tcMar>
            <w:vAlign w:val="center"/>
          </w:tcPr>
          <w:p>
            <w:pPr>
              <w:widowControl/>
              <w:ind w:firstLine="0" w:firstLineChars="0"/>
              <w:jc w:val="center"/>
              <w:textAlignment w:val="center"/>
              <w:rPr>
                <w:rFonts w:hint="default" w:ascii="Times New Roman" w:hAnsi="Times New Roman" w:cs="Times New Roman"/>
                <w:color w:val="auto"/>
                <w:sz w:val="24"/>
                <w:highlight w:val="none"/>
              </w:rPr>
            </w:pPr>
            <w:r>
              <w:rPr>
                <w:rFonts w:hint="default" w:ascii="Times New Roman" w:hAnsi="Times New Roman" w:cs="Times New Roman"/>
                <w:color w:val="auto"/>
                <w:kern w:val="0"/>
                <w:sz w:val="24"/>
                <w:highlight w:val="none"/>
                <w:lang w:bidi="ar"/>
              </w:rPr>
              <w:t>业务相关类</w:t>
            </w:r>
          </w:p>
        </w:tc>
        <w:tc>
          <w:tcPr>
            <w:tcW w:w="578" w:type="dxa"/>
            <w:tcBorders>
              <w:tl2br w:val="nil"/>
              <w:tr2bl w:val="nil"/>
            </w:tcBorders>
            <w:shd w:val="clear" w:color="auto" w:fill="auto"/>
            <w:noWrap/>
            <w:tcMar>
              <w:top w:w="15" w:type="dxa"/>
              <w:left w:w="15" w:type="dxa"/>
              <w:right w:w="15" w:type="dxa"/>
            </w:tcMar>
            <w:vAlign w:val="center"/>
          </w:tcPr>
          <w:p>
            <w:pPr>
              <w:widowControl/>
              <w:ind w:firstLine="0" w:firstLineChars="0"/>
              <w:jc w:val="center"/>
              <w:textAlignment w:val="center"/>
              <w:rPr>
                <w:rFonts w:hint="default" w:ascii="Times New Roman" w:hAnsi="Times New Roman" w:cs="Times New Roman"/>
                <w:color w:val="auto"/>
                <w:sz w:val="24"/>
                <w:highlight w:val="none"/>
              </w:rPr>
            </w:pPr>
            <w:r>
              <w:rPr>
                <w:rFonts w:hint="default" w:ascii="Times New Roman" w:hAnsi="Times New Roman" w:cs="Times New Roman"/>
                <w:color w:val="auto"/>
                <w:kern w:val="0"/>
                <w:sz w:val="24"/>
                <w:highlight w:val="none"/>
                <w:lang w:bidi="ar"/>
              </w:rPr>
              <w:t>6</w:t>
            </w:r>
          </w:p>
        </w:tc>
        <w:tc>
          <w:tcPr>
            <w:tcW w:w="6921" w:type="dxa"/>
            <w:tcBorders>
              <w:tl2br w:val="nil"/>
              <w:tr2bl w:val="nil"/>
            </w:tcBorders>
            <w:shd w:val="clear" w:color="auto" w:fill="auto"/>
            <w:noWrap/>
            <w:tcMar>
              <w:top w:w="15" w:type="dxa"/>
              <w:left w:w="15" w:type="dxa"/>
              <w:right w:w="15" w:type="dxa"/>
            </w:tcMar>
            <w:vAlign w:val="center"/>
          </w:tcPr>
          <w:p>
            <w:pPr>
              <w:ind w:firstLine="0" w:firstLineChars="0"/>
              <w:rPr>
                <w:rFonts w:hint="default" w:ascii="Times New Roman" w:hAnsi="Times New Roman" w:cs="Times New Roman"/>
                <w:color w:val="auto"/>
                <w:sz w:val="24"/>
                <w:highlight w:val="none"/>
              </w:rPr>
            </w:pPr>
            <w:r>
              <w:rPr>
                <w:rFonts w:hint="eastAsia" w:ascii="Times New Roman" w:hAnsi="Times New Roman" w:cs="Times New Roman"/>
                <w:color w:val="auto"/>
                <w:spacing w:val="-4"/>
                <w:sz w:val="24"/>
                <w:highlight w:val="none"/>
                <w:lang w:eastAsia="zh-CN"/>
              </w:rPr>
              <w:t>《</w:t>
            </w:r>
            <w:r>
              <w:rPr>
                <w:rFonts w:hint="default" w:ascii="Times New Roman" w:hAnsi="Times New Roman" w:cs="Times New Roman"/>
                <w:color w:val="auto"/>
                <w:spacing w:val="-4"/>
                <w:sz w:val="24"/>
                <w:highlight w:val="none"/>
              </w:rPr>
              <w:t xml:space="preserve">财政部关于提前下达 </w:t>
            </w:r>
            <w:r>
              <w:rPr>
                <w:rFonts w:hint="eastAsia" w:ascii="Times New Roman" w:hAnsi="Times New Roman" w:cs="Times New Roman"/>
                <w:color w:val="auto"/>
                <w:spacing w:val="-4"/>
                <w:sz w:val="24"/>
                <w:highlight w:val="none"/>
                <w:lang w:val="en-US" w:eastAsia="zh-CN"/>
              </w:rPr>
              <w:t>2022</w:t>
            </w:r>
            <w:r>
              <w:rPr>
                <w:rFonts w:hint="default" w:ascii="Times New Roman" w:hAnsi="Times New Roman" w:cs="Times New Roman"/>
                <w:color w:val="auto"/>
                <w:spacing w:val="-4"/>
                <w:sz w:val="24"/>
                <w:highlight w:val="none"/>
              </w:rPr>
              <w:t>年水利发展资金预算的通知</w:t>
            </w:r>
            <w:r>
              <w:rPr>
                <w:rFonts w:hint="eastAsia" w:ascii="Times New Roman" w:hAnsi="Times New Roman" w:cs="Times New Roman"/>
                <w:color w:val="auto"/>
                <w:spacing w:val="-4"/>
                <w:sz w:val="24"/>
                <w:highlight w:val="none"/>
                <w:lang w:eastAsia="zh-CN"/>
              </w:rPr>
              <w:t>》（</w:t>
            </w:r>
            <w:r>
              <w:rPr>
                <w:rFonts w:hint="default" w:ascii="Times New Roman" w:hAnsi="Times New Roman" w:cs="Times New Roman"/>
                <w:color w:val="auto"/>
                <w:spacing w:val="-4"/>
                <w:sz w:val="24"/>
                <w:highlight w:val="none"/>
              </w:rPr>
              <w:t>财农〔</w:t>
            </w:r>
            <w:r>
              <w:rPr>
                <w:rFonts w:hint="eastAsia" w:ascii="Times New Roman" w:hAnsi="Times New Roman" w:cs="Times New Roman"/>
                <w:color w:val="auto"/>
                <w:spacing w:val="-4"/>
                <w:sz w:val="24"/>
                <w:highlight w:val="none"/>
                <w:lang w:val="en-US" w:eastAsia="zh-CN"/>
              </w:rPr>
              <w:t>2021</w:t>
            </w:r>
            <w:r>
              <w:rPr>
                <w:rFonts w:hint="default" w:ascii="Times New Roman" w:hAnsi="Times New Roman" w:cs="Times New Roman"/>
                <w:color w:val="auto"/>
                <w:spacing w:val="-4"/>
                <w:sz w:val="24"/>
                <w:highlight w:val="none"/>
              </w:rPr>
              <w:t>〕</w:t>
            </w:r>
            <w:r>
              <w:rPr>
                <w:rFonts w:hint="eastAsia" w:ascii="Times New Roman" w:hAnsi="Times New Roman" w:cs="Times New Roman"/>
                <w:color w:val="auto"/>
                <w:spacing w:val="-4"/>
                <w:sz w:val="24"/>
                <w:highlight w:val="none"/>
                <w:lang w:val="en-US" w:eastAsia="zh-CN"/>
              </w:rPr>
              <w:t>102</w:t>
            </w:r>
            <w:r>
              <w:rPr>
                <w:rFonts w:hint="default" w:ascii="Times New Roman" w:hAnsi="Times New Roman" w:cs="Times New Roman"/>
                <w:color w:val="auto"/>
                <w:spacing w:val="-4"/>
                <w:sz w:val="24"/>
                <w:highlight w:val="none"/>
              </w:rPr>
              <w:t>号</w:t>
            </w:r>
            <w:r>
              <w:rPr>
                <w:rFonts w:hint="eastAsia" w:ascii="Times New Roman" w:hAnsi="Times New Roman" w:cs="Times New Roman"/>
                <w:color w:val="auto"/>
                <w:spacing w:val="-4"/>
                <w:sz w:val="24"/>
                <w:highlight w:val="none"/>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blHeader/>
        </w:trPr>
        <w:tc>
          <w:tcPr>
            <w:tcW w:w="1376" w:type="dxa"/>
            <w:vMerge w:val="continue"/>
            <w:tcBorders>
              <w:tl2br w:val="nil"/>
              <w:tr2bl w:val="nil"/>
            </w:tcBorders>
            <w:shd w:val="clear" w:color="auto" w:fill="auto"/>
            <w:noWrap/>
            <w:tcMar>
              <w:top w:w="15" w:type="dxa"/>
              <w:left w:w="15" w:type="dxa"/>
              <w:right w:w="15" w:type="dxa"/>
            </w:tcMar>
            <w:vAlign w:val="center"/>
          </w:tcPr>
          <w:p>
            <w:pPr>
              <w:ind w:firstLine="0" w:firstLineChars="0"/>
              <w:jc w:val="center"/>
              <w:rPr>
                <w:rFonts w:hint="default" w:ascii="Times New Roman" w:hAnsi="Times New Roman" w:cs="Times New Roman"/>
                <w:color w:val="auto"/>
                <w:sz w:val="24"/>
                <w:highlight w:val="none"/>
              </w:rPr>
            </w:pPr>
          </w:p>
        </w:tc>
        <w:tc>
          <w:tcPr>
            <w:tcW w:w="578" w:type="dxa"/>
            <w:tcBorders>
              <w:tl2br w:val="nil"/>
              <w:tr2bl w:val="nil"/>
            </w:tcBorders>
            <w:shd w:val="clear" w:color="auto" w:fill="auto"/>
            <w:noWrap/>
            <w:tcMar>
              <w:top w:w="15" w:type="dxa"/>
              <w:left w:w="15" w:type="dxa"/>
              <w:right w:w="15" w:type="dxa"/>
            </w:tcMar>
            <w:vAlign w:val="center"/>
          </w:tcPr>
          <w:p>
            <w:pPr>
              <w:widowControl/>
              <w:ind w:firstLine="0" w:firstLineChars="0"/>
              <w:jc w:val="center"/>
              <w:textAlignment w:val="center"/>
              <w:rPr>
                <w:rFonts w:hint="default" w:ascii="Times New Roman" w:hAnsi="Times New Roman" w:cs="Times New Roman"/>
                <w:color w:val="auto"/>
                <w:kern w:val="0"/>
                <w:sz w:val="24"/>
                <w:highlight w:val="none"/>
                <w:lang w:bidi="ar"/>
              </w:rPr>
            </w:pPr>
            <w:r>
              <w:rPr>
                <w:rFonts w:hint="default" w:ascii="Times New Roman" w:hAnsi="Times New Roman" w:cs="Times New Roman"/>
                <w:color w:val="auto"/>
                <w:kern w:val="0"/>
                <w:sz w:val="24"/>
                <w:highlight w:val="none"/>
                <w:lang w:bidi="ar"/>
              </w:rPr>
              <w:t>7</w:t>
            </w:r>
          </w:p>
        </w:tc>
        <w:tc>
          <w:tcPr>
            <w:tcW w:w="6921" w:type="dxa"/>
            <w:tcBorders>
              <w:tl2br w:val="nil"/>
              <w:tr2bl w:val="nil"/>
            </w:tcBorders>
            <w:shd w:val="clear" w:color="auto" w:fill="auto"/>
            <w:noWrap/>
            <w:tcMar>
              <w:top w:w="15" w:type="dxa"/>
              <w:left w:w="15" w:type="dxa"/>
              <w:right w:w="15" w:type="dxa"/>
            </w:tcMar>
            <w:vAlign w:val="center"/>
          </w:tcPr>
          <w:p>
            <w:pPr>
              <w:ind w:firstLine="0" w:firstLineChars="0"/>
              <w:rPr>
                <w:rFonts w:hint="default" w:ascii="Times New Roman" w:hAnsi="Times New Roman" w:cs="Times New Roman"/>
                <w:color w:val="auto"/>
                <w:kern w:val="0"/>
                <w:sz w:val="24"/>
                <w:highlight w:val="none"/>
                <w:lang w:bidi="ar"/>
              </w:rPr>
            </w:pPr>
            <w:r>
              <w:rPr>
                <w:rFonts w:hint="default" w:ascii="Times New Roman" w:hAnsi="Times New Roman" w:cs="Times New Roman"/>
                <w:color w:val="auto"/>
                <w:spacing w:val="-2"/>
                <w:sz w:val="24"/>
                <w:highlight w:val="none"/>
              </w:rPr>
              <w:t>《四川省财政厅 四川省水利厅关于下达2022年中央和省级水利发展资金的通知》（川财农〔2022〕9号）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blHeader/>
        </w:trPr>
        <w:tc>
          <w:tcPr>
            <w:tcW w:w="1376" w:type="dxa"/>
            <w:vMerge w:val="continue"/>
            <w:tcBorders>
              <w:tl2br w:val="nil"/>
              <w:tr2bl w:val="nil"/>
            </w:tcBorders>
            <w:shd w:val="clear" w:color="auto" w:fill="auto"/>
            <w:noWrap/>
            <w:tcMar>
              <w:top w:w="15" w:type="dxa"/>
              <w:left w:w="15" w:type="dxa"/>
              <w:right w:w="15" w:type="dxa"/>
            </w:tcMar>
            <w:vAlign w:val="center"/>
          </w:tcPr>
          <w:p>
            <w:pPr>
              <w:ind w:firstLine="0" w:firstLineChars="0"/>
              <w:jc w:val="center"/>
              <w:rPr>
                <w:rFonts w:hint="default" w:ascii="Times New Roman" w:hAnsi="Times New Roman" w:cs="Times New Roman"/>
                <w:color w:val="auto"/>
                <w:sz w:val="24"/>
                <w:highlight w:val="none"/>
              </w:rPr>
            </w:pPr>
          </w:p>
        </w:tc>
        <w:tc>
          <w:tcPr>
            <w:tcW w:w="578" w:type="dxa"/>
            <w:tcBorders>
              <w:tl2br w:val="nil"/>
              <w:tr2bl w:val="nil"/>
            </w:tcBorders>
            <w:shd w:val="clear" w:color="auto" w:fill="auto"/>
            <w:noWrap/>
            <w:tcMar>
              <w:top w:w="15" w:type="dxa"/>
              <w:left w:w="15" w:type="dxa"/>
              <w:right w:w="15" w:type="dxa"/>
            </w:tcMar>
            <w:vAlign w:val="center"/>
          </w:tcPr>
          <w:p>
            <w:pPr>
              <w:widowControl/>
              <w:ind w:firstLine="0" w:firstLineChars="0"/>
              <w:jc w:val="center"/>
              <w:textAlignment w:val="center"/>
              <w:rPr>
                <w:rFonts w:hint="default" w:ascii="Times New Roman" w:hAnsi="Times New Roman" w:cs="Times New Roman"/>
                <w:color w:val="auto"/>
                <w:kern w:val="0"/>
                <w:sz w:val="24"/>
                <w:highlight w:val="none"/>
                <w:lang w:bidi="ar"/>
              </w:rPr>
            </w:pPr>
            <w:r>
              <w:rPr>
                <w:rFonts w:hint="default" w:ascii="Times New Roman" w:hAnsi="Times New Roman" w:cs="Times New Roman"/>
                <w:color w:val="auto"/>
                <w:kern w:val="0"/>
                <w:sz w:val="24"/>
                <w:highlight w:val="none"/>
                <w:lang w:bidi="ar"/>
              </w:rPr>
              <w:t>8</w:t>
            </w:r>
          </w:p>
        </w:tc>
        <w:tc>
          <w:tcPr>
            <w:tcW w:w="6921" w:type="dxa"/>
            <w:tcBorders>
              <w:tl2br w:val="nil"/>
              <w:tr2bl w:val="nil"/>
            </w:tcBorders>
            <w:shd w:val="clear" w:color="auto" w:fill="auto"/>
            <w:noWrap/>
            <w:tcMar>
              <w:top w:w="15" w:type="dxa"/>
              <w:left w:w="15" w:type="dxa"/>
              <w:right w:w="15" w:type="dxa"/>
            </w:tcMar>
            <w:vAlign w:val="center"/>
          </w:tcPr>
          <w:p>
            <w:pPr>
              <w:ind w:firstLine="0" w:firstLineChars="0"/>
              <w:rPr>
                <w:rFonts w:hint="eastAsia" w:ascii="Times New Roman" w:hAnsi="Times New Roman" w:eastAsia="仿宋_GB2312" w:cs="Times New Roman"/>
                <w:color w:val="auto"/>
                <w:kern w:val="0"/>
                <w:sz w:val="24"/>
                <w:highlight w:val="none"/>
                <w:lang w:eastAsia="zh-CN" w:bidi="ar"/>
              </w:rPr>
            </w:pPr>
            <w:r>
              <w:rPr>
                <w:rFonts w:hint="default" w:ascii="Times New Roman" w:hAnsi="Times New Roman" w:cs="Times New Roman"/>
                <w:color w:val="auto"/>
                <w:spacing w:val="-4"/>
                <w:sz w:val="24"/>
                <w:highlight w:val="none"/>
              </w:rPr>
              <w:t>《四川省水利发展专项资金绩效管理办法》（川财农〔2017〕13号）</w:t>
            </w:r>
          </w:p>
        </w:tc>
      </w:tr>
    </w:tbl>
    <w:p>
      <w:pPr>
        <w:spacing w:before="312" w:beforeLines="100" w:line="580" w:lineRule="exact"/>
        <w:ind w:firstLine="640"/>
        <w:rPr>
          <w:rFonts w:hint="default" w:ascii="Times New Roman" w:hAnsi="Times New Roman" w:cs="Times New Roman"/>
          <w:color w:val="auto"/>
          <w:highlight w:val="none"/>
        </w:rPr>
      </w:pPr>
      <w:r>
        <w:rPr>
          <w:rFonts w:hint="default" w:ascii="Times New Roman" w:hAnsi="Times New Roman" w:cs="Times New Roman"/>
          <w:color w:val="auto"/>
          <w:highlight w:val="none"/>
        </w:rPr>
        <w:t>本项目采用的绩效评价方法主要包括文献研究法、目标评价法、抽样复核法、公众评判法、逻辑分析法等。</w:t>
      </w:r>
    </w:p>
    <w:p>
      <w:pPr>
        <w:pStyle w:val="3"/>
        <w:spacing w:beforeAutospacing="0" w:afterAutospacing="0" w:line="580" w:lineRule="exact"/>
        <w:ind w:firstLine="643"/>
        <w:jc w:val="both"/>
        <w:rPr>
          <w:rFonts w:hint="default" w:ascii="Times New Roman" w:hAnsi="Times New Roman" w:eastAsia="楷体_GB2312" w:cs="Times New Roman"/>
          <w:color w:val="auto"/>
          <w:sz w:val="32"/>
          <w:szCs w:val="32"/>
          <w:highlight w:val="none"/>
        </w:rPr>
      </w:pPr>
      <w:bookmarkStart w:id="14" w:name="_Toc10934"/>
      <w:r>
        <w:rPr>
          <w:rFonts w:hint="default" w:ascii="Times New Roman" w:hAnsi="Times New Roman" w:eastAsia="楷体_GB2312" w:cs="Times New Roman"/>
          <w:color w:val="auto"/>
          <w:sz w:val="32"/>
          <w:szCs w:val="32"/>
          <w:highlight w:val="none"/>
        </w:rPr>
        <w:t>（三）数据采集方法及过程</w:t>
      </w:r>
      <w:bookmarkEnd w:id="14"/>
    </w:p>
    <w:p>
      <w:pPr>
        <w:spacing w:line="580" w:lineRule="exact"/>
        <w:ind w:firstLine="640"/>
        <w:rPr>
          <w:rFonts w:hint="default" w:ascii="Times New Roman" w:hAnsi="Times New Roman" w:cs="Times New Roman"/>
          <w:color w:val="auto"/>
          <w:highlight w:val="none"/>
        </w:rPr>
      </w:pPr>
      <w:r>
        <w:rPr>
          <w:rFonts w:hint="default" w:ascii="Times New Roman" w:hAnsi="Times New Roman" w:cs="Times New Roman"/>
          <w:color w:val="auto"/>
          <w:highlight w:val="none"/>
        </w:rPr>
        <w:t>本次绩效评价工作需要的数据包括定性数据和定量数据两种类别，定性数据主要是通过实地考察、现场访谈、电话沟通等社会调查方式进行采集，定量数据主要通过项目单位和其他相关单位填报基础数据采集表的方式进行采集；此外，调查组对采集的数据进行了复核，确保数据的准确性。</w:t>
      </w:r>
    </w:p>
    <w:p>
      <w:pPr>
        <w:pStyle w:val="3"/>
        <w:spacing w:beforeAutospacing="0" w:afterAutospacing="0" w:line="580" w:lineRule="exact"/>
        <w:ind w:firstLine="643"/>
        <w:jc w:val="both"/>
        <w:rPr>
          <w:rFonts w:hint="default" w:ascii="Times New Roman" w:hAnsi="Times New Roman" w:eastAsia="楷体_GB2312" w:cs="Times New Roman"/>
          <w:color w:val="auto"/>
          <w:sz w:val="32"/>
          <w:szCs w:val="32"/>
          <w:highlight w:val="none"/>
        </w:rPr>
      </w:pPr>
      <w:bookmarkStart w:id="15" w:name="_Toc28703"/>
      <w:r>
        <w:rPr>
          <w:rFonts w:hint="default" w:ascii="Times New Roman" w:hAnsi="Times New Roman" w:eastAsia="楷体_GB2312" w:cs="Times New Roman"/>
          <w:color w:val="auto"/>
          <w:sz w:val="32"/>
          <w:szCs w:val="32"/>
          <w:highlight w:val="none"/>
        </w:rPr>
        <w:t>（四）绩效评价实施过程</w:t>
      </w:r>
      <w:bookmarkEnd w:id="15"/>
    </w:p>
    <w:p>
      <w:pPr>
        <w:spacing w:line="580" w:lineRule="exact"/>
        <w:ind w:firstLine="640"/>
        <w:rPr>
          <w:rFonts w:hint="default" w:ascii="Times New Roman" w:hAnsi="Times New Roman" w:cs="Times New Roman"/>
          <w:color w:val="auto"/>
          <w:szCs w:val="32"/>
          <w:highlight w:val="none"/>
        </w:rPr>
      </w:pPr>
      <w:r>
        <w:rPr>
          <w:rFonts w:hint="eastAsia" w:ascii="Times New Roman" w:hAnsi="Times New Roman" w:cs="Times New Roman"/>
          <w:color w:val="auto"/>
          <w:highlight w:val="none"/>
          <w:lang w:eastAsia="zh-CN"/>
        </w:rPr>
        <w:t>2022年山洪灾害防治非工程措施设施维修养护</w:t>
      </w:r>
      <w:r>
        <w:rPr>
          <w:rFonts w:hint="default" w:ascii="Times New Roman" w:hAnsi="Times New Roman" w:cs="Times New Roman"/>
          <w:color w:val="auto"/>
          <w:highlight w:val="none"/>
        </w:rPr>
        <w:t>项</w:t>
      </w:r>
      <w:r>
        <w:rPr>
          <w:rFonts w:hint="default" w:ascii="Times New Roman" w:hAnsi="Times New Roman" w:cs="Times New Roman"/>
          <w:color w:val="auto"/>
          <w:szCs w:val="32"/>
          <w:highlight w:val="none"/>
        </w:rPr>
        <w:t>目绩效评价的具体实施程序如下：</w:t>
      </w:r>
    </w:p>
    <w:p>
      <w:pPr>
        <w:spacing w:line="580" w:lineRule="exact"/>
        <w:ind w:firstLine="643"/>
        <w:rPr>
          <w:rFonts w:hint="default" w:ascii="Times New Roman" w:hAnsi="Times New Roman" w:cs="Times New Roman"/>
          <w:b/>
          <w:bCs/>
          <w:color w:val="auto"/>
          <w:szCs w:val="32"/>
          <w:highlight w:val="none"/>
        </w:rPr>
      </w:pPr>
      <w:r>
        <w:rPr>
          <w:rFonts w:hint="default" w:ascii="Times New Roman" w:hAnsi="Times New Roman" w:cs="Times New Roman"/>
          <w:b/>
          <w:bCs/>
          <w:color w:val="auto"/>
          <w:szCs w:val="32"/>
          <w:highlight w:val="none"/>
        </w:rPr>
        <w:t>1.前期沟通与基础资料收集</w:t>
      </w:r>
    </w:p>
    <w:p>
      <w:pPr>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成立绩效评价小组，搜集项目资料，全面了解项目基本情况，就项目内容和绩效评价中的关键问题同</w:t>
      </w:r>
      <w:r>
        <w:rPr>
          <w:rFonts w:hint="default" w:ascii="Times New Roman" w:hAnsi="Times New Roman" w:cs="Times New Roman"/>
          <w:color w:val="auto"/>
          <w:szCs w:val="32"/>
          <w:highlight w:val="none"/>
          <w:lang w:val="en-US" w:eastAsia="zh-CN"/>
        </w:rPr>
        <w:t>罗江</w:t>
      </w:r>
      <w:r>
        <w:rPr>
          <w:rFonts w:hint="default" w:ascii="Times New Roman" w:hAnsi="Times New Roman" w:cs="Times New Roman"/>
          <w:color w:val="auto"/>
          <w:szCs w:val="32"/>
          <w:highlight w:val="none"/>
        </w:rPr>
        <w:t>区财政局、</w:t>
      </w:r>
      <w:r>
        <w:rPr>
          <w:rFonts w:hint="eastAsia" w:ascii="Times New Roman" w:hAnsi="Times New Roman" w:cs="Times New Roman"/>
          <w:color w:val="auto"/>
          <w:szCs w:val="32"/>
          <w:highlight w:val="none"/>
          <w:lang w:eastAsia="zh-CN"/>
        </w:rPr>
        <w:t>德阳市罗江区水利局</w:t>
      </w:r>
      <w:r>
        <w:rPr>
          <w:rFonts w:hint="default" w:ascii="Times New Roman" w:hAnsi="Times New Roman" w:cs="Times New Roman"/>
          <w:color w:val="auto"/>
          <w:szCs w:val="32"/>
          <w:highlight w:val="none"/>
        </w:rPr>
        <w:t>等部门进行初步沟通，完成项目基础资料收集，该阶段的实施时间为：202</w:t>
      </w:r>
      <w:r>
        <w:rPr>
          <w:rFonts w:hint="eastAsia" w:ascii="Times New Roman" w:hAnsi="Times New Roman" w:cs="Times New Roman"/>
          <w:color w:val="auto"/>
          <w:szCs w:val="32"/>
          <w:highlight w:val="none"/>
          <w:lang w:val="en-US" w:eastAsia="zh-CN"/>
        </w:rPr>
        <w:t>3</w:t>
      </w:r>
      <w:r>
        <w:rPr>
          <w:rFonts w:hint="default" w:ascii="Times New Roman" w:hAnsi="Times New Roman" w:cs="Times New Roman"/>
          <w:color w:val="auto"/>
          <w:szCs w:val="32"/>
          <w:highlight w:val="none"/>
        </w:rPr>
        <w:t>年</w:t>
      </w:r>
      <w:r>
        <w:rPr>
          <w:rFonts w:hint="eastAsia" w:ascii="Times New Roman" w:hAnsi="Times New Roman" w:cs="Times New Roman"/>
          <w:color w:val="auto"/>
          <w:szCs w:val="32"/>
          <w:highlight w:val="none"/>
          <w:lang w:val="en-US" w:eastAsia="zh-CN"/>
        </w:rPr>
        <w:t>8</w:t>
      </w:r>
      <w:r>
        <w:rPr>
          <w:rFonts w:hint="default" w:ascii="Times New Roman" w:hAnsi="Times New Roman" w:cs="Times New Roman"/>
          <w:color w:val="auto"/>
          <w:szCs w:val="32"/>
          <w:highlight w:val="none"/>
        </w:rPr>
        <w:t>月</w:t>
      </w:r>
      <w:r>
        <w:rPr>
          <w:rFonts w:hint="eastAsia" w:ascii="Times New Roman" w:hAnsi="Times New Roman" w:cs="Times New Roman"/>
          <w:color w:val="auto"/>
          <w:szCs w:val="32"/>
          <w:highlight w:val="none"/>
          <w:lang w:val="en-US" w:eastAsia="zh-CN"/>
        </w:rPr>
        <w:t>4</w:t>
      </w:r>
      <w:r>
        <w:rPr>
          <w:rFonts w:hint="default" w:ascii="Times New Roman" w:hAnsi="Times New Roman" w:cs="Times New Roman"/>
          <w:color w:val="auto"/>
          <w:szCs w:val="32"/>
          <w:highlight w:val="none"/>
        </w:rPr>
        <w:t>日至20</w:t>
      </w:r>
      <w:r>
        <w:rPr>
          <w:rFonts w:hint="eastAsia" w:ascii="Times New Roman" w:hAnsi="Times New Roman" w:cs="Times New Roman"/>
          <w:color w:val="auto"/>
          <w:szCs w:val="32"/>
          <w:highlight w:val="none"/>
          <w:lang w:val="en-US" w:eastAsia="zh-CN"/>
        </w:rPr>
        <w:t>23</w:t>
      </w:r>
      <w:r>
        <w:rPr>
          <w:rFonts w:hint="default" w:ascii="Times New Roman" w:hAnsi="Times New Roman" w:cs="Times New Roman"/>
          <w:color w:val="auto"/>
          <w:szCs w:val="32"/>
          <w:highlight w:val="none"/>
        </w:rPr>
        <w:t>年</w:t>
      </w:r>
      <w:r>
        <w:rPr>
          <w:rFonts w:hint="eastAsia" w:ascii="Times New Roman" w:hAnsi="Times New Roman" w:cs="Times New Roman"/>
          <w:color w:val="auto"/>
          <w:szCs w:val="32"/>
          <w:highlight w:val="none"/>
          <w:lang w:val="en-US" w:eastAsia="zh-CN"/>
        </w:rPr>
        <w:t>8</w:t>
      </w:r>
      <w:r>
        <w:rPr>
          <w:rFonts w:hint="default" w:ascii="Times New Roman" w:hAnsi="Times New Roman" w:cs="Times New Roman"/>
          <w:color w:val="auto"/>
          <w:szCs w:val="32"/>
          <w:highlight w:val="none"/>
        </w:rPr>
        <w:t>月</w:t>
      </w:r>
      <w:r>
        <w:rPr>
          <w:rFonts w:hint="eastAsia" w:ascii="Times New Roman" w:hAnsi="Times New Roman" w:cs="Times New Roman"/>
          <w:color w:val="auto"/>
          <w:szCs w:val="32"/>
          <w:highlight w:val="none"/>
          <w:lang w:val="en-US" w:eastAsia="zh-CN"/>
        </w:rPr>
        <w:t>9</w:t>
      </w:r>
      <w:r>
        <w:rPr>
          <w:rFonts w:hint="default" w:ascii="Times New Roman" w:hAnsi="Times New Roman" w:cs="Times New Roman"/>
          <w:color w:val="auto"/>
          <w:szCs w:val="32"/>
          <w:highlight w:val="none"/>
        </w:rPr>
        <w:t>日。</w:t>
      </w:r>
    </w:p>
    <w:p>
      <w:pPr>
        <w:spacing w:line="580" w:lineRule="exact"/>
        <w:ind w:firstLine="643"/>
        <w:rPr>
          <w:rFonts w:hint="default" w:ascii="Times New Roman" w:hAnsi="Times New Roman" w:cs="Times New Roman"/>
          <w:b/>
          <w:bCs/>
          <w:color w:val="auto"/>
          <w:szCs w:val="32"/>
          <w:highlight w:val="none"/>
        </w:rPr>
      </w:pPr>
      <w:r>
        <w:rPr>
          <w:rFonts w:hint="default" w:ascii="Times New Roman" w:hAnsi="Times New Roman" w:cs="Times New Roman"/>
          <w:b/>
          <w:bCs/>
          <w:color w:val="auto"/>
          <w:szCs w:val="32"/>
          <w:highlight w:val="none"/>
        </w:rPr>
        <w:t>2.评价方案设计阶段</w:t>
      </w:r>
    </w:p>
    <w:p>
      <w:pPr>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评价小组根据前期调研材料梳理项目背景，同时根据项目特点及项目绩效目标有针对性</w:t>
      </w:r>
      <w:r>
        <w:rPr>
          <w:rFonts w:hint="eastAsia" w:ascii="Times New Roman" w:hAnsi="Times New Roman" w:cs="Times New Roman"/>
          <w:color w:val="auto"/>
          <w:szCs w:val="32"/>
          <w:highlight w:val="none"/>
          <w:lang w:eastAsia="zh-CN"/>
        </w:rPr>
        <w:t>地</w:t>
      </w:r>
      <w:r>
        <w:rPr>
          <w:rFonts w:hint="default" w:ascii="Times New Roman" w:hAnsi="Times New Roman" w:cs="Times New Roman"/>
          <w:color w:val="auto"/>
          <w:szCs w:val="32"/>
          <w:highlight w:val="none"/>
        </w:rPr>
        <w:t>设计</w:t>
      </w:r>
      <w:r>
        <w:rPr>
          <w:rFonts w:hint="default" w:ascii="Times New Roman" w:hAnsi="Times New Roman" w:cs="Times New Roman"/>
          <w:color w:val="auto"/>
          <w:szCs w:val="32"/>
          <w:highlight w:val="none"/>
          <w:lang w:eastAsia="zh-Hans"/>
        </w:rPr>
        <w:t>了</w:t>
      </w:r>
      <w:r>
        <w:rPr>
          <w:rFonts w:hint="default" w:ascii="Times New Roman" w:hAnsi="Times New Roman" w:cs="Times New Roman"/>
          <w:color w:val="auto"/>
          <w:szCs w:val="32"/>
          <w:highlight w:val="none"/>
        </w:rPr>
        <w:t>评价指标体系、调查问卷、访谈提纲等，并确定科学、合理的评价方法和评价标准，设计绩效评价工作整体时间进度表。对项目执行过程中可能存在的问题进行预估，并细化评分标准和取证所需的材料。同时，作为受托方，我司建立了专门的质量控制部门，质控部门的质控师针对评价方案的可行性、全面性、简明性等提出了独立、客观、公正的评审意见。评价小组根据质控意见，对项目工作方案进行了调整和完善。该阶段的实施时间为：202</w:t>
      </w:r>
      <w:r>
        <w:rPr>
          <w:rFonts w:hint="eastAsia" w:ascii="Times New Roman" w:hAnsi="Times New Roman" w:cs="Times New Roman"/>
          <w:color w:val="auto"/>
          <w:szCs w:val="32"/>
          <w:highlight w:val="none"/>
          <w:lang w:val="en-US" w:eastAsia="zh-CN"/>
        </w:rPr>
        <w:t>3</w:t>
      </w:r>
      <w:r>
        <w:rPr>
          <w:rFonts w:hint="default" w:ascii="Times New Roman" w:hAnsi="Times New Roman" w:cs="Times New Roman"/>
          <w:color w:val="auto"/>
          <w:szCs w:val="32"/>
          <w:highlight w:val="none"/>
        </w:rPr>
        <w:t>年</w:t>
      </w:r>
      <w:r>
        <w:rPr>
          <w:rFonts w:hint="eastAsia" w:ascii="Times New Roman" w:hAnsi="Times New Roman" w:cs="Times New Roman"/>
          <w:color w:val="auto"/>
          <w:szCs w:val="32"/>
          <w:highlight w:val="none"/>
          <w:lang w:val="en-US" w:eastAsia="zh-CN"/>
        </w:rPr>
        <w:t>8</w:t>
      </w:r>
      <w:r>
        <w:rPr>
          <w:rFonts w:hint="default" w:ascii="Times New Roman" w:hAnsi="Times New Roman" w:cs="Times New Roman"/>
          <w:color w:val="auto"/>
          <w:szCs w:val="32"/>
          <w:highlight w:val="none"/>
        </w:rPr>
        <w:t>月</w:t>
      </w:r>
      <w:r>
        <w:rPr>
          <w:rFonts w:hint="eastAsia" w:ascii="Times New Roman" w:hAnsi="Times New Roman" w:cs="Times New Roman"/>
          <w:color w:val="auto"/>
          <w:szCs w:val="32"/>
          <w:highlight w:val="none"/>
          <w:lang w:val="en-US" w:eastAsia="zh-CN"/>
        </w:rPr>
        <w:t>10</w:t>
      </w:r>
      <w:r>
        <w:rPr>
          <w:rFonts w:hint="default" w:ascii="Times New Roman" w:hAnsi="Times New Roman" w:cs="Times New Roman"/>
          <w:color w:val="auto"/>
          <w:szCs w:val="32"/>
          <w:highlight w:val="none"/>
        </w:rPr>
        <w:t>日至202</w:t>
      </w:r>
      <w:r>
        <w:rPr>
          <w:rFonts w:hint="eastAsia" w:ascii="Times New Roman" w:hAnsi="Times New Roman" w:cs="Times New Roman"/>
          <w:color w:val="auto"/>
          <w:szCs w:val="32"/>
          <w:highlight w:val="none"/>
          <w:lang w:val="en-US" w:eastAsia="zh-CN"/>
        </w:rPr>
        <w:t>3</w:t>
      </w:r>
      <w:r>
        <w:rPr>
          <w:rFonts w:hint="default" w:ascii="Times New Roman" w:hAnsi="Times New Roman" w:cs="Times New Roman"/>
          <w:color w:val="auto"/>
          <w:szCs w:val="32"/>
          <w:highlight w:val="none"/>
        </w:rPr>
        <w:t>年</w:t>
      </w:r>
      <w:r>
        <w:rPr>
          <w:rFonts w:hint="eastAsia" w:ascii="Times New Roman" w:hAnsi="Times New Roman" w:cs="Times New Roman"/>
          <w:color w:val="auto"/>
          <w:szCs w:val="32"/>
          <w:highlight w:val="none"/>
          <w:lang w:val="en-US" w:eastAsia="zh-CN"/>
        </w:rPr>
        <w:t>8</w:t>
      </w:r>
      <w:r>
        <w:rPr>
          <w:rFonts w:hint="default" w:ascii="Times New Roman" w:hAnsi="Times New Roman" w:cs="Times New Roman"/>
          <w:color w:val="auto"/>
          <w:szCs w:val="32"/>
          <w:highlight w:val="none"/>
        </w:rPr>
        <w:t>月</w:t>
      </w:r>
      <w:r>
        <w:rPr>
          <w:rFonts w:hint="eastAsia" w:ascii="Times New Roman" w:hAnsi="Times New Roman" w:cs="Times New Roman"/>
          <w:color w:val="auto"/>
          <w:szCs w:val="32"/>
          <w:highlight w:val="none"/>
          <w:lang w:val="en-US" w:eastAsia="zh-CN"/>
        </w:rPr>
        <w:t>16</w:t>
      </w:r>
      <w:r>
        <w:rPr>
          <w:rFonts w:hint="default" w:ascii="Times New Roman" w:hAnsi="Times New Roman" w:cs="Times New Roman"/>
          <w:color w:val="auto"/>
          <w:szCs w:val="32"/>
          <w:highlight w:val="none"/>
        </w:rPr>
        <w:t>日。</w:t>
      </w:r>
    </w:p>
    <w:p>
      <w:pPr>
        <w:spacing w:line="580" w:lineRule="exact"/>
        <w:ind w:firstLine="643"/>
        <w:rPr>
          <w:rFonts w:hint="default" w:ascii="Times New Roman" w:hAnsi="Times New Roman" w:cs="Times New Roman"/>
          <w:b/>
          <w:bCs/>
          <w:color w:val="auto"/>
          <w:szCs w:val="32"/>
          <w:highlight w:val="none"/>
        </w:rPr>
      </w:pPr>
      <w:r>
        <w:rPr>
          <w:rFonts w:hint="default" w:ascii="Times New Roman" w:hAnsi="Times New Roman" w:cs="Times New Roman"/>
          <w:b/>
          <w:bCs/>
          <w:color w:val="auto"/>
          <w:szCs w:val="32"/>
          <w:highlight w:val="none"/>
        </w:rPr>
        <w:t>3.实地调研与数据分析</w:t>
      </w:r>
    </w:p>
    <w:p>
      <w:pPr>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（1）开展社会调研及数据采集</w:t>
      </w:r>
    </w:p>
    <w:p>
      <w:pPr>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评价小组对</w:t>
      </w:r>
      <w:r>
        <w:rPr>
          <w:rFonts w:hint="eastAsia" w:ascii="Times New Roman" w:hAnsi="Times New Roman" w:cs="Times New Roman"/>
          <w:color w:val="auto"/>
          <w:szCs w:val="32"/>
          <w:highlight w:val="none"/>
          <w:lang w:eastAsia="zh-CN"/>
        </w:rPr>
        <w:t>德阳市罗江区水利局“2022年山洪灾害防治非工程措施设施维修养护”</w:t>
      </w:r>
      <w:r>
        <w:rPr>
          <w:rFonts w:hint="default" w:ascii="Times New Roman" w:hAnsi="Times New Roman" w:cs="Times New Roman"/>
          <w:color w:val="auto"/>
          <w:szCs w:val="32"/>
          <w:highlight w:val="none"/>
        </w:rPr>
        <w:t>项目绩效评价实地调研阶段所涉及的部门有：</w:t>
      </w:r>
      <w:r>
        <w:rPr>
          <w:rFonts w:hint="eastAsia" w:ascii="Times New Roman" w:hAnsi="Times New Roman" w:cs="Times New Roman"/>
          <w:color w:val="auto"/>
          <w:szCs w:val="32"/>
          <w:highlight w:val="none"/>
          <w:lang w:eastAsia="zh-CN"/>
        </w:rPr>
        <w:t>德阳市罗江区水利局</w:t>
      </w:r>
      <w:r>
        <w:rPr>
          <w:rFonts w:hint="default" w:ascii="Times New Roman" w:hAnsi="Times New Roman" w:cs="Times New Roman"/>
          <w:color w:val="auto"/>
          <w:szCs w:val="32"/>
          <w:highlight w:val="none"/>
        </w:rPr>
        <w:t>财务部门与业务部门，采取的主要调研手段是资料收集、现场核查、访谈和社会调查。该阶段的实施时间为：202</w:t>
      </w:r>
      <w:r>
        <w:rPr>
          <w:rFonts w:hint="eastAsia" w:ascii="Times New Roman" w:hAnsi="Times New Roman" w:cs="Times New Roman"/>
          <w:color w:val="auto"/>
          <w:szCs w:val="32"/>
          <w:highlight w:val="none"/>
          <w:lang w:val="en-US" w:eastAsia="zh-CN"/>
        </w:rPr>
        <w:t>3</w:t>
      </w:r>
      <w:r>
        <w:rPr>
          <w:rFonts w:hint="default" w:ascii="Times New Roman" w:hAnsi="Times New Roman" w:cs="Times New Roman"/>
          <w:color w:val="auto"/>
          <w:szCs w:val="32"/>
          <w:highlight w:val="none"/>
        </w:rPr>
        <w:t>年</w:t>
      </w:r>
      <w:r>
        <w:rPr>
          <w:rFonts w:hint="eastAsia" w:ascii="Times New Roman" w:hAnsi="Times New Roman" w:cs="Times New Roman"/>
          <w:color w:val="auto"/>
          <w:szCs w:val="32"/>
          <w:highlight w:val="none"/>
          <w:lang w:val="en-US" w:eastAsia="zh-CN"/>
        </w:rPr>
        <w:t>8</w:t>
      </w:r>
      <w:r>
        <w:rPr>
          <w:rFonts w:hint="default" w:ascii="Times New Roman" w:hAnsi="Times New Roman" w:cs="Times New Roman"/>
          <w:color w:val="auto"/>
          <w:szCs w:val="32"/>
          <w:highlight w:val="none"/>
        </w:rPr>
        <w:t>月</w:t>
      </w:r>
      <w:r>
        <w:rPr>
          <w:rFonts w:hint="eastAsia" w:ascii="Times New Roman" w:hAnsi="Times New Roman" w:cs="Times New Roman"/>
          <w:color w:val="auto"/>
          <w:szCs w:val="32"/>
          <w:highlight w:val="none"/>
          <w:lang w:val="en-US" w:eastAsia="zh-CN"/>
        </w:rPr>
        <w:t>17</w:t>
      </w:r>
      <w:r>
        <w:rPr>
          <w:rFonts w:hint="default" w:ascii="Times New Roman" w:hAnsi="Times New Roman" w:cs="Times New Roman"/>
          <w:color w:val="auto"/>
          <w:szCs w:val="32"/>
          <w:highlight w:val="none"/>
        </w:rPr>
        <w:t>日至202</w:t>
      </w:r>
      <w:r>
        <w:rPr>
          <w:rFonts w:hint="eastAsia" w:ascii="Times New Roman" w:hAnsi="Times New Roman" w:cs="Times New Roman"/>
          <w:color w:val="auto"/>
          <w:szCs w:val="32"/>
          <w:highlight w:val="none"/>
          <w:lang w:val="en-US" w:eastAsia="zh-CN"/>
        </w:rPr>
        <w:t>3</w:t>
      </w:r>
      <w:r>
        <w:rPr>
          <w:rFonts w:hint="default" w:ascii="Times New Roman" w:hAnsi="Times New Roman" w:cs="Times New Roman"/>
          <w:color w:val="auto"/>
          <w:szCs w:val="32"/>
          <w:highlight w:val="none"/>
        </w:rPr>
        <w:t>年</w:t>
      </w:r>
      <w:r>
        <w:rPr>
          <w:rFonts w:hint="eastAsia" w:ascii="Times New Roman" w:hAnsi="Times New Roman" w:cs="Times New Roman"/>
          <w:color w:val="auto"/>
          <w:szCs w:val="32"/>
          <w:highlight w:val="none"/>
          <w:lang w:val="en-US" w:eastAsia="zh-CN"/>
        </w:rPr>
        <w:t>8</w:t>
      </w:r>
      <w:r>
        <w:rPr>
          <w:rFonts w:hint="default" w:ascii="Times New Roman" w:hAnsi="Times New Roman" w:cs="Times New Roman"/>
          <w:color w:val="auto"/>
          <w:szCs w:val="32"/>
          <w:highlight w:val="none"/>
        </w:rPr>
        <w:t>月</w:t>
      </w:r>
      <w:r>
        <w:rPr>
          <w:rFonts w:hint="eastAsia" w:ascii="Times New Roman" w:hAnsi="Times New Roman" w:cs="Times New Roman"/>
          <w:color w:val="auto"/>
          <w:szCs w:val="32"/>
          <w:highlight w:val="none"/>
          <w:lang w:val="en-US" w:eastAsia="zh-CN"/>
        </w:rPr>
        <w:t>21</w:t>
      </w:r>
      <w:r>
        <w:rPr>
          <w:rFonts w:hint="default" w:ascii="Times New Roman" w:hAnsi="Times New Roman" w:cs="Times New Roman"/>
          <w:color w:val="auto"/>
          <w:szCs w:val="32"/>
          <w:highlight w:val="none"/>
        </w:rPr>
        <w:t>日。</w:t>
      </w:r>
    </w:p>
    <w:p>
      <w:pPr>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（2）数据整理和分析</w:t>
      </w:r>
    </w:p>
    <w:p>
      <w:pPr>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评价小组对采集的数据进行了整理并剔除了部分错误数据，根据整理后的数据和一定的基准衡量指标开展数据分析工作，回答了关键评价问题，并对发现的问题进行了原因解释。该阶段的实施时间为</w:t>
      </w:r>
      <w:r>
        <w:rPr>
          <w:rFonts w:hint="default" w:ascii="Times New Roman" w:hAnsi="Times New Roman" w:cs="Times New Roman"/>
          <w:color w:val="auto"/>
          <w:szCs w:val="32"/>
          <w:highlight w:val="none"/>
          <w:lang w:eastAsia="zh-CN"/>
        </w:rPr>
        <w:t>：</w:t>
      </w:r>
      <w:r>
        <w:rPr>
          <w:rFonts w:hint="default" w:ascii="Times New Roman" w:hAnsi="Times New Roman" w:cs="Times New Roman"/>
          <w:color w:val="auto"/>
          <w:szCs w:val="32"/>
          <w:highlight w:val="none"/>
        </w:rPr>
        <w:t>202</w:t>
      </w:r>
      <w:r>
        <w:rPr>
          <w:rFonts w:hint="eastAsia" w:ascii="Times New Roman" w:hAnsi="Times New Roman" w:cs="Times New Roman"/>
          <w:color w:val="auto"/>
          <w:szCs w:val="32"/>
          <w:highlight w:val="none"/>
          <w:lang w:val="en-US" w:eastAsia="zh-CN"/>
        </w:rPr>
        <w:t>3</w:t>
      </w:r>
      <w:r>
        <w:rPr>
          <w:rFonts w:hint="default" w:ascii="Times New Roman" w:hAnsi="Times New Roman" w:cs="Times New Roman"/>
          <w:color w:val="auto"/>
          <w:szCs w:val="32"/>
          <w:highlight w:val="none"/>
        </w:rPr>
        <w:t>年</w:t>
      </w:r>
      <w:r>
        <w:rPr>
          <w:rFonts w:hint="eastAsia" w:ascii="Times New Roman" w:hAnsi="Times New Roman" w:cs="Times New Roman"/>
          <w:color w:val="auto"/>
          <w:szCs w:val="32"/>
          <w:highlight w:val="none"/>
          <w:lang w:val="en-US" w:eastAsia="zh-CN"/>
        </w:rPr>
        <w:t>8</w:t>
      </w:r>
      <w:r>
        <w:rPr>
          <w:rFonts w:hint="default" w:ascii="Times New Roman" w:hAnsi="Times New Roman" w:cs="Times New Roman"/>
          <w:color w:val="auto"/>
          <w:szCs w:val="32"/>
          <w:highlight w:val="none"/>
        </w:rPr>
        <w:t>月</w:t>
      </w:r>
      <w:r>
        <w:rPr>
          <w:rFonts w:hint="eastAsia" w:ascii="Times New Roman" w:hAnsi="Times New Roman" w:cs="Times New Roman"/>
          <w:color w:val="auto"/>
          <w:szCs w:val="32"/>
          <w:highlight w:val="none"/>
          <w:lang w:val="en-US" w:eastAsia="zh-CN"/>
        </w:rPr>
        <w:t>22</w:t>
      </w:r>
      <w:r>
        <w:rPr>
          <w:rFonts w:hint="default" w:ascii="Times New Roman" w:hAnsi="Times New Roman" w:cs="Times New Roman"/>
          <w:color w:val="auto"/>
          <w:szCs w:val="32"/>
          <w:highlight w:val="none"/>
        </w:rPr>
        <w:t>日至202</w:t>
      </w:r>
      <w:r>
        <w:rPr>
          <w:rFonts w:hint="eastAsia" w:ascii="Times New Roman" w:hAnsi="Times New Roman" w:cs="Times New Roman"/>
          <w:color w:val="auto"/>
          <w:szCs w:val="32"/>
          <w:highlight w:val="none"/>
          <w:lang w:val="en-US" w:eastAsia="zh-CN"/>
        </w:rPr>
        <w:t>3</w:t>
      </w:r>
      <w:r>
        <w:rPr>
          <w:rFonts w:hint="default" w:ascii="Times New Roman" w:hAnsi="Times New Roman" w:cs="Times New Roman"/>
          <w:color w:val="auto"/>
          <w:szCs w:val="32"/>
          <w:highlight w:val="none"/>
        </w:rPr>
        <w:t>年</w:t>
      </w:r>
      <w:r>
        <w:rPr>
          <w:rFonts w:hint="eastAsia" w:ascii="Times New Roman" w:hAnsi="Times New Roman" w:cs="Times New Roman"/>
          <w:color w:val="auto"/>
          <w:szCs w:val="32"/>
          <w:highlight w:val="none"/>
          <w:lang w:val="en-US" w:eastAsia="zh-CN"/>
        </w:rPr>
        <w:t>8</w:t>
      </w:r>
      <w:r>
        <w:rPr>
          <w:rFonts w:hint="default" w:ascii="Times New Roman" w:hAnsi="Times New Roman" w:cs="Times New Roman"/>
          <w:color w:val="auto"/>
          <w:szCs w:val="32"/>
          <w:highlight w:val="none"/>
        </w:rPr>
        <w:t>月</w:t>
      </w:r>
      <w:r>
        <w:rPr>
          <w:rFonts w:hint="eastAsia" w:ascii="Times New Roman" w:hAnsi="Times New Roman" w:cs="Times New Roman"/>
          <w:color w:val="auto"/>
          <w:szCs w:val="32"/>
          <w:highlight w:val="none"/>
          <w:lang w:val="en-US" w:eastAsia="zh-CN"/>
        </w:rPr>
        <w:t>28</w:t>
      </w:r>
      <w:r>
        <w:rPr>
          <w:rFonts w:hint="default" w:ascii="Times New Roman" w:hAnsi="Times New Roman" w:cs="Times New Roman"/>
          <w:color w:val="auto"/>
          <w:szCs w:val="32"/>
          <w:highlight w:val="none"/>
        </w:rPr>
        <w:t>日。</w:t>
      </w:r>
    </w:p>
    <w:p>
      <w:pPr>
        <w:spacing w:line="580" w:lineRule="exact"/>
        <w:ind w:firstLine="643"/>
        <w:rPr>
          <w:rFonts w:hint="default" w:ascii="Times New Roman" w:hAnsi="Times New Roman" w:cs="Times New Roman"/>
          <w:b/>
          <w:bCs/>
          <w:color w:val="auto"/>
          <w:szCs w:val="32"/>
          <w:highlight w:val="none"/>
        </w:rPr>
      </w:pPr>
      <w:r>
        <w:rPr>
          <w:rFonts w:hint="default" w:ascii="Times New Roman" w:hAnsi="Times New Roman" w:cs="Times New Roman"/>
          <w:b/>
          <w:bCs/>
          <w:color w:val="auto"/>
          <w:szCs w:val="32"/>
          <w:highlight w:val="none"/>
        </w:rPr>
        <w:t>4.报告撰写阶段</w:t>
      </w:r>
    </w:p>
    <w:p>
      <w:pPr>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评价报告撰写工作的实施时间为：202</w:t>
      </w:r>
      <w:r>
        <w:rPr>
          <w:rFonts w:hint="eastAsia" w:ascii="Times New Roman" w:hAnsi="Times New Roman" w:cs="Times New Roman"/>
          <w:color w:val="auto"/>
          <w:szCs w:val="32"/>
          <w:highlight w:val="none"/>
          <w:lang w:val="en-US" w:eastAsia="zh-CN"/>
        </w:rPr>
        <w:t>3</w:t>
      </w:r>
      <w:r>
        <w:rPr>
          <w:rFonts w:hint="default" w:ascii="Times New Roman" w:hAnsi="Times New Roman" w:cs="Times New Roman"/>
          <w:color w:val="auto"/>
          <w:szCs w:val="32"/>
          <w:highlight w:val="none"/>
        </w:rPr>
        <w:t>年</w:t>
      </w:r>
      <w:r>
        <w:rPr>
          <w:rFonts w:hint="eastAsia" w:ascii="Times New Roman" w:hAnsi="Times New Roman" w:cs="Times New Roman"/>
          <w:color w:val="auto"/>
          <w:szCs w:val="32"/>
          <w:highlight w:val="none"/>
          <w:lang w:val="en-US" w:eastAsia="zh-CN"/>
        </w:rPr>
        <w:t>8</w:t>
      </w:r>
      <w:r>
        <w:rPr>
          <w:rFonts w:hint="default" w:ascii="Times New Roman" w:hAnsi="Times New Roman" w:cs="Times New Roman"/>
          <w:color w:val="auto"/>
          <w:szCs w:val="32"/>
          <w:highlight w:val="none"/>
        </w:rPr>
        <w:t>月</w:t>
      </w:r>
      <w:r>
        <w:rPr>
          <w:rFonts w:hint="eastAsia" w:ascii="Times New Roman" w:hAnsi="Times New Roman" w:cs="Times New Roman"/>
          <w:color w:val="auto"/>
          <w:szCs w:val="32"/>
          <w:highlight w:val="none"/>
          <w:lang w:val="en-US" w:eastAsia="zh-CN"/>
        </w:rPr>
        <w:t>29</w:t>
      </w:r>
      <w:r>
        <w:rPr>
          <w:rFonts w:hint="default" w:ascii="Times New Roman" w:hAnsi="Times New Roman" w:cs="Times New Roman"/>
          <w:color w:val="auto"/>
          <w:szCs w:val="32"/>
          <w:highlight w:val="none"/>
        </w:rPr>
        <w:t>日至202</w:t>
      </w:r>
      <w:r>
        <w:rPr>
          <w:rFonts w:hint="eastAsia" w:ascii="Times New Roman" w:hAnsi="Times New Roman" w:cs="Times New Roman"/>
          <w:color w:val="auto"/>
          <w:szCs w:val="32"/>
          <w:highlight w:val="none"/>
          <w:lang w:val="en-US" w:eastAsia="zh-CN"/>
        </w:rPr>
        <w:t>3</w:t>
      </w:r>
      <w:r>
        <w:rPr>
          <w:rFonts w:hint="default" w:ascii="Times New Roman" w:hAnsi="Times New Roman" w:cs="Times New Roman"/>
          <w:color w:val="auto"/>
          <w:szCs w:val="32"/>
          <w:highlight w:val="none"/>
        </w:rPr>
        <w:t>年</w:t>
      </w:r>
      <w:r>
        <w:rPr>
          <w:rFonts w:hint="eastAsia" w:ascii="Times New Roman" w:hAnsi="Times New Roman" w:cs="Times New Roman"/>
          <w:color w:val="auto"/>
          <w:szCs w:val="32"/>
          <w:highlight w:val="none"/>
          <w:lang w:val="en-US" w:eastAsia="zh-CN"/>
        </w:rPr>
        <w:t>9</w:t>
      </w:r>
      <w:r>
        <w:rPr>
          <w:rFonts w:hint="default" w:ascii="Times New Roman" w:hAnsi="Times New Roman" w:cs="Times New Roman"/>
          <w:color w:val="auto"/>
          <w:szCs w:val="32"/>
          <w:highlight w:val="none"/>
        </w:rPr>
        <w:t>月</w:t>
      </w:r>
      <w:r>
        <w:rPr>
          <w:rFonts w:hint="eastAsia" w:ascii="Times New Roman" w:hAnsi="Times New Roman" w:cs="Times New Roman"/>
          <w:color w:val="auto"/>
          <w:szCs w:val="32"/>
          <w:highlight w:val="none"/>
          <w:lang w:val="en-US" w:eastAsia="zh-CN"/>
        </w:rPr>
        <w:t>7</w:t>
      </w:r>
      <w:r>
        <w:rPr>
          <w:rFonts w:hint="default" w:ascii="Times New Roman" w:hAnsi="Times New Roman" w:cs="Times New Roman"/>
          <w:color w:val="auto"/>
          <w:szCs w:val="32"/>
          <w:highlight w:val="none"/>
        </w:rPr>
        <w:t>日。评价组依据制定的评价标准和评分规则，对项目进行了量化打分。依据评价结论和项目管理机制、项目实施过程及项目取得的成效，撰写绩效评价报告，总结经验、分析不足，并针对存在问题提出改进建议。在202</w:t>
      </w:r>
      <w:r>
        <w:rPr>
          <w:rFonts w:hint="eastAsia" w:ascii="Times New Roman" w:hAnsi="Times New Roman" w:cs="Times New Roman"/>
          <w:color w:val="auto"/>
          <w:szCs w:val="32"/>
          <w:highlight w:val="none"/>
          <w:lang w:val="en-US" w:eastAsia="zh-CN"/>
        </w:rPr>
        <w:t>3</w:t>
      </w:r>
      <w:r>
        <w:rPr>
          <w:rFonts w:hint="default" w:ascii="Times New Roman" w:hAnsi="Times New Roman" w:cs="Times New Roman"/>
          <w:color w:val="auto"/>
          <w:szCs w:val="32"/>
          <w:highlight w:val="none"/>
        </w:rPr>
        <w:t>年</w:t>
      </w:r>
      <w:r>
        <w:rPr>
          <w:rFonts w:hint="eastAsia" w:ascii="Times New Roman" w:hAnsi="Times New Roman" w:cs="Times New Roman"/>
          <w:color w:val="auto"/>
          <w:szCs w:val="32"/>
          <w:highlight w:val="none"/>
          <w:lang w:val="en-US" w:eastAsia="zh-CN"/>
        </w:rPr>
        <w:t>9</w:t>
      </w:r>
      <w:r>
        <w:rPr>
          <w:rFonts w:hint="default" w:ascii="Times New Roman" w:hAnsi="Times New Roman" w:cs="Times New Roman"/>
          <w:color w:val="auto"/>
          <w:szCs w:val="32"/>
          <w:highlight w:val="none"/>
        </w:rPr>
        <w:t>月</w:t>
      </w:r>
      <w:r>
        <w:rPr>
          <w:rFonts w:hint="eastAsia" w:ascii="Times New Roman" w:hAnsi="Times New Roman" w:cs="Times New Roman"/>
          <w:color w:val="auto"/>
          <w:szCs w:val="32"/>
          <w:highlight w:val="none"/>
          <w:lang w:val="en-US" w:eastAsia="zh-CN"/>
        </w:rPr>
        <w:t>8</w:t>
      </w:r>
      <w:r>
        <w:rPr>
          <w:rFonts w:hint="default" w:ascii="Times New Roman" w:hAnsi="Times New Roman" w:cs="Times New Roman"/>
          <w:color w:val="auto"/>
          <w:szCs w:val="32"/>
          <w:highlight w:val="none"/>
        </w:rPr>
        <w:t>日形成了审议稿。</w:t>
      </w:r>
    </w:p>
    <w:p>
      <w:pPr>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评价报告修改的实施时间为：202</w:t>
      </w:r>
      <w:r>
        <w:rPr>
          <w:rFonts w:hint="eastAsia" w:ascii="Times New Roman" w:hAnsi="Times New Roman" w:cs="Times New Roman"/>
          <w:color w:val="auto"/>
          <w:szCs w:val="32"/>
          <w:highlight w:val="none"/>
          <w:lang w:val="en-US" w:eastAsia="zh-CN"/>
        </w:rPr>
        <w:t>3</w:t>
      </w:r>
      <w:r>
        <w:rPr>
          <w:rFonts w:hint="default" w:ascii="Times New Roman" w:hAnsi="Times New Roman" w:cs="Times New Roman"/>
          <w:color w:val="auto"/>
          <w:szCs w:val="32"/>
          <w:highlight w:val="none"/>
        </w:rPr>
        <w:t>年</w:t>
      </w:r>
      <w:r>
        <w:rPr>
          <w:rFonts w:hint="eastAsia" w:ascii="Times New Roman" w:hAnsi="Times New Roman" w:cs="Times New Roman"/>
          <w:color w:val="auto"/>
          <w:szCs w:val="32"/>
          <w:highlight w:val="none"/>
          <w:lang w:val="en-US" w:eastAsia="zh-CN"/>
        </w:rPr>
        <w:t>9</w:t>
      </w:r>
      <w:r>
        <w:rPr>
          <w:rFonts w:hint="default" w:ascii="Times New Roman" w:hAnsi="Times New Roman" w:cs="Times New Roman"/>
          <w:color w:val="auto"/>
          <w:szCs w:val="32"/>
          <w:highlight w:val="none"/>
        </w:rPr>
        <w:t>月</w:t>
      </w:r>
      <w:r>
        <w:rPr>
          <w:rFonts w:hint="eastAsia" w:ascii="Times New Roman" w:hAnsi="Times New Roman" w:cs="Times New Roman"/>
          <w:color w:val="auto"/>
          <w:szCs w:val="32"/>
          <w:highlight w:val="none"/>
          <w:lang w:val="en-US" w:eastAsia="zh-CN"/>
        </w:rPr>
        <w:t>9</w:t>
      </w:r>
      <w:r>
        <w:rPr>
          <w:rFonts w:hint="default" w:ascii="Times New Roman" w:hAnsi="Times New Roman" w:cs="Times New Roman"/>
          <w:color w:val="auto"/>
          <w:szCs w:val="32"/>
          <w:highlight w:val="none"/>
        </w:rPr>
        <w:t>日</w:t>
      </w:r>
      <w:r>
        <w:rPr>
          <w:rFonts w:hint="default" w:ascii="Times New Roman" w:hAnsi="Times New Roman" w:cs="Times New Roman"/>
          <w:color w:val="auto"/>
          <w:szCs w:val="32"/>
          <w:highlight w:val="none"/>
          <w:lang w:eastAsia="zh-Hans"/>
        </w:rPr>
        <w:t>后</w:t>
      </w:r>
      <w:r>
        <w:rPr>
          <w:rFonts w:hint="default" w:ascii="Times New Roman" w:hAnsi="Times New Roman" w:cs="Times New Roman"/>
          <w:color w:val="auto"/>
          <w:szCs w:val="32"/>
          <w:highlight w:val="none"/>
        </w:rPr>
        <w:t>。我司质控师针对评价报告的可行性、全面性、简明性等提出了独立、客观、公正的评审意见。评价小组根据质控意见，对评价报告进行了修改和完善。</w:t>
      </w:r>
    </w:p>
    <w:p>
      <w:pPr>
        <w:pStyle w:val="2"/>
        <w:spacing w:before="0" w:after="0" w:line="580" w:lineRule="exact"/>
        <w:ind w:firstLine="640"/>
        <w:rPr>
          <w:rFonts w:hint="default" w:ascii="Times New Roman" w:hAnsi="Times New Roman" w:eastAsia="黑体" w:cs="Times New Roman"/>
          <w:b w:val="0"/>
          <w:bCs/>
          <w:color w:val="auto"/>
          <w:sz w:val="32"/>
          <w:szCs w:val="20"/>
          <w:highlight w:val="none"/>
        </w:rPr>
      </w:pPr>
      <w:bookmarkStart w:id="16" w:name="_Toc12075"/>
      <w:r>
        <w:rPr>
          <w:rFonts w:hint="default" w:ascii="Times New Roman" w:hAnsi="Times New Roman" w:eastAsia="黑体" w:cs="Times New Roman"/>
          <w:b w:val="0"/>
          <w:bCs/>
          <w:color w:val="auto"/>
          <w:sz w:val="32"/>
          <w:szCs w:val="20"/>
          <w:highlight w:val="none"/>
        </w:rPr>
        <w:t>三、评价结果与结论</w:t>
      </w:r>
      <w:bookmarkEnd w:id="16"/>
    </w:p>
    <w:p>
      <w:pPr>
        <w:pStyle w:val="3"/>
        <w:spacing w:beforeAutospacing="0" w:afterAutospacing="0" w:line="580" w:lineRule="exact"/>
        <w:ind w:firstLine="643"/>
        <w:jc w:val="both"/>
        <w:rPr>
          <w:rFonts w:hint="default" w:ascii="Times New Roman" w:hAnsi="Times New Roman" w:eastAsia="楷体_GB2312" w:cs="Times New Roman"/>
          <w:color w:val="auto"/>
          <w:sz w:val="32"/>
          <w:szCs w:val="32"/>
          <w:highlight w:val="none"/>
        </w:rPr>
      </w:pPr>
      <w:bookmarkStart w:id="17" w:name="_Toc26976"/>
      <w:r>
        <w:rPr>
          <w:rFonts w:hint="default" w:ascii="Times New Roman" w:hAnsi="Times New Roman" w:eastAsia="楷体_GB2312" w:cs="Times New Roman"/>
          <w:color w:val="auto"/>
          <w:sz w:val="32"/>
          <w:szCs w:val="32"/>
          <w:highlight w:val="none"/>
        </w:rPr>
        <w:t>（一）评价得分与绩效等级</w:t>
      </w:r>
      <w:bookmarkEnd w:id="17"/>
    </w:p>
    <w:p>
      <w:pPr>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依据《项目支出绩效评价管理办法》（财预〔2020〕10号）提出的项目支出绩效评价框架体系，结合本项目的特点，评价小组设计研发了本项目的绩效评价指标体系（指标、评价要点、评分规则）。</w:t>
      </w:r>
    </w:p>
    <w:p>
      <w:pPr>
        <w:spacing w:line="580" w:lineRule="exact"/>
        <w:ind w:firstLine="640"/>
        <w:rPr>
          <w:rFonts w:hint="default" w:ascii="Times New Roman" w:hAnsi="Times New Roman" w:cs="Times New Roman"/>
          <w:bCs/>
          <w:color w:val="auto"/>
          <w:szCs w:val="32"/>
          <w:highlight w:val="none"/>
          <w:shd w:val="clear" w:color="auto" w:fill="auto"/>
        </w:rPr>
      </w:pPr>
      <w:r>
        <w:rPr>
          <w:rFonts w:hint="default" w:ascii="Times New Roman" w:hAnsi="Times New Roman" w:cs="Times New Roman"/>
          <w:color w:val="auto"/>
          <w:szCs w:val="32"/>
          <w:highlight w:val="none"/>
        </w:rPr>
        <w:t>通过数据采集、问卷调查及访谈等方法，评价小组对</w:t>
      </w:r>
      <w:r>
        <w:rPr>
          <w:rFonts w:hint="eastAsia" w:ascii="Times New Roman" w:hAnsi="Times New Roman" w:cs="Times New Roman"/>
          <w:color w:val="auto"/>
          <w:szCs w:val="32"/>
          <w:highlight w:val="none"/>
          <w:lang w:eastAsia="zh-CN"/>
        </w:rPr>
        <w:t>德阳市罗江区水利局“2022年山洪灾害防治非工程措施设施维修养护”</w:t>
      </w:r>
      <w:r>
        <w:rPr>
          <w:rFonts w:hint="default" w:ascii="Times New Roman" w:hAnsi="Times New Roman" w:cs="Times New Roman"/>
          <w:color w:val="auto"/>
          <w:szCs w:val="32"/>
          <w:highlight w:val="none"/>
        </w:rPr>
        <w:t>项目进行客观公正的绩效评</w:t>
      </w:r>
      <w:r>
        <w:rPr>
          <w:rFonts w:hint="default" w:ascii="Times New Roman" w:hAnsi="Times New Roman" w:cs="Times New Roman"/>
          <w:color w:val="auto"/>
          <w:szCs w:val="32"/>
          <w:highlight w:val="none"/>
          <w:shd w:val="clear" w:color="auto" w:fill="auto"/>
        </w:rPr>
        <w:t>价，最终评分得分为</w:t>
      </w:r>
      <w:r>
        <w:rPr>
          <w:rFonts w:hint="eastAsia" w:ascii="Times New Roman" w:hAnsi="Times New Roman" w:cs="Times New Roman"/>
          <w:color w:val="auto"/>
          <w:szCs w:val="32"/>
          <w:highlight w:val="none"/>
          <w:shd w:val="clear" w:color="auto" w:fill="auto"/>
          <w:lang w:val="en-US" w:eastAsia="zh-CN"/>
        </w:rPr>
        <w:t>86.58</w:t>
      </w:r>
      <w:r>
        <w:rPr>
          <w:rFonts w:hint="default" w:ascii="Times New Roman" w:hAnsi="Times New Roman" w:cs="Times New Roman"/>
          <w:color w:val="auto"/>
          <w:szCs w:val="32"/>
          <w:highlight w:val="none"/>
          <w:shd w:val="clear" w:color="auto" w:fill="auto"/>
        </w:rPr>
        <w:t>分，根据《项目支</w:t>
      </w:r>
      <w:r>
        <w:rPr>
          <w:rFonts w:hint="default" w:ascii="Times New Roman" w:hAnsi="Times New Roman" w:cs="Times New Roman"/>
          <w:bCs/>
          <w:color w:val="auto"/>
          <w:szCs w:val="32"/>
          <w:highlight w:val="none"/>
          <w:shd w:val="clear" w:color="auto" w:fill="auto"/>
        </w:rPr>
        <w:t>出绩效评价管理办法》（财预〔2020〕10号）提出的绩效评价等级相关规定，本项目的绩效评价结果定级为</w:t>
      </w:r>
      <w:r>
        <w:rPr>
          <w:rFonts w:hint="eastAsia" w:ascii="Times New Roman" w:hAnsi="Times New Roman" w:cs="Times New Roman"/>
          <w:bCs/>
          <w:color w:val="auto"/>
          <w:szCs w:val="32"/>
          <w:highlight w:val="none"/>
          <w:shd w:val="clear" w:color="auto" w:fill="auto"/>
          <w:lang w:eastAsia="zh-CN"/>
        </w:rPr>
        <w:t>“</w:t>
      </w:r>
      <w:r>
        <w:rPr>
          <w:rFonts w:hint="eastAsia" w:ascii="Times New Roman" w:hAnsi="Times New Roman" w:cs="Times New Roman"/>
          <w:bCs/>
          <w:color w:val="auto"/>
          <w:szCs w:val="32"/>
          <w:highlight w:val="none"/>
          <w:shd w:val="clear" w:color="auto" w:fill="auto"/>
          <w:lang w:val="en-US" w:eastAsia="zh-CN"/>
        </w:rPr>
        <w:t>良</w:t>
      </w:r>
      <w:r>
        <w:rPr>
          <w:rFonts w:hint="eastAsia" w:ascii="Times New Roman" w:hAnsi="Times New Roman" w:cs="Times New Roman"/>
          <w:bCs/>
          <w:color w:val="auto"/>
          <w:szCs w:val="32"/>
          <w:highlight w:val="none"/>
          <w:shd w:val="clear" w:color="auto" w:fill="auto"/>
          <w:lang w:eastAsia="zh-CN"/>
        </w:rPr>
        <w:t>”</w:t>
      </w:r>
      <w:r>
        <w:rPr>
          <w:rFonts w:hint="default" w:ascii="Times New Roman" w:hAnsi="Times New Roman" w:cs="Times New Roman"/>
          <w:bCs/>
          <w:color w:val="auto"/>
          <w:szCs w:val="32"/>
          <w:highlight w:val="none"/>
          <w:shd w:val="clear" w:color="auto" w:fill="auto"/>
        </w:rPr>
        <w:t>。</w:t>
      </w:r>
    </w:p>
    <w:p>
      <w:pPr>
        <w:spacing w:line="580" w:lineRule="exact"/>
        <w:ind w:left="0" w:leftChars="0" w:firstLine="0" w:firstLineChars="0"/>
        <w:rPr>
          <w:rFonts w:hint="eastAsia" w:ascii="Times New Roman" w:hAnsi="Times New Roman" w:cs="Times New Roman"/>
          <w:color w:val="auto"/>
          <w:szCs w:val="32"/>
          <w:highlight w:val="none"/>
          <w:shd w:val="clear" w:color="auto" w:fill="auto"/>
          <w:lang w:eastAsia="zh-CN"/>
        </w:rPr>
      </w:pPr>
      <w:r>
        <w:rPr>
          <w:rFonts w:hint="default" w:ascii="Times New Roman" w:hAnsi="Times New Roman" w:cs="Times New Roman"/>
          <w:color w:val="auto"/>
          <w:szCs w:val="32"/>
          <w:highlight w:val="none"/>
          <w:shd w:val="clear" w:color="auto" w:fill="auto"/>
        </w:rPr>
        <w:t>其中</w:t>
      </w:r>
      <w:r>
        <w:rPr>
          <w:rFonts w:hint="eastAsia" w:ascii="Times New Roman" w:hAnsi="Times New Roman" w:cs="Times New Roman"/>
          <w:color w:val="auto"/>
          <w:szCs w:val="32"/>
          <w:highlight w:val="none"/>
          <w:shd w:val="clear" w:color="auto" w:fill="auto"/>
          <w:lang w:eastAsia="zh-CN"/>
        </w:rPr>
        <w:t>：</w:t>
      </w:r>
    </w:p>
    <w:p>
      <w:pPr>
        <w:spacing w:line="580" w:lineRule="exact"/>
        <w:ind w:left="0" w:leftChars="0" w:firstLine="640" w:firstLineChars="200"/>
        <w:rPr>
          <w:rFonts w:hint="default" w:ascii="Times New Roman" w:hAnsi="Times New Roman" w:cs="Times New Roman"/>
          <w:color w:val="auto"/>
          <w:szCs w:val="32"/>
          <w:highlight w:val="none"/>
          <w:shd w:val="clear" w:color="auto" w:fill="auto"/>
        </w:rPr>
      </w:pPr>
      <w:r>
        <w:rPr>
          <w:rFonts w:hint="eastAsia" w:ascii="Times New Roman" w:hAnsi="Times New Roman" w:cs="Times New Roman"/>
          <w:color w:val="auto"/>
          <w:szCs w:val="32"/>
          <w:highlight w:val="none"/>
          <w:shd w:val="clear" w:color="auto" w:fill="auto"/>
          <w:lang w:eastAsia="zh-CN"/>
        </w:rPr>
        <w:t>“</w:t>
      </w:r>
      <w:r>
        <w:rPr>
          <w:rFonts w:hint="default" w:ascii="Times New Roman" w:hAnsi="Times New Roman" w:cs="Times New Roman"/>
          <w:color w:val="auto"/>
          <w:szCs w:val="32"/>
          <w:highlight w:val="none"/>
          <w:shd w:val="clear" w:color="auto" w:fill="auto"/>
        </w:rPr>
        <w:t>决策</w:t>
      </w:r>
      <w:r>
        <w:rPr>
          <w:rFonts w:hint="eastAsia" w:ascii="Times New Roman" w:hAnsi="Times New Roman" w:cs="Times New Roman"/>
          <w:color w:val="auto"/>
          <w:szCs w:val="32"/>
          <w:highlight w:val="none"/>
          <w:shd w:val="clear" w:color="auto" w:fill="auto"/>
          <w:lang w:eastAsia="zh-CN"/>
        </w:rPr>
        <w:t>”</w:t>
      </w:r>
      <w:r>
        <w:rPr>
          <w:rFonts w:hint="default" w:ascii="Times New Roman" w:hAnsi="Times New Roman" w:cs="Times New Roman"/>
          <w:color w:val="auto"/>
          <w:szCs w:val="32"/>
          <w:highlight w:val="none"/>
          <w:shd w:val="clear" w:color="auto" w:fill="auto"/>
        </w:rPr>
        <w:t>指标权重为</w:t>
      </w:r>
      <w:r>
        <w:rPr>
          <w:rFonts w:hint="eastAsia" w:ascii="Times New Roman" w:hAnsi="Times New Roman" w:cs="Times New Roman"/>
          <w:color w:val="auto"/>
          <w:highlight w:val="none"/>
          <w:shd w:val="clear" w:color="auto" w:fill="auto"/>
          <w:lang w:val="en-US" w:eastAsia="zh-CN"/>
        </w:rPr>
        <w:t>14</w:t>
      </w:r>
      <w:r>
        <w:rPr>
          <w:rFonts w:hint="default" w:ascii="Times New Roman" w:hAnsi="Times New Roman" w:cs="Times New Roman"/>
          <w:color w:val="auto"/>
          <w:szCs w:val="32"/>
          <w:highlight w:val="none"/>
          <w:shd w:val="clear" w:color="auto" w:fill="auto"/>
        </w:rPr>
        <w:t>分，得分为</w:t>
      </w:r>
      <w:r>
        <w:rPr>
          <w:rFonts w:hint="eastAsia" w:ascii="Times New Roman" w:hAnsi="Times New Roman" w:cs="Times New Roman"/>
          <w:color w:val="auto"/>
          <w:szCs w:val="32"/>
          <w:highlight w:val="none"/>
          <w:shd w:val="clear" w:color="auto" w:fill="auto"/>
          <w:lang w:val="en-US" w:eastAsia="zh-CN"/>
        </w:rPr>
        <w:t>4</w:t>
      </w:r>
      <w:r>
        <w:rPr>
          <w:rFonts w:hint="default" w:ascii="Times New Roman" w:hAnsi="Times New Roman" w:cs="Times New Roman"/>
          <w:color w:val="auto"/>
          <w:szCs w:val="32"/>
          <w:highlight w:val="none"/>
          <w:shd w:val="clear" w:color="auto" w:fill="auto"/>
        </w:rPr>
        <w:t>分，得分率为</w:t>
      </w:r>
      <w:r>
        <w:rPr>
          <w:rFonts w:hint="eastAsia" w:ascii="Times New Roman" w:hAnsi="Times New Roman" w:cs="Times New Roman"/>
          <w:color w:val="auto"/>
          <w:szCs w:val="32"/>
          <w:highlight w:val="none"/>
          <w:shd w:val="clear" w:color="auto" w:fill="auto"/>
          <w:lang w:val="en-US" w:eastAsia="zh-CN"/>
        </w:rPr>
        <w:t>28.57</w:t>
      </w:r>
      <w:r>
        <w:rPr>
          <w:rFonts w:hint="default" w:ascii="Times New Roman" w:hAnsi="Times New Roman" w:cs="Times New Roman"/>
          <w:color w:val="auto"/>
          <w:szCs w:val="32"/>
          <w:highlight w:val="none"/>
          <w:shd w:val="clear" w:color="auto" w:fill="auto"/>
        </w:rPr>
        <w:t>%；</w:t>
      </w:r>
    </w:p>
    <w:p>
      <w:pPr>
        <w:spacing w:line="580" w:lineRule="exact"/>
        <w:ind w:left="0" w:leftChars="0" w:firstLine="0" w:firstLineChars="0"/>
        <w:rPr>
          <w:rFonts w:hint="default" w:ascii="Times New Roman" w:hAnsi="Times New Roman" w:cs="Times New Roman"/>
          <w:color w:val="auto"/>
          <w:szCs w:val="32"/>
          <w:highlight w:val="none"/>
          <w:shd w:val="clear" w:color="auto" w:fill="auto"/>
        </w:rPr>
      </w:pPr>
      <w:r>
        <w:rPr>
          <w:rFonts w:hint="eastAsia" w:ascii="Times New Roman" w:hAnsi="Times New Roman" w:cs="Times New Roman"/>
          <w:color w:val="auto"/>
          <w:szCs w:val="32"/>
          <w:highlight w:val="none"/>
          <w:shd w:val="clear" w:color="auto" w:fill="auto"/>
          <w:lang w:eastAsia="zh-CN"/>
        </w:rPr>
        <w:t>“</w:t>
      </w:r>
      <w:r>
        <w:rPr>
          <w:rFonts w:hint="default" w:ascii="Times New Roman" w:hAnsi="Times New Roman" w:cs="Times New Roman"/>
          <w:color w:val="auto"/>
          <w:szCs w:val="32"/>
          <w:highlight w:val="none"/>
          <w:shd w:val="clear" w:color="auto" w:fill="auto"/>
        </w:rPr>
        <w:t>过程</w:t>
      </w:r>
      <w:r>
        <w:rPr>
          <w:rFonts w:hint="eastAsia" w:ascii="Times New Roman" w:hAnsi="Times New Roman" w:cs="Times New Roman"/>
          <w:color w:val="auto"/>
          <w:szCs w:val="32"/>
          <w:highlight w:val="none"/>
          <w:shd w:val="clear" w:color="auto" w:fill="auto"/>
          <w:lang w:eastAsia="zh-CN"/>
        </w:rPr>
        <w:t>”</w:t>
      </w:r>
      <w:r>
        <w:rPr>
          <w:rFonts w:hint="default" w:ascii="Times New Roman" w:hAnsi="Times New Roman" w:cs="Times New Roman"/>
          <w:color w:val="auto"/>
          <w:szCs w:val="32"/>
          <w:highlight w:val="none"/>
          <w:shd w:val="clear" w:color="auto" w:fill="auto"/>
        </w:rPr>
        <w:t>指标权重为18分，得分为</w:t>
      </w:r>
      <w:r>
        <w:rPr>
          <w:rFonts w:hint="eastAsia" w:ascii="Times New Roman" w:hAnsi="Times New Roman" w:cs="Times New Roman"/>
          <w:color w:val="auto"/>
          <w:szCs w:val="32"/>
          <w:highlight w:val="none"/>
          <w:shd w:val="clear" w:color="auto" w:fill="auto"/>
          <w:lang w:val="en-US" w:eastAsia="zh-CN"/>
        </w:rPr>
        <w:t>15.91</w:t>
      </w:r>
      <w:r>
        <w:rPr>
          <w:rFonts w:hint="default" w:ascii="Times New Roman" w:hAnsi="Times New Roman" w:cs="Times New Roman"/>
          <w:color w:val="auto"/>
          <w:szCs w:val="32"/>
          <w:highlight w:val="none"/>
          <w:shd w:val="clear" w:color="auto" w:fill="auto"/>
        </w:rPr>
        <w:t>分，得分率为</w:t>
      </w:r>
      <w:r>
        <w:rPr>
          <w:rFonts w:hint="eastAsia" w:ascii="Times New Roman" w:hAnsi="Times New Roman" w:cs="Times New Roman"/>
          <w:color w:val="auto"/>
          <w:szCs w:val="32"/>
          <w:highlight w:val="none"/>
          <w:shd w:val="clear" w:color="auto" w:fill="auto"/>
          <w:lang w:val="en-US" w:eastAsia="zh-CN"/>
        </w:rPr>
        <w:t>82.56</w:t>
      </w:r>
      <w:r>
        <w:rPr>
          <w:rFonts w:hint="default" w:ascii="Times New Roman" w:hAnsi="Times New Roman" w:cs="Times New Roman"/>
          <w:color w:val="auto"/>
          <w:szCs w:val="32"/>
          <w:highlight w:val="none"/>
          <w:shd w:val="clear" w:color="auto" w:fill="auto"/>
        </w:rPr>
        <w:t>%</w:t>
      </w:r>
      <w:r>
        <w:rPr>
          <w:rFonts w:hint="eastAsia" w:ascii="Times New Roman" w:hAnsi="Times New Roman" w:cs="Times New Roman"/>
          <w:color w:val="auto"/>
          <w:szCs w:val="32"/>
          <w:highlight w:val="none"/>
          <w:shd w:val="clear" w:color="auto" w:fill="auto"/>
          <w:lang w:eastAsia="zh-CN"/>
        </w:rPr>
        <w:t>；“</w:t>
      </w:r>
      <w:r>
        <w:rPr>
          <w:rFonts w:hint="default" w:ascii="Times New Roman" w:hAnsi="Times New Roman" w:cs="Times New Roman"/>
          <w:color w:val="auto"/>
          <w:szCs w:val="32"/>
          <w:highlight w:val="none"/>
          <w:shd w:val="clear" w:color="auto" w:fill="auto"/>
        </w:rPr>
        <w:t>产出</w:t>
      </w:r>
      <w:r>
        <w:rPr>
          <w:rFonts w:hint="eastAsia" w:ascii="Times New Roman" w:hAnsi="Times New Roman" w:cs="Times New Roman"/>
          <w:color w:val="auto"/>
          <w:szCs w:val="32"/>
          <w:highlight w:val="none"/>
          <w:shd w:val="clear" w:color="auto" w:fill="auto"/>
          <w:lang w:eastAsia="zh-CN"/>
        </w:rPr>
        <w:t>”</w:t>
      </w:r>
      <w:r>
        <w:rPr>
          <w:rFonts w:hint="default" w:ascii="Times New Roman" w:hAnsi="Times New Roman" w:cs="Times New Roman"/>
          <w:color w:val="auto"/>
          <w:szCs w:val="32"/>
          <w:highlight w:val="none"/>
          <w:shd w:val="clear" w:color="auto" w:fill="auto"/>
        </w:rPr>
        <w:t>指标权重为</w:t>
      </w:r>
      <w:r>
        <w:rPr>
          <w:rFonts w:hint="eastAsia" w:ascii="Times New Roman" w:hAnsi="Times New Roman" w:cs="Times New Roman"/>
          <w:color w:val="auto"/>
          <w:szCs w:val="32"/>
          <w:highlight w:val="none"/>
          <w:shd w:val="clear" w:color="auto" w:fill="auto"/>
          <w:lang w:val="en-US" w:eastAsia="zh-CN"/>
        </w:rPr>
        <w:t>28</w:t>
      </w:r>
      <w:r>
        <w:rPr>
          <w:rFonts w:hint="default" w:ascii="Times New Roman" w:hAnsi="Times New Roman" w:cs="Times New Roman"/>
          <w:color w:val="auto"/>
          <w:szCs w:val="32"/>
          <w:highlight w:val="none"/>
          <w:shd w:val="clear" w:color="auto" w:fill="auto"/>
        </w:rPr>
        <w:t>分，得分为</w:t>
      </w:r>
      <w:r>
        <w:rPr>
          <w:rFonts w:hint="eastAsia" w:ascii="Times New Roman" w:hAnsi="Times New Roman" w:cs="Times New Roman"/>
          <w:color w:val="auto"/>
          <w:szCs w:val="32"/>
          <w:highlight w:val="none"/>
          <w:shd w:val="clear" w:color="auto" w:fill="auto"/>
          <w:lang w:val="en-US" w:eastAsia="zh-CN"/>
        </w:rPr>
        <w:t>28</w:t>
      </w:r>
      <w:r>
        <w:rPr>
          <w:rFonts w:hint="default" w:ascii="Times New Roman" w:hAnsi="Times New Roman" w:cs="Times New Roman"/>
          <w:color w:val="auto"/>
          <w:szCs w:val="32"/>
          <w:highlight w:val="none"/>
          <w:shd w:val="clear" w:color="auto" w:fill="auto"/>
        </w:rPr>
        <w:t>分，得分率为</w:t>
      </w:r>
      <w:r>
        <w:rPr>
          <w:rFonts w:hint="eastAsia" w:ascii="Times New Roman" w:hAnsi="Times New Roman" w:cs="Times New Roman"/>
          <w:color w:val="auto"/>
          <w:szCs w:val="32"/>
          <w:highlight w:val="none"/>
          <w:shd w:val="clear" w:color="auto" w:fill="auto"/>
          <w:lang w:val="en-US" w:eastAsia="zh-CN"/>
        </w:rPr>
        <w:t>100</w:t>
      </w:r>
      <w:r>
        <w:rPr>
          <w:rFonts w:hint="default" w:ascii="Times New Roman" w:hAnsi="Times New Roman" w:cs="Times New Roman"/>
          <w:color w:val="auto"/>
          <w:szCs w:val="32"/>
          <w:highlight w:val="none"/>
          <w:shd w:val="clear" w:color="auto" w:fill="auto"/>
        </w:rPr>
        <w:t>%；</w:t>
      </w:r>
      <w:r>
        <w:rPr>
          <w:rFonts w:hint="eastAsia" w:ascii="Times New Roman" w:hAnsi="Times New Roman" w:cs="Times New Roman"/>
          <w:color w:val="auto"/>
          <w:szCs w:val="32"/>
          <w:highlight w:val="none"/>
          <w:shd w:val="clear" w:color="auto" w:fill="auto"/>
          <w:lang w:eastAsia="zh-CN"/>
        </w:rPr>
        <w:t>“</w:t>
      </w:r>
      <w:r>
        <w:rPr>
          <w:rFonts w:hint="default" w:ascii="Times New Roman" w:hAnsi="Times New Roman" w:cs="Times New Roman"/>
          <w:color w:val="auto"/>
          <w:szCs w:val="32"/>
          <w:highlight w:val="none"/>
          <w:shd w:val="clear" w:color="auto" w:fill="auto"/>
        </w:rPr>
        <w:t>效益</w:t>
      </w:r>
      <w:r>
        <w:rPr>
          <w:rFonts w:hint="eastAsia" w:ascii="Times New Roman" w:hAnsi="Times New Roman" w:cs="Times New Roman"/>
          <w:color w:val="auto"/>
          <w:szCs w:val="32"/>
          <w:highlight w:val="none"/>
          <w:shd w:val="clear" w:color="auto" w:fill="auto"/>
          <w:lang w:eastAsia="zh-CN"/>
        </w:rPr>
        <w:t>”</w:t>
      </w:r>
      <w:r>
        <w:rPr>
          <w:rFonts w:hint="default" w:ascii="Times New Roman" w:hAnsi="Times New Roman" w:cs="Times New Roman"/>
          <w:color w:val="auto"/>
          <w:szCs w:val="32"/>
          <w:highlight w:val="none"/>
          <w:shd w:val="clear" w:color="auto" w:fill="auto"/>
        </w:rPr>
        <w:t>指标权重为</w:t>
      </w:r>
      <w:r>
        <w:rPr>
          <w:rFonts w:hint="eastAsia" w:ascii="Times New Roman" w:hAnsi="Times New Roman" w:cs="Times New Roman"/>
          <w:color w:val="auto"/>
          <w:szCs w:val="32"/>
          <w:highlight w:val="none"/>
          <w:shd w:val="clear" w:color="auto" w:fill="auto"/>
          <w:lang w:val="en-US" w:eastAsia="zh-CN"/>
        </w:rPr>
        <w:t>40</w:t>
      </w:r>
      <w:r>
        <w:rPr>
          <w:rFonts w:hint="default" w:ascii="Times New Roman" w:hAnsi="Times New Roman" w:cs="Times New Roman"/>
          <w:color w:val="auto"/>
          <w:szCs w:val="32"/>
          <w:highlight w:val="none"/>
          <w:shd w:val="clear" w:color="auto" w:fill="auto"/>
        </w:rPr>
        <w:t>分，得分为</w:t>
      </w:r>
      <w:r>
        <w:rPr>
          <w:rFonts w:hint="eastAsia" w:ascii="Times New Roman" w:hAnsi="Times New Roman" w:cs="Times New Roman"/>
          <w:color w:val="auto"/>
          <w:szCs w:val="32"/>
          <w:highlight w:val="none"/>
          <w:shd w:val="clear" w:color="auto" w:fill="auto"/>
          <w:lang w:val="en-US" w:eastAsia="zh-CN"/>
        </w:rPr>
        <w:t>38.67</w:t>
      </w:r>
      <w:r>
        <w:rPr>
          <w:rFonts w:hint="default" w:ascii="Times New Roman" w:hAnsi="Times New Roman" w:cs="Times New Roman"/>
          <w:color w:val="auto"/>
          <w:szCs w:val="32"/>
          <w:highlight w:val="none"/>
          <w:shd w:val="clear" w:color="auto" w:fill="auto"/>
        </w:rPr>
        <w:t>分，得分率为</w:t>
      </w:r>
      <w:r>
        <w:rPr>
          <w:rFonts w:hint="eastAsia" w:ascii="Times New Roman" w:hAnsi="Times New Roman" w:cs="Times New Roman"/>
          <w:color w:val="auto"/>
          <w:szCs w:val="32"/>
          <w:highlight w:val="none"/>
          <w:shd w:val="clear" w:color="auto" w:fill="auto"/>
          <w:lang w:val="en-US" w:eastAsia="zh-CN"/>
        </w:rPr>
        <w:t>96.6</w:t>
      </w:r>
      <w:r>
        <w:rPr>
          <w:rFonts w:hint="default" w:ascii="Times New Roman" w:hAnsi="Times New Roman" w:cs="Times New Roman"/>
          <w:color w:val="auto"/>
          <w:szCs w:val="32"/>
          <w:highlight w:val="none"/>
          <w:shd w:val="clear" w:color="auto" w:fill="auto"/>
        </w:rPr>
        <w:t>%。</w:t>
      </w:r>
    </w:p>
    <w:p>
      <w:pPr>
        <w:spacing w:line="580" w:lineRule="exact"/>
        <w:ind w:left="0" w:leftChars="0" w:firstLine="0" w:firstLineChars="0"/>
        <w:jc w:val="left"/>
        <w:rPr>
          <w:rFonts w:hint="eastAsia" w:ascii="Times New Roman" w:hAnsi="Times New Roman" w:cs="Times New Roman"/>
          <w:b/>
          <w:bCs/>
          <w:color w:val="auto"/>
          <w:sz w:val="28"/>
          <w:szCs w:val="28"/>
          <w:highlight w:val="none"/>
          <w:lang w:val="en-US" w:eastAsia="zh-CN"/>
        </w:rPr>
      </w:pPr>
      <w:r>
        <w:rPr>
          <w:rFonts w:hint="default" w:ascii="Times New Roman" w:hAnsi="Times New Roman" w:cs="Times New Roman"/>
          <w:b/>
          <w:bCs/>
          <w:color w:val="auto"/>
          <w:sz w:val="28"/>
          <w:szCs w:val="28"/>
          <w:highlight w:val="none"/>
        </w:rPr>
        <w:t>表3-1</w:t>
      </w:r>
    </w:p>
    <w:p>
      <w:pPr>
        <w:spacing w:line="580" w:lineRule="exact"/>
        <w:ind w:left="0" w:leftChars="0" w:firstLine="0" w:firstLineChars="0"/>
        <w:jc w:val="center"/>
        <w:rPr>
          <w:rFonts w:hint="default" w:ascii="Times New Roman" w:hAnsi="Times New Roman" w:cs="Times New Roman"/>
          <w:b/>
          <w:bCs/>
          <w:color w:val="auto"/>
          <w:sz w:val="28"/>
          <w:szCs w:val="28"/>
          <w:highlight w:val="none"/>
        </w:rPr>
      </w:pPr>
      <w:r>
        <w:rPr>
          <w:rFonts w:hint="eastAsia" w:ascii="Times New Roman" w:hAnsi="Times New Roman" w:cs="Times New Roman"/>
          <w:b/>
          <w:bCs/>
          <w:color w:val="auto"/>
          <w:sz w:val="28"/>
          <w:szCs w:val="28"/>
          <w:highlight w:val="none"/>
          <w:lang w:eastAsia="zh-CN"/>
        </w:rPr>
        <w:t>2022年山洪灾害防治非工程措施设施维修养护项目</w:t>
      </w:r>
      <w:r>
        <w:rPr>
          <w:rFonts w:hint="default" w:ascii="Times New Roman" w:hAnsi="Times New Roman" w:cs="Times New Roman"/>
          <w:b/>
          <w:bCs/>
          <w:color w:val="auto"/>
          <w:sz w:val="28"/>
          <w:szCs w:val="28"/>
          <w:highlight w:val="none"/>
        </w:rPr>
        <w:t>绩效评价得分情况</w:t>
      </w:r>
    </w:p>
    <w:tbl>
      <w:tblPr>
        <w:tblStyle w:val="14"/>
        <w:tblW w:w="8871" w:type="dxa"/>
        <w:jc w:val="center"/>
        <w:tblLayout w:type="fixed"/>
        <w:tblCellMar>
          <w:top w:w="0" w:type="dxa"/>
          <w:left w:w="0" w:type="dxa"/>
          <w:bottom w:w="0" w:type="dxa"/>
          <w:right w:w="0" w:type="dxa"/>
        </w:tblCellMar>
      </w:tblPr>
      <w:tblGrid>
        <w:gridCol w:w="2578"/>
        <w:gridCol w:w="2190"/>
        <w:gridCol w:w="2106"/>
        <w:gridCol w:w="1997"/>
      </w:tblGrid>
      <w:tr>
        <w:tblPrEx>
          <w:tblCellMar>
            <w:top w:w="0" w:type="dxa"/>
            <w:left w:w="0" w:type="dxa"/>
            <w:bottom w:w="0" w:type="dxa"/>
            <w:right w:w="0" w:type="dxa"/>
          </w:tblCellMar>
        </w:tblPrEx>
        <w:trPr>
          <w:trHeight w:val="280" w:hRule="atLeast"/>
          <w:jc w:val="center"/>
        </w:trPr>
        <w:tc>
          <w:tcPr>
            <w:tcW w:w="25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1"/>
              <w:rPr>
                <w:rFonts w:hint="default" w:ascii="Times New Roman" w:hAnsi="Times New Roman" w:cs="Times New Roman"/>
                <w:b/>
                <w:bCs/>
                <w:color w:val="auto"/>
                <w:highlight w:val="none"/>
              </w:rPr>
            </w:pPr>
            <w:r>
              <w:rPr>
                <w:rFonts w:hint="default" w:ascii="Times New Roman" w:hAnsi="Times New Roman" w:cs="Times New Roman"/>
                <w:b/>
                <w:bCs/>
                <w:color w:val="auto"/>
                <w:highlight w:val="none"/>
              </w:rPr>
              <w:t>一级指标</w:t>
            </w:r>
          </w:p>
        </w:tc>
        <w:tc>
          <w:tcPr>
            <w:tcW w:w="21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1"/>
              <w:rPr>
                <w:rFonts w:hint="default" w:ascii="Times New Roman" w:hAnsi="Times New Roman" w:cs="Times New Roman"/>
                <w:b/>
                <w:bCs/>
                <w:color w:val="auto"/>
                <w:highlight w:val="none"/>
              </w:rPr>
            </w:pPr>
            <w:r>
              <w:rPr>
                <w:rFonts w:hint="default" w:ascii="Times New Roman" w:hAnsi="Times New Roman" w:cs="Times New Roman"/>
                <w:b/>
                <w:bCs/>
                <w:color w:val="auto"/>
                <w:highlight w:val="none"/>
              </w:rPr>
              <w:t>权重</w:t>
            </w:r>
          </w:p>
        </w:tc>
        <w:tc>
          <w:tcPr>
            <w:tcW w:w="21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1"/>
              <w:rPr>
                <w:rFonts w:hint="default" w:ascii="Times New Roman" w:hAnsi="Times New Roman" w:cs="Times New Roman"/>
                <w:b/>
                <w:bCs/>
                <w:color w:val="auto"/>
                <w:highlight w:val="none"/>
              </w:rPr>
            </w:pPr>
            <w:r>
              <w:rPr>
                <w:rFonts w:hint="default" w:ascii="Times New Roman" w:hAnsi="Times New Roman" w:cs="Times New Roman"/>
                <w:b/>
                <w:bCs/>
                <w:color w:val="auto"/>
                <w:highlight w:val="none"/>
              </w:rPr>
              <w:t>得分</w:t>
            </w:r>
          </w:p>
        </w:tc>
        <w:tc>
          <w:tcPr>
            <w:tcW w:w="19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1"/>
              <w:rPr>
                <w:rFonts w:hint="default" w:ascii="Times New Roman" w:hAnsi="Times New Roman" w:cs="Times New Roman"/>
                <w:b/>
                <w:bCs/>
                <w:color w:val="auto"/>
                <w:highlight w:val="none"/>
              </w:rPr>
            </w:pPr>
            <w:r>
              <w:rPr>
                <w:rFonts w:hint="default" w:ascii="Times New Roman" w:hAnsi="Times New Roman" w:cs="Times New Roman"/>
                <w:b/>
                <w:bCs/>
                <w:color w:val="auto"/>
                <w:highlight w:val="none"/>
              </w:rPr>
              <w:t>得分率</w:t>
            </w:r>
          </w:p>
        </w:tc>
      </w:tr>
      <w:tr>
        <w:tblPrEx>
          <w:tblCellMar>
            <w:top w:w="0" w:type="dxa"/>
            <w:left w:w="0" w:type="dxa"/>
            <w:bottom w:w="0" w:type="dxa"/>
            <w:right w:w="0" w:type="dxa"/>
          </w:tblCellMar>
        </w:tblPrEx>
        <w:trPr>
          <w:trHeight w:val="285" w:hRule="atLeast"/>
          <w:jc w:val="center"/>
        </w:trPr>
        <w:tc>
          <w:tcPr>
            <w:tcW w:w="25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1"/>
              <w:rPr>
                <w:rFonts w:hint="default" w:ascii="Times New Roman" w:hAnsi="Times New Roman" w:cs="Times New Roman"/>
                <w:color w:val="auto"/>
                <w:highlight w:val="none"/>
                <w:lang w:eastAsia="zh-Hans"/>
              </w:rPr>
            </w:pPr>
            <w:r>
              <w:rPr>
                <w:rFonts w:hint="default" w:ascii="Times New Roman" w:hAnsi="Times New Roman" w:cs="Times New Roman"/>
                <w:color w:val="auto"/>
                <w:highlight w:val="none"/>
              </w:rPr>
              <w:t>决策</w:t>
            </w:r>
            <w:r>
              <w:rPr>
                <w:rFonts w:hint="default" w:ascii="Times New Roman" w:hAnsi="Times New Roman" w:cs="Times New Roman"/>
                <w:color w:val="auto"/>
                <w:highlight w:val="none"/>
                <w:lang w:eastAsia="zh-Hans"/>
              </w:rPr>
              <w:t>投入</w:t>
            </w:r>
          </w:p>
        </w:tc>
        <w:tc>
          <w:tcPr>
            <w:tcW w:w="21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1"/>
              <w:rPr>
                <w:rFonts w:hint="default" w:ascii="Times New Roman" w:hAnsi="Times New Roman" w:eastAsia="仿宋_GB2312" w:cs="Times New Roman"/>
                <w:color w:val="auto"/>
                <w:highlight w:val="none"/>
                <w:lang w:val="en-US" w:eastAsia="zh-CN"/>
              </w:rPr>
            </w:pPr>
            <w:r>
              <w:rPr>
                <w:rFonts w:hint="eastAsia" w:ascii="Times New Roman" w:hAnsi="Times New Roman" w:cs="Times New Roman"/>
                <w:color w:val="auto"/>
                <w:highlight w:val="none"/>
                <w:lang w:val="en-US" w:eastAsia="zh-CN"/>
              </w:rPr>
              <w:t>14</w:t>
            </w:r>
          </w:p>
        </w:tc>
        <w:tc>
          <w:tcPr>
            <w:tcW w:w="21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1"/>
              <w:rPr>
                <w:rFonts w:hint="default" w:ascii="Times New Roman" w:hAnsi="Times New Roman" w:eastAsia="仿宋_GB2312" w:cs="Times New Roman"/>
                <w:color w:val="auto"/>
                <w:highlight w:val="none"/>
                <w:lang w:val="en-US" w:eastAsia="zh-CN"/>
              </w:rPr>
            </w:pPr>
            <w:r>
              <w:rPr>
                <w:rFonts w:hint="eastAsia" w:ascii="Times New Roman" w:hAnsi="Times New Roman" w:cs="Times New Roman"/>
                <w:color w:val="auto"/>
                <w:highlight w:val="none"/>
                <w:lang w:val="en-US" w:eastAsia="zh-CN"/>
              </w:rPr>
              <w:t>4</w:t>
            </w:r>
          </w:p>
        </w:tc>
        <w:tc>
          <w:tcPr>
            <w:tcW w:w="19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cs="Times New Roman"/>
                <w:color w:val="auto"/>
                <w:highlight w:val="none"/>
              </w:rPr>
            </w:pPr>
            <w:r>
              <w:rPr>
                <w:rFonts w:hint="default" w:ascii="Times New Roman" w:hAnsi="Times New Roman" w:eastAsia="宋体" w:cs="Times New Roman"/>
                <w:i w:val="0"/>
                <w:iCs w:val="0"/>
                <w:color w:val="000000"/>
                <w:kern w:val="0"/>
                <w:sz w:val="24"/>
                <w:szCs w:val="24"/>
                <w:u w:val="none"/>
                <w:lang w:val="en-US" w:eastAsia="zh-CN" w:bidi="ar"/>
              </w:rPr>
              <w:t>28.57%</w:t>
            </w:r>
          </w:p>
        </w:tc>
      </w:tr>
      <w:tr>
        <w:tblPrEx>
          <w:tblCellMar>
            <w:top w:w="0" w:type="dxa"/>
            <w:left w:w="0" w:type="dxa"/>
            <w:bottom w:w="0" w:type="dxa"/>
            <w:right w:w="0" w:type="dxa"/>
          </w:tblCellMar>
        </w:tblPrEx>
        <w:trPr>
          <w:trHeight w:val="285" w:hRule="atLeast"/>
          <w:jc w:val="center"/>
        </w:trPr>
        <w:tc>
          <w:tcPr>
            <w:tcW w:w="25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1"/>
              <w:rPr>
                <w:rFonts w:hint="default" w:ascii="Times New Roman" w:hAnsi="Times New Roman" w:cs="Times New Roman"/>
                <w:color w:val="auto"/>
                <w:highlight w:val="none"/>
              </w:rPr>
            </w:pPr>
            <w:r>
              <w:rPr>
                <w:rFonts w:hint="default" w:ascii="Times New Roman" w:hAnsi="Times New Roman" w:cs="Times New Roman"/>
                <w:color w:val="auto"/>
                <w:highlight w:val="none"/>
                <w:lang w:eastAsia="zh-Hans"/>
              </w:rPr>
              <w:t>过程</w:t>
            </w:r>
            <w:r>
              <w:rPr>
                <w:rFonts w:hint="default" w:ascii="Times New Roman" w:hAnsi="Times New Roman" w:cs="Times New Roman"/>
                <w:color w:val="auto"/>
                <w:highlight w:val="none"/>
              </w:rPr>
              <w:t>管理</w:t>
            </w:r>
          </w:p>
        </w:tc>
        <w:tc>
          <w:tcPr>
            <w:tcW w:w="21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1"/>
              <w:rPr>
                <w:rFonts w:hint="default" w:ascii="Times New Roman" w:hAnsi="Times New Roman" w:eastAsia="仿宋_GB2312" w:cs="Times New Roman"/>
                <w:color w:val="auto"/>
                <w:highlight w:val="none"/>
                <w:lang w:val="en-US" w:eastAsia="zh-CN"/>
              </w:rPr>
            </w:pPr>
            <w:r>
              <w:rPr>
                <w:rFonts w:hint="eastAsia" w:ascii="Times New Roman" w:hAnsi="Times New Roman" w:cs="Times New Roman"/>
                <w:color w:val="auto"/>
                <w:highlight w:val="none"/>
                <w:lang w:val="en-US" w:eastAsia="zh-CN"/>
              </w:rPr>
              <w:t>18</w:t>
            </w:r>
          </w:p>
        </w:tc>
        <w:tc>
          <w:tcPr>
            <w:tcW w:w="21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1"/>
              <w:rPr>
                <w:rFonts w:hint="default" w:ascii="Times New Roman" w:hAnsi="Times New Roman" w:eastAsia="仿宋_GB2312" w:cs="Times New Roman"/>
                <w:color w:val="auto"/>
                <w:highlight w:val="none"/>
                <w:lang w:val="en-US" w:eastAsia="zh-CN"/>
              </w:rPr>
            </w:pPr>
            <w:r>
              <w:rPr>
                <w:rFonts w:hint="eastAsia" w:ascii="Times New Roman" w:hAnsi="Times New Roman" w:cs="Times New Roman"/>
                <w:color w:val="auto"/>
                <w:highlight w:val="none"/>
                <w:lang w:val="en-US" w:eastAsia="zh-CN"/>
              </w:rPr>
              <w:t>14.86</w:t>
            </w:r>
          </w:p>
        </w:tc>
        <w:tc>
          <w:tcPr>
            <w:tcW w:w="19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cs="Times New Roman"/>
                <w:color w:val="auto"/>
                <w:highlight w:val="none"/>
              </w:rPr>
            </w:pPr>
            <w:r>
              <w:rPr>
                <w:rFonts w:hint="default" w:ascii="Times New Roman" w:hAnsi="Times New Roman" w:eastAsia="宋体" w:cs="Times New Roman"/>
                <w:i w:val="0"/>
                <w:iCs w:val="0"/>
                <w:color w:val="000000"/>
                <w:kern w:val="0"/>
                <w:sz w:val="24"/>
                <w:szCs w:val="24"/>
                <w:u w:val="none"/>
                <w:lang w:val="en-US" w:eastAsia="zh-CN" w:bidi="ar"/>
              </w:rPr>
              <w:t>8</w:t>
            </w:r>
            <w:r>
              <w:rPr>
                <w:rFonts w:hint="eastAsia" w:ascii="Times New Roman" w:hAnsi="Times New Roman" w:eastAsia="宋体" w:cs="Times New Roman"/>
                <w:i w:val="0"/>
                <w:iCs w:val="0"/>
                <w:color w:val="000000"/>
                <w:kern w:val="0"/>
                <w:sz w:val="24"/>
                <w:szCs w:val="24"/>
                <w:u w:val="none"/>
                <w:lang w:val="en-US" w:eastAsia="zh-CN" w:bidi="ar"/>
              </w:rPr>
              <w:t>2</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Times New Roman" w:hAnsi="Times New Roman" w:eastAsia="宋体" w:cs="Times New Roman"/>
                <w:i w:val="0"/>
                <w:iCs w:val="0"/>
                <w:color w:val="000000"/>
                <w:kern w:val="0"/>
                <w:sz w:val="24"/>
                <w:szCs w:val="24"/>
                <w:u w:val="none"/>
                <w:lang w:val="en-US" w:eastAsia="zh-CN" w:bidi="ar"/>
              </w:rPr>
              <w:t>56</w:t>
            </w:r>
            <w:r>
              <w:rPr>
                <w:rFonts w:hint="default" w:ascii="Times New Roman" w:hAnsi="Times New Roman" w:eastAsia="宋体" w:cs="Times New Roman"/>
                <w:i w:val="0"/>
                <w:iCs w:val="0"/>
                <w:color w:val="000000"/>
                <w:kern w:val="0"/>
                <w:sz w:val="24"/>
                <w:szCs w:val="24"/>
                <w:u w:val="none"/>
                <w:lang w:val="en-US" w:eastAsia="zh-CN" w:bidi="ar"/>
              </w:rPr>
              <w:t>%</w:t>
            </w:r>
          </w:p>
        </w:tc>
      </w:tr>
      <w:tr>
        <w:tblPrEx>
          <w:tblCellMar>
            <w:top w:w="0" w:type="dxa"/>
            <w:left w:w="0" w:type="dxa"/>
            <w:bottom w:w="0" w:type="dxa"/>
            <w:right w:w="0" w:type="dxa"/>
          </w:tblCellMar>
        </w:tblPrEx>
        <w:trPr>
          <w:trHeight w:val="285" w:hRule="atLeast"/>
          <w:jc w:val="center"/>
        </w:trPr>
        <w:tc>
          <w:tcPr>
            <w:tcW w:w="25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1"/>
              <w:rPr>
                <w:rFonts w:hint="default" w:ascii="Times New Roman" w:hAnsi="Times New Roman" w:cs="Times New Roman"/>
                <w:color w:val="auto"/>
                <w:highlight w:val="none"/>
              </w:rPr>
            </w:pPr>
            <w:r>
              <w:rPr>
                <w:rFonts w:hint="default" w:ascii="Times New Roman" w:hAnsi="Times New Roman" w:cs="Times New Roman"/>
                <w:color w:val="auto"/>
                <w:highlight w:val="none"/>
              </w:rPr>
              <w:t>项目产出</w:t>
            </w:r>
          </w:p>
        </w:tc>
        <w:tc>
          <w:tcPr>
            <w:tcW w:w="21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1"/>
              <w:rPr>
                <w:rFonts w:hint="default" w:ascii="Times New Roman" w:hAnsi="Times New Roman" w:eastAsia="仿宋_GB2312" w:cs="Times New Roman"/>
                <w:color w:val="auto"/>
                <w:highlight w:val="none"/>
                <w:lang w:val="en-US" w:eastAsia="zh-CN"/>
              </w:rPr>
            </w:pPr>
            <w:r>
              <w:rPr>
                <w:rFonts w:hint="eastAsia" w:ascii="Times New Roman" w:hAnsi="Times New Roman" w:cs="Times New Roman"/>
                <w:color w:val="auto"/>
                <w:highlight w:val="none"/>
                <w:lang w:val="en-US" w:eastAsia="zh-CN"/>
              </w:rPr>
              <w:t>28</w:t>
            </w:r>
          </w:p>
        </w:tc>
        <w:tc>
          <w:tcPr>
            <w:tcW w:w="21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1"/>
              <w:rPr>
                <w:rFonts w:hint="default" w:ascii="Times New Roman" w:hAnsi="Times New Roman" w:eastAsia="仿宋_GB2312" w:cs="Times New Roman"/>
                <w:color w:val="auto"/>
                <w:highlight w:val="none"/>
                <w:lang w:val="en-US" w:eastAsia="zh-CN"/>
              </w:rPr>
            </w:pPr>
            <w:r>
              <w:rPr>
                <w:rFonts w:hint="eastAsia" w:ascii="Times New Roman" w:hAnsi="Times New Roman" w:cs="Times New Roman"/>
                <w:color w:val="auto"/>
                <w:highlight w:val="none"/>
                <w:lang w:val="en-US" w:eastAsia="zh-CN"/>
              </w:rPr>
              <w:t>28</w:t>
            </w:r>
          </w:p>
        </w:tc>
        <w:tc>
          <w:tcPr>
            <w:tcW w:w="19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cs="Times New Roman"/>
                <w:color w:val="auto"/>
                <w:highlight w:val="none"/>
              </w:rPr>
            </w:pPr>
            <w:r>
              <w:rPr>
                <w:rFonts w:hint="default" w:ascii="Times New Roman" w:hAnsi="Times New Roman" w:eastAsia="宋体" w:cs="Times New Roman"/>
                <w:i w:val="0"/>
                <w:iCs w:val="0"/>
                <w:color w:val="000000"/>
                <w:kern w:val="0"/>
                <w:sz w:val="24"/>
                <w:szCs w:val="24"/>
                <w:u w:val="none"/>
                <w:lang w:val="en-US" w:eastAsia="zh-CN" w:bidi="ar"/>
              </w:rPr>
              <w:t>100%</w:t>
            </w:r>
          </w:p>
        </w:tc>
      </w:tr>
      <w:tr>
        <w:tblPrEx>
          <w:tblCellMar>
            <w:top w:w="0" w:type="dxa"/>
            <w:left w:w="0" w:type="dxa"/>
            <w:bottom w:w="0" w:type="dxa"/>
            <w:right w:w="0" w:type="dxa"/>
          </w:tblCellMar>
        </w:tblPrEx>
        <w:trPr>
          <w:trHeight w:val="285" w:hRule="atLeast"/>
          <w:jc w:val="center"/>
        </w:trPr>
        <w:tc>
          <w:tcPr>
            <w:tcW w:w="25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1"/>
              <w:rPr>
                <w:rFonts w:hint="default" w:ascii="Times New Roman" w:hAnsi="Times New Roman" w:cs="Times New Roman"/>
                <w:color w:val="auto"/>
                <w:highlight w:val="none"/>
              </w:rPr>
            </w:pPr>
            <w:r>
              <w:rPr>
                <w:rFonts w:hint="default" w:ascii="Times New Roman" w:hAnsi="Times New Roman" w:cs="Times New Roman"/>
                <w:color w:val="auto"/>
                <w:highlight w:val="none"/>
              </w:rPr>
              <w:t>项目效益</w:t>
            </w:r>
          </w:p>
        </w:tc>
        <w:tc>
          <w:tcPr>
            <w:tcW w:w="21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1"/>
              <w:rPr>
                <w:rFonts w:hint="default" w:ascii="Times New Roman" w:hAnsi="Times New Roman" w:eastAsia="仿宋_GB2312" w:cs="Times New Roman"/>
                <w:color w:val="auto"/>
                <w:highlight w:val="none"/>
                <w:lang w:val="en-US" w:eastAsia="zh-CN"/>
              </w:rPr>
            </w:pPr>
            <w:r>
              <w:rPr>
                <w:rFonts w:hint="eastAsia" w:ascii="Times New Roman" w:hAnsi="Times New Roman" w:cs="Times New Roman"/>
                <w:color w:val="auto"/>
                <w:highlight w:val="none"/>
                <w:lang w:val="en-US" w:eastAsia="zh-CN"/>
              </w:rPr>
              <w:t>40</w:t>
            </w:r>
          </w:p>
        </w:tc>
        <w:tc>
          <w:tcPr>
            <w:tcW w:w="21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1"/>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38.67</w:t>
            </w:r>
          </w:p>
        </w:tc>
        <w:tc>
          <w:tcPr>
            <w:tcW w:w="19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1"/>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96.68%</w:t>
            </w:r>
          </w:p>
        </w:tc>
      </w:tr>
      <w:tr>
        <w:tblPrEx>
          <w:tblCellMar>
            <w:top w:w="0" w:type="dxa"/>
            <w:left w:w="0" w:type="dxa"/>
            <w:bottom w:w="0" w:type="dxa"/>
            <w:right w:w="0" w:type="dxa"/>
          </w:tblCellMar>
        </w:tblPrEx>
        <w:trPr>
          <w:trHeight w:val="285" w:hRule="atLeast"/>
          <w:jc w:val="center"/>
        </w:trPr>
        <w:tc>
          <w:tcPr>
            <w:tcW w:w="25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1"/>
              <w:rPr>
                <w:rFonts w:hint="default" w:ascii="Times New Roman" w:hAnsi="Times New Roman" w:cs="Times New Roman"/>
                <w:color w:val="auto"/>
                <w:highlight w:val="none"/>
              </w:rPr>
            </w:pPr>
            <w:r>
              <w:rPr>
                <w:rFonts w:hint="default" w:ascii="Times New Roman" w:hAnsi="Times New Roman" w:cs="Times New Roman"/>
                <w:color w:val="auto"/>
                <w:highlight w:val="none"/>
              </w:rPr>
              <w:t>合计</w:t>
            </w:r>
          </w:p>
        </w:tc>
        <w:tc>
          <w:tcPr>
            <w:tcW w:w="21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1"/>
              <w:rPr>
                <w:rFonts w:hint="default" w:ascii="Times New Roman" w:hAnsi="Times New Roman" w:cs="Times New Roman"/>
                <w:color w:val="auto"/>
                <w:highlight w:val="none"/>
              </w:rPr>
            </w:pPr>
            <w:r>
              <w:rPr>
                <w:rFonts w:hint="default" w:ascii="Times New Roman" w:hAnsi="Times New Roman" w:cs="Times New Roman"/>
                <w:color w:val="auto"/>
                <w:highlight w:val="none"/>
              </w:rPr>
              <w:t>100</w:t>
            </w:r>
          </w:p>
        </w:tc>
        <w:tc>
          <w:tcPr>
            <w:tcW w:w="21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1"/>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8</w:t>
            </w:r>
            <w:r>
              <w:rPr>
                <w:rFonts w:hint="eastAsia" w:ascii="Times New Roman" w:hAnsi="Times New Roman" w:cs="Times New Roman"/>
                <w:color w:val="auto"/>
                <w:highlight w:val="none"/>
                <w:lang w:val="en-US" w:eastAsia="zh-CN"/>
              </w:rPr>
              <w:t>5</w:t>
            </w:r>
            <w:r>
              <w:rPr>
                <w:rFonts w:hint="default" w:ascii="Times New Roman" w:hAnsi="Times New Roman" w:cs="Times New Roman"/>
                <w:color w:val="auto"/>
                <w:highlight w:val="none"/>
                <w:lang w:val="en-US" w:eastAsia="zh-CN"/>
              </w:rPr>
              <w:t>.5</w:t>
            </w:r>
            <w:r>
              <w:rPr>
                <w:rFonts w:hint="eastAsia" w:ascii="Times New Roman" w:hAnsi="Times New Roman" w:cs="Times New Roman"/>
                <w:color w:val="auto"/>
                <w:highlight w:val="none"/>
                <w:lang w:val="en-US" w:eastAsia="zh-CN"/>
              </w:rPr>
              <w:t>3</w:t>
            </w:r>
          </w:p>
        </w:tc>
        <w:tc>
          <w:tcPr>
            <w:tcW w:w="19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1"/>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86.58%</w:t>
            </w:r>
          </w:p>
        </w:tc>
      </w:tr>
    </w:tbl>
    <w:p>
      <w:pPr>
        <w:pStyle w:val="3"/>
        <w:spacing w:before="312" w:beforeLines="100" w:beforeAutospacing="0" w:afterAutospacing="0" w:line="580" w:lineRule="exact"/>
        <w:ind w:firstLine="643"/>
        <w:jc w:val="both"/>
        <w:rPr>
          <w:rFonts w:hint="default" w:ascii="Times New Roman" w:hAnsi="Times New Roman" w:eastAsia="楷体_GB2312" w:cs="Times New Roman"/>
          <w:color w:val="auto"/>
          <w:sz w:val="32"/>
          <w:szCs w:val="32"/>
          <w:highlight w:val="none"/>
        </w:rPr>
      </w:pPr>
      <w:bookmarkStart w:id="18" w:name="_Toc9508"/>
      <w:r>
        <w:rPr>
          <w:rFonts w:hint="default" w:ascii="Times New Roman" w:hAnsi="Times New Roman" w:eastAsia="楷体_GB2312" w:cs="Times New Roman"/>
          <w:color w:val="auto"/>
          <w:sz w:val="32"/>
          <w:szCs w:val="32"/>
          <w:highlight w:val="none"/>
        </w:rPr>
        <w:t>（二）评价结论</w:t>
      </w:r>
      <w:bookmarkEnd w:id="18"/>
    </w:p>
    <w:p>
      <w:pPr>
        <w:pStyle w:val="6"/>
        <w:spacing w:after="0" w:line="580" w:lineRule="exact"/>
        <w:ind w:firstLine="640"/>
        <w:rPr>
          <w:rFonts w:hint="default" w:ascii="Times New Roman" w:hAnsi="Times New Roman" w:cs="Times New Roman"/>
          <w:color w:val="auto"/>
          <w:highlight w:val="none"/>
        </w:rPr>
      </w:pPr>
      <w:r>
        <w:rPr>
          <w:rFonts w:hint="default" w:ascii="Times New Roman" w:hAnsi="Times New Roman" w:cs="Times New Roman"/>
          <w:color w:val="auto"/>
          <w:highlight w:val="none"/>
        </w:rPr>
        <w:t>从项目决策方面来看，</w:t>
      </w:r>
      <w:r>
        <w:rPr>
          <w:rFonts w:hint="eastAsia" w:ascii="Times New Roman" w:hAnsi="Times New Roman" w:cs="Times New Roman"/>
          <w:color w:val="auto"/>
          <w:highlight w:val="none"/>
          <w:lang w:eastAsia="zh-CN"/>
        </w:rPr>
        <w:t>“2022年山洪灾害防治非工程措施设施维修养护”</w:t>
      </w:r>
      <w:r>
        <w:rPr>
          <w:rFonts w:hint="default" w:ascii="Times New Roman" w:hAnsi="Times New Roman" w:cs="Times New Roman"/>
          <w:color w:val="auto"/>
          <w:highlight w:val="none"/>
        </w:rPr>
        <w:t>项目</w:t>
      </w:r>
      <w:r>
        <w:rPr>
          <w:rFonts w:hint="eastAsia" w:ascii="Times New Roman" w:hAnsi="Times New Roman" w:cs="Times New Roman"/>
          <w:color w:val="auto"/>
          <w:highlight w:val="none"/>
          <w:lang w:val="en-US" w:eastAsia="zh-CN"/>
        </w:rPr>
        <w:t>无相关</w:t>
      </w:r>
      <w:r>
        <w:rPr>
          <w:rFonts w:hint="default" w:ascii="Times New Roman" w:hAnsi="Times New Roman" w:cs="Times New Roman"/>
          <w:color w:val="auto"/>
          <w:highlight w:val="none"/>
        </w:rPr>
        <w:t>立项</w:t>
      </w:r>
      <w:r>
        <w:rPr>
          <w:rFonts w:hint="eastAsia" w:ascii="Times New Roman" w:hAnsi="Times New Roman" w:cs="Times New Roman"/>
          <w:color w:val="auto"/>
          <w:highlight w:val="none"/>
          <w:lang w:val="en-US" w:eastAsia="zh-CN"/>
        </w:rPr>
        <w:t>资料</w:t>
      </w:r>
      <w:r>
        <w:rPr>
          <w:rFonts w:hint="default" w:ascii="Times New Roman" w:hAnsi="Times New Roman" w:cs="Times New Roman"/>
          <w:color w:val="auto"/>
          <w:highlight w:val="none"/>
        </w:rPr>
        <w:t>。</w:t>
      </w:r>
    </w:p>
    <w:p>
      <w:pPr>
        <w:pStyle w:val="6"/>
        <w:spacing w:after="0" w:line="580" w:lineRule="exact"/>
        <w:ind w:firstLine="640"/>
        <w:rPr>
          <w:rFonts w:hint="default" w:ascii="Times New Roman" w:hAnsi="Times New Roman" w:cs="Times New Roman"/>
          <w:color w:val="auto"/>
          <w:highlight w:val="none"/>
        </w:rPr>
      </w:pPr>
      <w:r>
        <w:rPr>
          <w:rFonts w:hint="default" w:ascii="Times New Roman" w:hAnsi="Times New Roman" w:cs="Times New Roman"/>
          <w:color w:val="auto"/>
          <w:highlight w:val="none"/>
        </w:rPr>
        <w:t>从资金投入管理方面来看，</w:t>
      </w:r>
      <w:r>
        <w:rPr>
          <w:rFonts w:hint="eastAsia" w:ascii="Times New Roman" w:hAnsi="Times New Roman" w:cs="Times New Roman"/>
          <w:color w:val="auto"/>
          <w:highlight w:val="none"/>
          <w:lang w:eastAsia="zh-CN"/>
        </w:rPr>
        <w:t>“2022年山洪灾害防治非工程措施设施维修养护”</w:t>
      </w:r>
      <w:r>
        <w:rPr>
          <w:rFonts w:hint="default" w:ascii="Times New Roman" w:hAnsi="Times New Roman" w:cs="Times New Roman"/>
          <w:color w:val="auto"/>
          <w:highlight w:val="none"/>
        </w:rPr>
        <w:t>项目资金分配合理，资金使用合规，不存在截留、挤占、挪用、虚列支出等情况。但</w:t>
      </w:r>
      <w:r>
        <w:rPr>
          <w:rFonts w:hint="eastAsia" w:ascii="Times New Roman" w:hAnsi="Times New Roman" w:cs="Times New Roman"/>
          <w:color w:val="auto"/>
          <w:highlight w:val="none"/>
          <w:lang w:val="en-US" w:eastAsia="zh-CN"/>
        </w:rPr>
        <w:t>缺少</w:t>
      </w:r>
      <w:r>
        <w:rPr>
          <w:rFonts w:hint="default" w:ascii="Times New Roman" w:hAnsi="Times New Roman" w:cs="Times New Roman"/>
          <w:color w:val="auto"/>
          <w:highlight w:val="none"/>
        </w:rPr>
        <w:t>预算</w:t>
      </w:r>
      <w:r>
        <w:rPr>
          <w:rFonts w:hint="eastAsia" w:ascii="Times New Roman" w:hAnsi="Times New Roman" w:cs="Times New Roman"/>
          <w:color w:val="auto"/>
          <w:highlight w:val="none"/>
          <w:lang w:val="en-US" w:eastAsia="zh-CN"/>
        </w:rPr>
        <w:t>资料</w:t>
      </w:r>
      <w:r>
        <w:rPr>
          <w:rFonts w:hint="default" w:ascii="Times New Roman" w:hAnsi="Times New Roman" w:cs="Times New Roman"/>
          <w:color w:val="auto"/>
          <w:highlight w:val="none"/>
        </w:rPr>
        <w:t>问题。</w:t>
      </w:r>
    </w:p>
    <w:p>
      <w:pPr>
        <w:pStyle w:val="6"/>
        <w:spacing w:after="0" w:line="580" w:lineRule="exact"/>
        <w:ind w:firstLine="640"/>
        <w:rPr>
          <w:rFonts w:hint="default" w:ascii="Times New Roman" w:hAnsi="Times New Roman" w:cs="Times New Roman"/>
          <w:color w:val="auto"/>
          <w:highlight w:val="none"/>
        </w:rPr>
      </w:pPr>
      <w:r>
        <w:rPr>
          <w:rFonts w:hint="default" w:ascii="Times New Roman" w:hAnsi="Times New Roman" w:cs="Times New Roman"/>
          <w:color w:val="auto"/>
          <w:highlight w:val="none"/>
        </w:rPr>
        <w:t>从项目管理方面来看，项目相关财务、业务管理制度建立健全，对承接服务商开展</w:t>
      </w:r>
      <w:r>
        <w:rPr>
          <w:rFonts w:hint="eastAsia" w:ascii="Times New Roman" w:hAnsi="Times New Roman" w:cs="Times New Roman"/>
          <w:color w:val="auto"/>
          <w:highlight w:val="none"/>
          <w:lang w:eastAsia="zh-CN"/>
        </w:rPr>
        <w:t>2022年山洪灾害防治非工程措施设施维修养护</w:t>
      </w:r>
      <w:r>
        <w:rPr>
          <w:rFonts w:hint="default" w:ascii="Times New Roman" w:hAnsi="Times New Roman" w:cs="Times New Roman"/>
          <w:color w:val="auto"/>
          <w:highlight w:val="none"/>
        </w:rPr>
        <w:t>情况进行监管</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或采取电话访问、走访、暗访及社会监督等形式，收集</w:t>
      </w:r>
      <w:r>
        <w:rPr>
          <w:rFonts w:hint="eastAsia" w:ascii="Times New Roman" w:hAnsi="Times New Roman" w:cs="Times New Roman"/>
          <w:color w:val="auto"/>
          <w:highlight w:val="none"/>
          <w:lang w:val="en-US" w:eastAsia="zh-CN"/>
        </w:rPr>
        <w:t>群众</w:t>
      </w:r>
      <w:r>
        <w:rPr>
          <w:rFonts w:hint="default" w:ascii="Times New Roman" w:hAnsi="Times New Roman" w:cs="Times New Roman"/>
          <w:color w:val="auto"/>
          <w:highlight w:val="none"/>
        </w:rPr>
        <w:t>的反馈意见，及时发现问题并督促整改。</w:t>
      </w:r>
    </w:p>
    <w:p>
      <w:pPr>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highlight w:val="none"/>
        </w:rPr>
        <w:t>从产出和效果方面来看，项目完成及时。</w:t>
      </w:r>
      <w:r>
        <w:rPr>
          <w:rFonts w:hint="eastAsia" w:ascii="Times New Roman" w:hAnsi="Times New Roman" w:cs="Times New Roman"/>
          <w:color w:val="auto"/>
          <w:highlight w:val="none"/>
          <w:lang w:eastAsia="zh-CN"/>
        </w:rPr>
        <w:t>2022年山洪灾害防治非工程措施设施维修养护</w:t>
      </w:r>
      <w:r>
        <w:rPr>
          <w:rFonts w:hint="eastAsia" w:ascii="Times New Roman" w:hAnsi="Times New Roman" w:cs="Times New Roman"/>
          <w:color w:val="auto"/>
          <w:highlight w:val="none"/>
          <w:lang w:val="en-US" w:eastAsia="zh-CN"/>
        </w:rPr>
        <w:t>项目已全部按照</w:t>
      </w:r>
      <w:r>
        <w:rPr>
          <w:rFonts w:hint="default" w:ascii="Times New Roman" w:hAnsi="Times New Roman" w:cs="Times New Roman"/>
          <w:color w:val="auto"/>
          <w:highlight w:val="none"/>
        </w:rPr>
        <w:t>要求</w:t>
      </w:r>
      <w:r>
        <w:rPr>
          <w:rFonts w:hint="eastAsia" w:ascii="Times New Roman" w:hAnsi="Times New Roman" w:cs="Times New Roman"/>
          <w:color w:val="auto"/>
          <w:highlight w:val="none"/>
          <w:lang w:val="en-US" w:eastAsia="zh-CN"/>
        </w:rPr>
        <w:t>完成</w:t>
      </w:r>
      <w:r>
        <w:rPr>
          <w:rFonts w:hint="default" w:ascii="Times New Roman" w:hAnsi="Times New Roman" w:cs="Times New Roman"/>
          <w:color w:val="auto"/>
          <w:highlight w:val="none"/>
        </w:rPr>
        <w:t>采购</w:t>
      </w:r>
      <w:r>
        <w:rPr>
          <w:rFonts w:hint="eastAsia" w:ascii="Times New Roman" w:hAnsi="Times New Roman" w:cs="Times New Roman"/>
          <w:color w:val="auto"/>
          <w:highlight w:val="none"/>
          <w:lang w:val="en-US" w:eastAsia="zh-CN"/>
        </w:rPr>
        <w:t>设备的安装调试及</w:t>
      </w:r>
      <w:r>
        <w:rPr>
          <w:rFonts w:hint="default" w:ascii="Times New Roman" w:hAnsi="Times New Roman" w:cs="Times New Roman"/>
          <w:color w:val="auto"/>
          <w:highlight w:val="none"/>
        </w:rPr>
        <w:t>维护维修</w:t>
      </w:r>
      <w:r>
        <w:rPr>
          <w:rFonts w:hint="eastAsia" w:ascii="Times New Roman" w:hAnsi="Times New Roman" w:cs="Times New Roman"/>
          <w:color w:val="auto"/>
          <w:highlight w:val="none"/>
          <w:lang w:val="en-US" w:eastAsia="zh-CN"/>
        </w:rPr>
        <w:t>，人民群众居住环境得到提高，生命财产安全得到保障</w:t>
      </w:r>
      <w:r>
        <w:rPr>
          <w:rFonts w:hint="default" w:ascii="Times New Roman" w:hAnsi="Times New Roman" w:cs="Times New Roman"/>
          <w:color w:val="auto"/>
          <w:highlight w:val="none"/>
        </w:rPr>
        <w:t>。</w:t>
      </w:r>
    </w:p>
    <w:p>
      <w:pPr>
        <w:pStyle w:val="2"/>
        <w:spacing w:before="0" w:after="0" w:line="580" w:lineRule="exact"/>
        <w:ind w:firstLine="640"/>
        <w:rPr>
          <w:rFonts w:hint="default" w:ascii="Times New Roman" w:hAnsi="Times New Roman" w:eastAsia="黑体" w:cs="Times New Roman"/>
          <w:b w:val="0"/>
          <w:bCs/>
          <w:color w:val="auto"/>
          <w:sz w:val="32"/>
          <w:szCs w:val="20"/>
          <w:highlight w:val="none"/>
        </w:rPr>
      </w:pPr>
      <w:bookmarkStart w:id="19" w:name="_Toc350"/>
      <w:r>
        <w:rPr>
          <w:rFonts w:hint="default" w:ascii="Times New Roman" w:hAnsi="Times New Roman" w:eastAsia="黑体" w:cs="Times New Roman"/>
          <w:b w:val="0"/>
          <w:bCs/>
          <w:color w:val="auto"/>
          <w:sz w:val="32"/>
          <w:szCs w:val="20"/>
          <w:highlight w:val="none"/>
        </w:rPr>
        <w:t>四、问题及建议</w:t>
      </w:r>
      <w:bookmarkEnd w:id="19"/>
    </w:p>
    <w:p>
      <w:pPr>
        <w:spacing w:line="580" w:lineRule="exact"/>
        <w:ind w:firstLine="643"/>
        <w:rPr>
          <w:rFonts w:hint="default" w:ascii="Times New Roman" w:hAnsi="Times New Roman" w:eastAsia="楷体_GB2312" w:cs="Times New Roman"/>
          <w:b/>
          <w:bCs/>
          <w:color w:val="auto"/>
          <w:szCs w:val="32"/>
          <w:highlight w:val="none"/>
        </w:rPr>
      </w:pPr>
      <w:bookmarkStart w:id="20" w:name="_Toc30141"/>
      <w:r>
        <w:rPr>
          <w:rFonts w:hint="default" w:ascii="Times New Roman" w:hAnsi="Times New Roman" w:eastAsia="楷体_GB2312" w:cs="Times New Roman"/>
          <w:b/>
          <w:bCs/>
          <w:color w:val="auto"/>
          <w:szCs w:val="32"/>
          <w:highlight w:val="none"/>
        </w:rPr>
        <w:t>（一）</w:t>
      </w:r>
      <w:r>
        <w:rPr>
          <w:rFonts w:hint="eastAsia" w:ascii="Times New Roman" w:hAnsi="Times New Roman" w:eastAsia="楷体_GB2312" w:cs="Times New Roman"/>
          <w:b/>
          <w:bCs/>
          <w:color w:val="auto"/>
          <w:szCs w:val="32"/>
          <w:highlight w:val="none"/>
          <w:lang w:val="en-US" w:eastAsia="zh-CN"/>
        </w:rPr>
        <w:t>前期项目资料缺失，</w:t>
      </w:r>
      <w:r>
        <w:rPr>
          <w:rFonts w:hint="default" w:ascii="Times New Roman" w:hAnsi="Times New Roman" w:eastAsia="楷体_GB2312" w:cs="Times New Roman"/>
          <w:b/>
          <w:bCs/>
          <w:color w:val="auto"/>
          <w:szCs w:val="32"/>
          <w:highlight w:val="none"/>
        </w:rPr>
        <w:t>预算编制不科学</w:t>
      </w:r>
    </w:p>
    <w:p>
      <w:pPr>
        <w:spacing w:line="580" w:lineRule="exact"/>
        <w:ind w:firstLine="640"/>
        <w:rPr>
          <w:rFonts w:hint="default" w:ascii="Times New Roman" w:hAnsi="Times New Roman" w:cs="Times New Roman"/>
          <w:color w:val="auto"/>
          <w:highlight w:val="none"/>
        </w:rPr>
      </w:pPr>
      <w:r>
        <w:rPr>
          <w:rFonts w:hint="default" w:ascii="Times New Roman" w:hAnsi="Times New Roman" w:cs="Times New Roman"/>
          <w:color w:val="auto"/>
          <w:highlight w:val="none"/>
        </w:rPr>
        <w:t>评价小组根据被评价单位提供的相关资料发现，</w:t>
      </w:r>
      <w:r>
        <w:rPr>
          <w:rFonts w:hint="eastAsia" w:ascii="Times New Roman" w:hAnsi="Times New Roman" w:cs="Times New Roman"/>
          <w:color w:val="auto"/>
          <w:highlight w:val="none"/>
          <w:lang w:val="en-US" w:eastAsia="zh-CN"/>
        </w:rPr>
        <w:t>缺少前期项目资料；</w:t>
      </w:r>
      <w:r>
        <w:rPr>
          <w:rFonts w:hint="default" w:ascii="Times New Roman" w:hAnsi="Times New Roman" w:cs="Times New Roman"/>
          <w:color w:val="auto"/>
          <w:highlight w:val="none"/>
        </w:rPr>
        <w:t>项目实际支出与预算金额差异较大，该项目预算编制不科学。</w:t>
      </w:r>
    </w:p>
    <w:p>
      <w:pPr>
        <w:spacing w:line="580" w:lineRule="exact"/>
        <w:ind w:firstLine="640"/>
        <w:rPr>
          <w:rFonts w:hint="default" w:ascii="Times New Roman" w:hAnsi="Times New Roman" w:cs="Times New Roman"/>
          <w:color w:val="auto"/>
          <w:highlight w:val="none"/>
        </w:rPr>
      </w:pPr>
      <w:r>
        <w:rPr>
          <w:rFonts w:hint="default" w:ascii="Times New Roman" w:hAnsi="Times New Roman" w:cs="Times New Roman"/>
          <w:color w:val="auto"/>
          <w:highlight w:val="none"/>
        </w:rPr>
        <w:t>针对上述问题，建议被评价单位加强项目前期手续管理</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提高预算编制的科学性，对项目要按要求切实做好项目细化工作，项目申报要有立项依据，对数据测算要列出计算过程并具体到经济科目，对项目实施过程及预计达到效果要作充分表述。属于政府采购范围的同时要编报《政府采购计划书》，并详细列示技术参数，对于大型设备要提供参考品牌并附彩页等。</w:t>
      </w:r>
    </w:p>
    <w:bookmarkEnd w:id="20"/>
    <w:p>
      <w:pPr>
        <w:spacing w:line="580" w:lineRule="exact"/>
        <w:ind w:firstLine="643"/>
        <w:rPr>
          <w:rFonts w:hint="default" w:ascii="Times New Roman" w:hAnsi="Times New Roman" w:eastAsia="楷体_GB2312" w:cs="Times New Roman"/>
          <w:b/>
          <w:bCs/>
          <w:color w:val="auto"/>
          <w:szCs w:val="32"/>
          <w:highlight w:val="none"/>
          <w:lang w:val="en-US" w:eastAsia="zh-CN"/>
        </w:rPr>
      </w:pPr>
      <w:r>
        <w:rPr>
          <w:rFonts w:hint="eastAsia" w:ascii="Times New Roman" w:hAnsi="Times New Roman" w:eastAsia="楷体_GB2312" w:cs="Times New Roman"/>
          <w:b/>
          <w:bCs/>
          <w:color w:val="auto"/>
          <w:szCs w:val="32"/>
          <w:highlight w:val="none"/>
          <w:lang w:val="en-US" w:eastAsia="zh-CN"/>
        </w:rPr>
        <w:t>（二）</w:t>
      </w:r>
      <w:r>
        <w:rPr>
          <w:rFonts w:hint="default" w:ascii="Times New Roman" w:hAnsi="Times New Roman" w:eastAsia="楷体_GB2312" w:cs="Times New Roman"/>
          <w:b/>
          <w:bCs/>
          <w:color w:val="auto"/>
          <w:szCs w:val="32"/>
          <w:highlight w:val="none"/>
          <w:lang w:val="en-US" w:eastAsia="zh-CN"/>
        </w:rPr>
        <w:t>受益对象满意度未达到预期</w:t>
      </w:r>
    </w:p>
    <w:p>
      <w:pPr>
        <w:spacing w:before="0" w:after="0" w:line="580" w:lineRule="exact"/>
        <w:ind w:firstLine="640"/>
        <w:outlineLvl w:val="9"/>
        <w:rPr>
          <w:rFonts w:hint="default" w:ascii="Times New Roman" w:hAnsi="Times New Roman" w:eastAsia="仿宋_GB2312" w:cs="Times New Roman"/>
          <w:b w:val="0"/>
          <w:color w:val="auto"/>
          <w:kern w:val="2"/>
          <w:sz w:val="32"/>
          <w:szCs w:val="24"/>
          <w:highlight w:val="none"/>
          <w:lang w:val="en-US" w:eastAsia="zh-CN" w:bidi="ar-SA"/>
        </w:rPr>
      </w:pPr>
      <w:r>
        <w:rPr>
          <w:rFonts w:hint="default" w:ascii="Times New Roman" w:hAnsi="Times New Roman" w:eastAsia="仿宋_GB2312" w:cs="Times New Roman"/>
          <w:b w:val="0"/>
          <w:color w:val="auto"/>
          <w:kern w:val="2"/>
          <w:sz w:val="32"/>
          <w:szCs w:val="24"/>
          <w:highlight w:val="none"/>
          <w:lang w:val="en-US" w:eastAsia="zh-CN" w:bidi="ar-SA"/>
        </w:rPr>
        <w:t>年初设定的满意度为</w:t>
      </w:r>
      <w:r>
        <w:rPr>
          <w:rFonts w:hint="eastAsia" w:ascii="Times New Roman" w:hAnsi="Times New Roman" w:cs="Times New Roman"/>
          <w:b w:val="0"/>
          <w:color w:val="auto"/>
          <w:kern w:val="2"/>
          <w:sz w:val="32"/>
          <w:szCs w:val="24"/>
          <w:highlight w:val="none"/>
          <w:lang w:val="en-US" w:eastAsia="zh-CN" w:bidi="ar-SA"/>
        </w:rPr>
        <w:t>90</w:t>
      </w:r>
      <w:r>
        <w:rPr>
          <w:rFonts w:hint="default" w:ascii="Times New Roman" w:hAnsi="Times New Roman" w:eastAsia="仿宋_GB2312" w:cs="Times New Roman"/>
          <w:b w:val="0"/>
          <w:color w:val="auto"/>
          <w:kern w:val="2"/>
          <w:sz w:val="32"/>
          <w:szCs w:val="24"/>
          <w:highlight w:val="none"/>
          <w:lang w:val="en-US" w:eastAsia="zh-CN" w:bidi="ar-SA"/>
        </w:rPr>
        <w:t>%，问卷调查满意度为</w:t>
      </w:r>
      <w:r>
        <w:rPr>
          <w:rFonts w:hint="eastAsia" w:ascii="Times New Roman" w:hAnsi="Times New Roman" w:cs="Times New Roman"/>
          <w:b w:val="0"/>
          <w:color w:val="auto"/>
          <w:kern w:val="2"/>
          <w:sz w:val="32"/>
          <w:szCs w:val="24"/>
          <w:highlight w:val="none"/>
          <w:lang w:val="en-US" w:eastAsia="zh-CN" w:bidi="ar-SA"/>
        </w:rPr>
        <w:t>86.58</w:t>
      </w:r>
      <w:r>
        <w:rPr>
          <w:rFonts w:hint="default" w:ascii="Times New Roman" w:hAnsi="Times New Roman" w:eastAsia="仿宋_GB2312" w:cs="Times New Roman"/>
          <w:b w:val="0"/>
          <w:color w:val="auto"/>
          <w:kern w:val="2"/>
          <w:sz w:val="32"/>
          <w:szCs w:val="24"/>
          <w:highlight w:val="none"/>
          <w:lang w:val="en-US" w:eastAsia="zh-CN" w:bidi="ar-SA"/>
        </w:rPr>
        <w:t>%。综合来看，本次问卷受访者对各项问题的平均满意度都在</w:t>
      </w:r>
      <w:r>
        <w:rPr>
          <w:rFonts w:hint="eastAsia" w:ascii="Times New Roman" w:hAnsi="Times New Roman" w:cs="Times New Roman"/>
          <w:b w:val="0"/>
          <w:color w:val="auto"/>
          <w:kern w:val="2"/>
          <w:sz w:val="32"/>
          <w:szCs w:val="24"/>
          <w:highlight w:val="none"/>
          <w:lang w:val="en-US" w:eastAsia="zh-CN" w:bidi="ar-SA"/>
        </w:rPr>
        <w:t>86</w:t>
      </w:r>
      <w:r>
        <w:rPr>
          <w:rFonts w:hint="default" w:ascii="Times New Roman" w:hAnsi="Times New Roman" w:eastAsia="仿宋_GB2312" w:cs="Times New Roman"/>
          <w:b w:val="0"/>
          <w:color w:val="auto"/>
          <w:kern w:val="2"/>
          <w:sz w:val="32"/>
          <w:szCs w:val="24"/>
          <w:highlight w:val="none"/>
          <w:lang w:val="en-US" w:eastAsia="zh-CN" w:bidi="ar-SA"/>
        </w:rPr>
        <w:t>%以上，反映项目实施的工作质量较高，能起到提升设施设备的作用，但未达到预期设定的目标。</w:t>
      </w:r>
    </w:p>
    <w:p>
      <w:pPr>
        <w:outlineLvl w:val="9"/>
        <w:rPr>
          <w:rFonts w:hint="default"/>
          <w:lang w:val="en-US" w:eastAsia="zh-CN"/>
        </w:rPr>
      </w:pPr>
      <w:r>
        <w:rPr>
          <w:rFonts w:hint="eastAsia"/>
          <w:lang w:val="en-US" w:eastAsia="zh-CN"/>
        </w:rPr>
        <w:t>建议：增强抗御山洪灾害的能力，有力保障人民群众生命财产安全，避免山洪灾害对生态环境的破坏</w:t>
      </w:r>
      <w:r>
        <w:rPr>
          <w:rFonts w:hint="default"/>
          <w:lang w:val="en-US" w:eastAsia="zh-CN"/>
        </w:rPr>
        <w:t>，进一步提高</w:t>
      </w:r>
      <w:r>
        <w:rPr>
          <w:rFonts w:hint="eastAsia"/>
          <w:lang w:val="en-US" w:eastAsia="zh-CN"/>
        </w:rPr>
        <w:t>群众</w:t>
      </w:r>
      <w:r>
        <w:rPr>
          <w:rFonts w:hint="default"/>
          <w:lang w:val="en-US" w:eastAsia="zh-CN"/>
        </w:rPr>
        <w:t>的满意度。</w:t>
      </w:r>
    </w:p>
    <w:p>
      <w:pPr>
        <w:pStyle w:val="2"/>
        <w:spacing w:before="0" w:after="0" w:line="580" w:lineRule="exact"/>
        <w:ind w:firstLine="640"/>
        <w:rPr>
          <w:rFonts w:hint="default" w:ascii="Times New Roman" w:hAnsi="Times New Roman" w:eastAsia="黑体" w:cs="Times New Roman"/>
          <w:b w:val="0"/>
          <w:bCs/>
          <w:color w:val="auto"/>
          <w:sz w:val="32"/>
          <w:szCs w:val="20"/>
          <w:highlight w:val="none"/>
        </w:rPr>
      </w:pPr>
      <w:bookmarkStart w:id="21" w:name="_Toc4626"/>
      <w:r>
        <w:rPr>
          <w:rFonts w:hint="default" w:ascii="Times New Roman" w:hAnsi="Times New Roman" w:eastAsia="黑体" w:cs="Times New Roman"/>
          <w:b w:val="0"/>
          <w:bCs/>
          <w:color w:val="auto"/>
          <w:sz w:val="32"/>
          <w:szCs w:val="20"/>
          <w:highlight w:val="none"/>
        </w:rPr>
        <w:t>五、其他需要说明的问题</w:t>
      </w:r>
      <w:bookmarkEnd w:id="21"/>
    </w:p>
    <w:p>
      <w:pPr>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我司作为专业的第三方预算绩效管理服务机构，严格遵守《中华人民共和国预算法》《中华人民共和国预算法实施条例》《中共中央 国务院关于全面实施预算绩效管理的意见》《关于委托第三方机构参与预算绩效管理的指导意见》等预算绩效管理法律法规和第三方评价（估）行业准则，始终秉承独立、客观、公正的立场开展评价（估）工作，实施了必要的评价（估）程序，获取了充分和恰当的证据，并对评价（估）发现的问题进行了充分披露，对评价（估）结果提供合理保证。根据上述法律法规及相关行业准则，被评价（估）部门（单位）对评价（估）过程中提交的材料和有关信息的真实性、完整性承担责任。</w:t>
      </w:r>
    </w:p>
    <w:p>
      <w:pPr>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br w:type="page"/>
      </w:r>
    </w:p>
    <w:p>
      <w:pPr>
        <w:pStyle w:val="2"/>
        <w:spacing w:before="0" w:after="0" w:line="580" w:lineRule="exact"/>
        <w:ind w:firstLine="0" w:firstLineChars="0"/>
        <w:rPr>
          <w:rFonts w:hint="default" w:ascii="Times New Roman" w:hAnsi="Times New Roman" w:cs="Times New Roman"/>
          <w:color w:val="auto"/>
          <w:szCs w:val="32"/>
          <w:highlight w:val="none"/>
        </w:rPr>
        <w:sectPr>
          <w:footerReference r:id="rId12" w:type="default"/>
          <w:pgSz w:w="11906" w:h="16838"/>
          <w:pgMar w:top="2098" w:right="1474" w:bottom="1928" w:left="1587" w:header="851" w:footer="992" w:gutter="0"/>
          <w:cols w:space="425" w:num="1"/>
          <w:docGrid w:type="lines" w:linePitch="312" w:charSpace="0"/>
        </w:sectPr>
      </w:pPr>
    </w:p>
    <w:p>
      <w:pPr>
        <w:pStyle w:val="2"/>
        <w:spacing w:before="0" w:after="0" w:line="580" w:lineRule="exact"/>
        <w:ind w:firstLine="0" w:firstLineChars="0"/>
        <w:rPr>
          <w:rFonts w:hint="default" w:ascii="Times New Roman" w:hAnsi="Times New Roman" w:eastAsia="黑体" w:cs="Times New Roman"/>
          <w:b w:val="0"/>
          <w:bCs/>
          <w:color w:val="auto"/>
          <w:sz w:val="32"/>
          <w:szCs w:val="20"/>
          <w:highlight w:val="none"/>
        </w:rPr>
      </w:pPr>
      <w:bookmarkStart w:id="22" w:name="_Toc13309"/>
      <w:r>
        <w:rPr>
          <w:rFonts w:hint="default" w:ascii="Times New Roman" w:hAnsi="Times New Roman" w:eastAsia="黑体" w:cs="Times New Roman"/>
          <w:b w:val="0"/>
          <w:bCs/>
          <w:color w:val="auto"/>
          <w:sz w:val="32"/>
          <w:szCs w:val="20"/>
          <w:highlight w:val="none"/>
          <w:lang w:eastAsia="zh-Hans"/>
        </w:rPr>
        <w:t>附件</w:t>
      </w:r>
      <w:r>
        <w:rPr>
          <w:rFonts w:hint="eastAsia" w:ascii="Times New Roman" w:hAnsi="Times New Roman" w:eastAsia="黑体" w:cs="Times New Roman"/>
          <w:b w:val="0"/>
          <w:bCs/>
          <w:color w:val="auto"/>
          <w:sz w:val="32"/>
          <w:szCs w:val="20"/>
          <w:highlight w:val="none"/>
          <w:lang w:val="en-US" w:eastAsia="zh-CN"/>
        </w:rPr>
        <w:t xml:space="preserve"> </w:t>
      </w:r>
      <w:r>
        <w:rPr>
          <w:rFonts w:hint="default" w:ascii="Times New Roman" w:hAnsi="Times New Roman" w:eastAsia="黑体" w:cs="Times New Roman"/>
          <w:b w:val="0"/>
          <w:bCs/>
          <w:color w:val="auto"/>
          <w:sz w:val="32"/>
          <w:szCs w:val="20"/>
          <w:highlight w:val="none"/>
        </w:rPr>
        <w:t>项目支出绩效评价指标体系</w:t>
      </w:r>
      <w:bookmarkEnd w:id="22"/>
    </w:p>
    <w:p>
      <w:pPr>
        <w:spacing w:before="0" w:after="0" w:line="580" w:lineRule="exact"/>
        <w:ind w:firstLine="0" w:firstLineChars="0"/>
        <w:outlineLvl w:val="9"/>
        <w:rPr>
          <w:rFonts w:hint="default" w:ascii="Times New Roman" w:hAnsi="Times New Roman" w:cs="Times New Roman"/>
          <w:color w:val="auto"/>
          <w:szCs w:val="32"/>
          <w:highlight w:val="none"/>
        </w:rPr>
      </w:pPr>
    </w:p>
    <w:tbl>
      <w:tblPr>
        <w:tblStyle w:val="14"/>
        <w:tblW w:w="5665" w:type="pct"/>
        <w:tblInd w:w="-68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07"/>
        <w:gridCol w:w="904"/>
        <w:gridCol w:w="3272"/>
        <w:gridCol w:w="702"/>
        <w:gridCol w:w="814"/>
        <w:gridCol w:w="2995"/>
        <w:gridCol w:w="51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blHeader/>
        </w:trPr>
        <w:tc>
          <w:tcPr>
            <w:tcW w:w="90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4"/>
                <w:szCs w:val="24"/>
                <w:u w:val="none"/>
                <w:lang w:val="en-US" w:eastAsia="zh-CN" w:bidi="ar"/>
              </w:rPr>
              <w:t>一级指标</w:t>
            </w:r>
          </w:p>
        </w:tc>
        <w:tc>
          <w:tcPr>
            <w:tcW w:w="90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4"/>
                <w:szCs w:val="24"/>
                <w:u w:val="none"/>
                <w:lang w:val="en-US" w:eastAsia="zh-CN" w:bidi="ar"/>
              </w:rPr>
              <w:t>二级指标</w:t>
            </w:r>
          </w:p>
        </w:tc>
        <w:tc>
          <w:tcPr>
            <w:tcW w:w="327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4"/>
                <w:szCs w:val="24"/>
                <w:u w:val="none"/>
                <w:lang w:val="en-US" w:eastAsia="zh-CN" w:bidi="ar"/>
              </w:rPr>
              <w:t>三级指标</w:t>
            </w:r>
          </w:p>
        </w:tc>
        <w:tc>
          <w:tcPr>
            <w:tcW w:w="151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4"/>
                <w:szCs w:val="24"/>
                <w:u w:val="none"/>
                <w:lang w:val="en-US" w:eastAsia="zh-CN" w:bidi="ar"/>
              </w:rPr>
              <w:t>得分情况</w:t>
            </w:r>
          </w:p>
        </w:tc>
        <w:tc>
          <w:tcPr>
            <w:tcW w:w="29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4"/>
                <w:szCs w:val="24"/>
                <w:u w:val="none"/>
                <w:lang w:val="en-US" w:eastAsia="zh-CN" w:bidi="ar"/>
              </w:rPr>
              <w:t>指标解释</w:t>
            </w:r>
          </w:p>
        </w:tc>
        <w:tc>
          <w:tcPr>
            <w:tcW w:w="516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4"/>
                <w:szCs w:val="24"/>
                <w:u w:val="none"/>
                <w:lang w:val="en-US" w:eastAsia="zh-CN" w:bidi="ar"/>
              </w:rPr>
              <w:t>评价要点与评分规则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tblHeader/>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b/>
                <w:bCs/>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b/>
                <w:bCs/>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b/>
                <w:bCs/>
                <w:i w:val="0"/>
                <w:iCs w:val="0"/>
                <w:color w:val="000000"/>
                <w:sz w:val="24"/>
                <w:szCs w:val="24"/>
                <w:u w:val="none"/>
              </w:rPr>
            </w:pPr>
          </w:p>
        </w:tc>
        <w:tc>
          <w:tcPr>
            <w:tcW w:w="70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4"/>
                <w:szCs w:val="24"/>
                <w:u w:val="none"/>
                <w:lang w:val="en-US" w:eastAsia="zh-CN" w:bidi="ar"/>
              </w:rPr>
              <w:t>分值</w:t>
            </w:r>
          </w:p>
        </w:tc>
        <w:tc>
          <w:tcPr>
            <w:tcW w:w="81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4"/>
                <w:szCs w:val="24"/>
                <w:u w:val="none"/>
                <w:lang w:val="en-US" w:eastAsia="zh-CN" w:bidi="ar"/>
              </w:rPr>
              <w:t>得分</w:t>
            </w: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b/>
                <w:bCs/>
                <w:i w:val="0"/>
                <w:iCs w:val="0"/>
                <w:color w:val="000000"/>
                <w:sz w:val="24"/>
                <w:szCs w:val="24"/>
                <w:u w:val="none"/>
              </w:rPr>
            </w:pPr>
          </w:p>
        </w:tc>
        <w:tc>
          <w:tcPr>
            <w:tcW w:w="516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决策</w:t>
            </w:r>
          </w:p>
        </w:tc>
        <w:tc>
          <w:tcPr>
            <w:tcW w:w="90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A1立项依据</w:t>
            </w:r>
          </w:p>
        </w:tc>
        <w:tc>
          <w:tcPr>
            <w:tcW w:w="327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A11立项依据充分性</w:t>
            </w:r>
          </w:p>
        </w:tc>
        <w:tc>
          <w:tcPr>
            <w:tcW w:w="70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w:t>
            </w:r>
          </w:p>
        </w:tc>
        <w:tc>
          <w:tcPr>
            <w:tcW w:w="81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0</w:t>
            </w:r>
          </w:p>
        </w:tc>
        <w:tc>
          <w:tcPr>
            <w:tcW w:w="29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项目立项是否符合法律法规、相关政策、发展规划以及部门职责，用以反映和考核项目立项依据情况。</w:t>
            </w:r>
          </w:p>
        </w:tc>
        <w:tc>
          <w:tcPr>
            <w:tcW w:w="5168" w:type="dxa"/>
            <w:tcBorders>
              <w:top w:val="single" w:color="auto" w:sz="4" w:space="0"/>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评价要点：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①项目立项是否符合国家法律法规、国民经济发展规划和相关政策；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②项目立项是否符合行业发展规划和政策要求；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③项目立项是否与部门职责范围相符，属于部门履职所需；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④项目是否属于公共财政支持范围，是否符合中央、地方事权支出责任划分原则；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⑤项目是否与相关部门同类项目或部门内部相关项目重复。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评分规则：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符合以上①—⑤得满分，否则不得分。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A12立项程序规范性</w:t>
            </w:r>
          </w:p>
        </w:tc>
        <w:tc>
          <w:tcPr>
            <w:tcW w:w="70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w:t>
            </w:r>
          </w:p>
        </w:tc>
        <w:tc>
          <w:tcPr>
            <w:tcW w:w="81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0</w:t>
            </w:r>
          </w:p>
        </w:tc>
        <w:tc>
          <w:tcPr>
            <w:tcW w:w="29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项目申请、设立过程是否符合相关要求，用以反映和考核项目立项的规范情况。</w:t>
            </w:r>
          </w:p>
        </w:tc>
        <w:tc>
          <w:tcPr>
            <w:tcW w:w="5168" w:type="dxa"/>
            <w:tcBorders>
              <w:top w:val="single" w:color="auto" w:sz="4" w:space="0"/>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评价要点：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①项目是否按照规定的程序申请设立；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②审批文件、材料是否符合相关要求；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③事前是否已经过必要的可行性研究、专家论证、风险评估、绩效评估、集体决策。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评分规则：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符合以上①—③得满分，否则不得分。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A2绩效目标</w:t>
            </w:r>
          </w:p>
        </w:tc>
        <w:tc>
          <w:tcPr>
            <w:tcW w:w="327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A21绩效目标合理性</w:t>
            </w:r>
          </w:p>
        </w:tc>
        <w:tc>
          <w:tcPr>
            <w:tcW w:w="70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p>
        </w:tc>
        <w:tc>
          <w:tcPr>
            <w:tcW w:w="81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29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项目所设定的绩效目标是否依据充分，是否符合客观实际，用以反映和考核项目绩效目标与项目实施的相符情况。</w:t>
            </w:r>
          </w:p>
        </w:tc>
        <w:tc>
          <w:tcPr>
            <w:tcW w:w="5168" w:type="dxa"/>
            <w:tcBorders>
              <w:top w:val="single" w:color="auto" w:sz="4" w:space="0"/>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评价要点：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①项目是否有绩效目标（如未设定预算绩效目标，也可考核其他工作任务目标）；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②项目绩效目标与实际工作内容是否具有相关性；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③项目预期产出效益和效果是否符合正常的业绩水平；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④是否与预算确定的项目投资额或资金量相匹配。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评分规则：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符合以上①—④得满分，每缺失一项扣25%，直至扣除比例达到100%。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A22绩效目标明确性</w:t>
            </w:r>
          </w:p>
        </w:tc>
        <w:tc>
          <w:tcPr>
            <w:tcW w:w="70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p>
        </w:tc>
        <w:tc>
          <w:tcPr>
            <w:tcW w:w="81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p>
        </w:tc>
        <w:tc>
          <w:tcPr>
            <w:tcW w:w="29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依据绩效目标设定的绩效指标是否清晰、细化、可衡量等，用以反映和考核项目绩效目标的明细化情况。</w:t>
            </w:r>
          </w:p>
        </w:tc>
        <w:tc>
          <w:tcPr>
            <w:tcW w:w="5168" w:type="dxa"/>
            <w:tcBorders>
              <w:top w:val="single" w:color="auto" w:sz="4" w:space="0"/>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评价要点：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①是否将项目绩效目标细化分解为具体的绩效指标；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②是否通过清晰、可衡量的指标值予以体现；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③是否与项目目标任务数或计划数相对应。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评分规则：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符合以上①—③得满分，每缺失一项扣除三分之一，直至扣除比例达到100%。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A3资金投入</w:t>
            </w:r>
          </w:p>
        </w:tc>
        <w:tc>
          <w:tcPr>
            <w:tcW w:w="327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A31预算编制科学性</w:t>
            </w:r>
          </w:p>
        </w:tc>
        <w:tc>
          <w:tcPr>
            <w:tcW w:w="70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p>
        </w:tc>
        <w:tc>
          <w:tcPr>
            <w:tcW w:w="81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0</w:t>
            </w:r>
          </w:p>
        </w:tc>
        <w:tc>
          <w:tcPr>
            <w:tcW w:w="29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项目预算编制是否经过科学论证、有明确标准，资金额度与年度目标是否相适应，用以反映和考核项目预算编制的科学性、合理性情况。</w:t>
            </w:r>
          </w:p>
        </w:tc>
        <w:tc>
          <w:tcPr>
            <w:tcW w:w="5168" w:type="dxa"/>
            <w:tcBorders>
              <w:top w:val="single" w:color="auto" w:sz="4" w:space="0"/>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评价要点：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①预算编制是否经过科学论证；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②预算内容与项目内容是否匹配；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single" w:color="auto" w:sz="4" w:space="0"/>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③预算额度测算依据是否充分，是否按照标准编制；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④预算确定的项目投资额或资金量是否与工作任务相匹配。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评分规则：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符合以上①—④得满分，每缺失一项扣除25%，直至扣除比例达到100%。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A32资金分配合理性</w:t>
            </w:r>
          </w:p>
        </w:tc>
        <w:tc>
          <w:tcPr>
            <w:tcW w:w="70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p>
        </w:tc>
        <w:tc>
          <w:tcPr>
            <w:tcW w:w="81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29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项目预算资金分配是否有测算依据，与补助单位或地方实际是否相适应，用以反映和考核项目预算资金分配的科学性、合理性情况。</w:t>
            </w:r>
          </w:p>
        </w:tc>
        <w:tc>
          <w:tcPr>
            <w:tcW w:w="5168" w:type="dxa"/>
            <w:tcBorders>
              <w:top w:val="single" w:color="auto" w:sz="4" w:space="0"/>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评价要点：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①预算资金分配依据是否充分；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②资金分配额度是否合理，与项目单位或地方实际是否相适应。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评分规则：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符合以上①—②得满分，每缺失一项扣除50%，直至扣除比例达到100%。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trPr>
        <w:tc>
          <w:tcPr>
            <w:tcW w:w="90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过程</w:t>
            </w:r>
          </w:p>
        </w:tc>
        <w:tc>
          <w:tcPr>
            <w:tcW w:w="90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B1资金管理</w:t>
            </w:r>
          </w:p>
        </w:tc>
        <w:tc>
          <w:tcPr>
            <w:tcW w:w="327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B11资金到位率</w:t>
            </w:r>
          </w:p>
        </w:tc>
        <w:tc>
          <w:tcPr>
            <w:tcW w:w="70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w:t>
            </w:r>
          </w:p>
        </w:tc>
        <w:tc>
          <w:tcPr>
            <w:tcW w:w="81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w:t>
            </w:r>
          </w:p>
        </w:tc>
        <w:tc>
          <w:tcPr>
            <w:tcW w:w="29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实际到位资金与预算资金的比率，用以反映和考核资金落实情况对项目实施的总体保障程度。</w:t>
            </w:r>
          </w:p>
        </w:tc>
        <w:tc>
          <w:tcPr>
            <w:tcW w:w="5168" w:type="dxa"/>
            <w:tcBorders>
              <w:top w:val="single" w:color="auto" w:sz="4" w:space="0"/>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评价要点：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资金到位率=（实际到位资金/预算资金）×100%。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实际到位资金：一定时期（本年度或项目期）内落实到具体项目的资金。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预算资金：一定时期（本年度或项目期）内预算安排到具体项目的资金。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评分规则：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得分=资金到位率×本指标分值，实际到位资金≥预算资金得满分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B12预算执行率</w:t>
            </w:r>
          </w:p>
        </w:tc>
        <w:tc>
          <w:tcPr>
            <w:tcW w:w="70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w:t>
            </w:r>
          </w:p>
        </w:tc>
        <w:tc>
          <w:tcPr>
            <w:tcW w:w="81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eastAsia" w:ascii="Times New Roman" w:hAnsi="Times New Roman" w:cs="Times New Roman"/>
                <w:color w:val="auto"/>
                <w:sz w:val="28"/>
                <w:szCs w:val="28"/>
                <w:highlight w:val="none"/>
                <w:vertAlign w:val="baseline"/>
                <w:lang w:val="en-US" w:eastAsia="zh-CN"/>
              </w:rPr>
              <w:t>1</w:t>
            </w:r>
            <w:r>
              <w:rPr>
                <w:rFonts w:hint="default" w:ascii="Times New Roman" w:hAnsi="Times New Roman" w:eastAsia="仿宋_GB2312" w:cs="Times New Roman"/>
                <w:color w:val="auto"/>
                <w:sz w:val="28"/>
                <w:szCs w:val="28"/>
                <w:highlight w:val="none"/>
                <w:vertAlign w:val="baseline"/>
                <w:lang w:val="en-US" w:eastAsia="zh-CN"/>
              </w:rPr>
              <w:t>.</w:t>
            </w:r>
            <w:r>
              <w:rPr>
                <w:rFonts w:hint="eastAsia" w:ascii="Times New Roman" w:hAnsi="Times New Roman" w:cs="Times New Roman"/>
                <w:color w:val="auto"/>
                <w:sz w:val="28"/>
                <w:szCs w:val="28"/>
                <w:highlight w:val="none"/>
                <w:vertAlign w:val="baseline"/>
                <w:lang w:val="en-US" w:eastAsia="zh-CN"/>
              </w:rPr>
              <w:t>86</w:t>
            </w:r>
          </w:p>
        </w:tc>
        <w:tc>
          <w:tcPr>
            <w:tcW w:w="29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项目预算资金是否按照计划执行，用以反映或考核项目预算执行情况，超预算执行不得分，若存在政策调整等因素可采用预算调整数。</w:t>
            </w:r>
            <w:r>
              <w:rPr>
                <w:rFonts w:hint="default" w:ascii="Times New Roman" w:hAnsi="Times New Roman" w:eastAsia="仿宋_GB2312" w:cs="Times New Roman"/>
                <w:i w:val="0"/>
                <w:iCs w:val="0"/>
                <w:color w:val="000000"/>
                <w:kern w:val="0"/>
                <w:sz w:val="24"/>
                <w:szCs w:val="24"/>
                <w:u w:val="none"/>
                <w:lang w:val="en-US" w:eastAsia="zh-CN" w:bidi="ar"/>
              </w:rPr>
              <w:br w:type="textWrapping"/>
            </w:r>
            <w:r>
              <w:rPr>
                <w:rFonts w:hint="default" w:ascii="Times New Roman" w:hAnsi="Times New Roman" w:eastAsia="仿宋_GB2312" w:cs="Times New Roman"/>
                <w:i w:val="0"/>
                <w:iCs w:val="0"/>
                <w:color w:val="000000"/>
                <w:kern w:val="0"/>
                <w:sz w:val="24"/>
                <w:szCs w:val="24"/>
                <w:u w:val="none"/>
                <w:lang w:val="en-US" w:eastAsia="zh-CN" w:bidi="ar"/>
              </w:rPr>
              <w:br w:type="textWrapping"/>
            </w:r>
            <w:r>
              <w:rPr>
                <w:rFonts w:hint="default" w:ascii="Times New Roman" w:hAnsi="Times New Roman" w:eastAsia="仿宋_GB2312" w:cs="Times New Roman"/>
                <w:i w:val="0"/>
                <w:iCs w:val="0"/>
                <w:color w:val="000000"/>
                <w:kern w:val="0"/>
                <w:sz w:val="24"/>
                <w:szCs w:val="24"/>
                <w:u w:val="none"/>
                <w:lang w:val="en-US" w:eastAsia="zh-CN" w:bidi="ar"/>
              </w:rPr>
              <w:t>得分=分值×预算执行率</w:t>
            </w:r>
          </w:p>
        </w:tc>
        <w:tc>
          <w:tcPr>
            <w:tcW w:w="5168" w:type="dxa"/>
            <w:tcBorders>
              <w:top w:val="single" w:color="auto" w:sz="4" w:space="0"/>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评价要点：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预算执行率=（实际支出资金/实际到位资金）×100%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实际支出资金：一定时期（本年度或项目期）内项目实际拨付的资金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评分规则：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得分=预算执行率×本指标分值，预算执行率＞100%不得分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B13资金使用合规性</w:t>
            </w:r>
          </w:p>
        </w:tc>
        <w:tc>
          <w:tcPr>
            <w:tcW w:w="70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w:t>
            </w:r>
          </w:p>
        </w:tc>
        <w:tc>
          <w:tcPr>
            <w:tcW w:w="81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w:t>
            </w:r>
          </w:p>
        </w:tc>
        <w:tc>
          <w:tcPr>
            <w:tcW w:w="29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项目资金使用是否符合相关的财务管理制度规定，用以反映和考核项目资金的规范运行情况。</w:t>
            </w:r>
          </w:p>
        </w:tc>
        <w:tc>
          <w:tcPr>
            <w:tcW w:w="5168" w:type="dxa"/>
            <w:tcBorders>
              <w:top w:val="single" w:color="auto" w:sz="4" w:space="0"/>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评价要点：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①是否符合国家财经法规和财务管理制度以及有关专项资金管理办法的规定；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②资金的拨付是否有完整的审批程序和手续；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③是否符合项目预算批复或合同规定的用途；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④是否存在截留、挤占、挪用、虚列支出等情况。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评分规则：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符合以上①—④得满分，否则不得分。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B2组织实施</w:t>
            </w:r>
          </w:p>
        </w:tc>
        <w:tc>
          <w:tcPr>
            <w:tcW w:w="327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B21管理制度健全性</w:t>
            </w:r>
          </w:p>
        </w:tc>
        <w:tc>
          <w:tcPr>
            <w:tcW w:w="70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w:t>
            </w:r>
          </w:p>
        </w:tc>
        <w:tc>
          <w:tcPr>
            <w:tcW w:w="81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p>
        </w:tc>
        <w:tc>
          <w:tcPr>
            <w:tcW w:w="29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项目实施单位的财务和业务管理制度是否健全，用以反映和考核财务和业务管理制度对项目顺利实施的保障情况。</w:t>
            </w:r>
          </w:p>
        </w:tc>
        <w:tc>
          <w:tcPr>
            <w:tcW w:w="5168" w:type="dxa"/>
            <w:tcBorders>
              <w:top w:val="single" w:color="auto" w:sz="4" w:space="0"/>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评价要点：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①是否已制定或具有相应的财务和业务管理制度；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②财务和业务管理制度是否合法、合规、完整。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评分规则：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符合以上①—②得满分，每缺失一项扣除50%，直至扣除比例达到100%。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B22制度执行有效性</w:t>
            </w:r>
          </w:p>
        </w:tc>
        <w:tc>
          <w:tcPr>
            <w:tcW w:w="70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w:t>
            </w:r>
          </w:p>
        </w:tc>
        <w:tc>
          <w:tcPr>
            <w:tcW w:w="81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w:t>
            </w:r>
          </w:p>
        </w:tc>
        <w:tc>
          <w:tcPr>
            <w:tcW w:w="29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项目实施是否符合相关管理规定，用以反映和考核相关管理制度的有效执行情况。</w:t>
            </w:r>
          </w:p>
        </w:tc>
        <w:tc>
          <w:tcPr>
            <w:tcW w:w="5168" w:type="dxa"/>
            <w:tcBorders>
              <w:top w:val="single" w:color="auto" w:sz="4" w:space="0"/>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评价要点：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①是否遵守相关法律法规和相关管理规定、项目调整及支出调整手续是否完备（如有调整）；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②项目合同书、验收报告、技术鉴定等资料是否齐全并及时归档；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③项目实施的人员条件、场地设备、信息支撑等是否落实到位。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评分规则：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符合以上①—③得满分，每缺失一项扣除三分之一，直至扣除比例达到100%。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trPr>
        <w:tc>
          <w:tcPr>
            <w:tcW w:w="90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产出</w:t>
            </w:r>
          </w:p>
        </w:tc>
        <w:tc>
          <w:tcPr>
            <w:tcW w:w="90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C1数量指标</w:t>
            </w:r>
          </w:p>
        </w:tc>
        <w:tc>
          <w:tcPr>
            <w:tcW w:w="327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C11项目采购品类、规格、数量</w:t>
            </w:r>
          </w:p>
        </w:tc>
        <w:tc>
          <w:tcPr>
            <w:tcW w:w="70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15</w:t>
            </w:r>
          </w:p>
        </w:tc>
        <w:tc>
          <w:tcPr>
            <w:tcW w:w="81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15</w:t>
            </w:r>
          </w:p>
        </w:tc>
        <w:tc>
          <w:tcPr>
            <w:tcW w:w="29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实际采购相关设备设施及安装调试是否按项目采购要求全部采购维护维修完毕</w:t>
            </w:r>
          </w:p>
        </w:tc>
        <w:tc>
          <w:tcPr>
            <w:tcW w:w="5168" w:type="dxa"/>
            <w:tcBorders>
              <w:top w:val="single" w:color="auto" w:sz="4" w:space="0"/>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评价要点：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①液压油管修复2米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②液压油360升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③应急发电机组1组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④应急发电机组动力发动机保养1次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⑤油路电磁阀门保养24套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⑥太阳能蓄电池8组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⑦户外LED显示模块20块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⑧户外LED模组专用电源及线材20套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⑨会议室LED显示屏控制卡2张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⑩会议室LED显示屏发送卡、接收卡2套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⑪</w:t>
            </w:r>
            <w:r>
              <w:rPr>
                <w:rFonts w:hint="default" w:ascii="Times New Roman" w:hAnsi="Times New Roman" w:eastAsia="仿宋_GB2312" w:cs="Times New Roman"/>
                <w:i w:val="0"/>
                <w:iCs w:val="0"/>
                <w:color w:val="000000"/>
                <w:kern w:val="0"/>
                <w:sz w:val="24"/>
                <w:szCs w:val="24"/>
                <w:u w:val="none"/>
                <w:lang w:val="en-US" w:eastAsia="zh-CN" w:bidi="ar"/>
              </w:rPr>
              <w:t>会议室LED显示屏编辑软件1套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5168" w:type="dxa"/>
            <w:tcBorders>
              <w:top w:val="single" w:color="auto" w:sz="4" w:space="0"/>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⑫</w:t>
            </w:r>
            <w:r>
              <w:rPr>
                <w:rFonts w:hint="default" w:ascii="Times New Roman" w:hAnsi="Times New Roman" w:eastAsia="仿宋_GB2312" w:cs="Times New Roman"/>
                <w:i w:val="0"/>
                <w:iCs w:val="0"/>
                <w:color w:val="000000"/>
                <w:kern w:val="0"/>
                <w:sz w:val="24"/>
                <w:szCs w:val="24"/>
                <w:u w:val="none"/>
                <w:lang w:val="en-US" w:eastAsia="zh-CN" w:bidi="ar"/>
              </w:rPr>
              <w:t xml:space="preserve"> 会议室拼接屏视频处理器2台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⑬</w:t>
            </w:r>
            <w:r>
              <w:rPr>
                <w:rFonts w:hint="default" w:ascii="Times New Roman" w:hAnsi="Times New Roman" w:eastAsia="仿宋_GB2312" w:cs="Times New Roman"/>
                <w:i w:val="0"/>
                <w:iCs w:val="0"/>
                <w:color w:val="000000"/>
                <w:kern w:val="0"/>
                <w:sz w:val="24"/>
                <w:szCs w:val="24"/>
                <w:u w:val="none"/>
                <w:lang w:val="en-US" w:eastAsia="zh-CN" w:bidi="ar"/>
              </w:rPr>
              <w:t>RTU采集终端2台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⑭</w:t>
            </w:r>
            <w:r>
              <w:rPr>
                <w:rFonts w:hint="default" w:ascii="Times New Roman" w:hAnsi="Times New Roman" w:eastAsia="仿宋_GB2312" w:cs="Times New Roman"/>
                <w:i w:val="0"/>
                <w:iCs w:val="0"/>
                <w:color w:val="000000"/>
                <w:kern w:val="0"/>
                <w:sz w:val="24"/>
                <w:szCs w:val="24"/>
                <w:u w:val="none"/>
                <w:lang w:val="en-US" w:eastAsia="zh-CN" w:bidi="ar"/>
              </w:rPr>
              <w:t>通讯模块2套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⑮</w:t>
            </w:r>
            <w:r>
              <w:rPr>
                <w:rFonts w:hint="default" w:ascii="Times New Roman" w:hAnsi="Times New Roman" w:eastAsia="仿宋_GB2312" w:cs="Times New Roman"/>
                <w:i w:val="0"/>
                <w:iCs w:val="0"/>
                <w:color w:val="000000"/>
                <w:kern w:val="0"/>
                <w:sz w:val="22"/>
                <w:szCs w:val="22"/>
                <w:u w:val="none"/>
                <w:lang w:val="en-US" w:eastAsia="zh-CN" w:bidi="ar"/>
              </w:rPr>
              <w:t>雨量计4套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评分规则：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符合以上①—</w:t>
            </w:r>
            <w:r>
              <w:rPr>
                <w:rFonts w:hint="default" w:ascii="Times New Roman" w:hAnsi="Times New Roman" w:eastAsia="宋体" w:cs="Times New Roman"/>
                <w:i w:val="0"/>
                <w:iCs w:val="0"/>
                <w:color w:val="000000"/>
                <w:kern w:val="0"/>
                <w:sz w:val="24"/>
                <w:szCs w:val="24"/>
                <w:u w:val="none"/>
                <w:lang w:val="en-US" w:eastAsia="zh-CN" w:bidi="ar"/>
              </w:rPr>
              <w:t>⑮</w:t>
            </w:r>
            <w:r>
              <w:rPr>
                <w:rFonts w:hint="default" w:ascii="Times New Roman" w:hAnsi="Times New Roman" w:eastAsia="仿宋_GB2312" w:cs="Times New Roman"/>
                <w:i w:val="0"/>
                <w:iCs w:val="0"/>
                <w:color w:val="000000"/>
                <w:kern w:val="0"/>
                <w:sz w:val="24"/>
                <w:szCs w:val="24"/>
                <w:u w:val="none"/>
                <w:lang w:val="en-US" w:eastAsia="zh-CN" w:bidi="ar"/>
              </w:rPr>
              <w:t>得满分，每缺失一项扣除一分。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C2质量指标</w:t>
            </w:r>
          </w:p>
        </w:tc>
        <w:tc>
          <w:tcPr>
            <w:tcW w:w="327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C212022年山洪灾害防治非工程措施设施维修养护项目验收合格率</w:t>
            </w:r>
          </w:p>
        </w:tc>
        <w:tc>
          <w:tcPr>
            <w:tcW w:w="70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w:t>
            </w:r>
          </w:p>
        </w:tc>
        <w:tc>
          <w:tcPr>
            <w:tcW w:w="81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w:t>
            </w:r>
          </w:p>
        </w:tc>
        <w:tc>
          <w:tcPr>
            <w:tcW w:w="29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2022年山洪灾害防治非工程措施设施维修养护项目相关设备维修维护等质量验收合格率。</w:t>
            </w:r>
          </w:p>
        </w:tc>
        <w:tc>
          <w:tcPr>
            <w:tcW w:w="5168" w:type="dxa"/>
            <w:tcBorders>
              <w:top w:val="single" w:color="auto" w:sz="4" w:space="0"/>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评价要点：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2022年山洪灾害防治非工程措施设施维修养护项目验收合格率=（验收合格次数/验收总次数）×100%。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评分规则：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得分=2022年山洪灾害防治非工程措施设施维修养护项目验收合格率×本指标分值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C3时效指标</w:t>
            </w:r>
          </w:p>
        </w:tc>
        <w:tc>
          <w:tcPr>
            <w:tcW w:w="327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C312022年山洪灾害防治非工程措施设施维修养护项目完成及时性</w:t>
            </w:r>
          </w:p>
        </w:tc>
        <w:tc>
          <w:tcPr>
            <w:tcW w:w="70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w:t>
            </w:r>
          </w:p>
        </w:tc>
        <w:tc>
          <w:tcPr>
            <w:tcW w:w="81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w:t>
            </w:r>
          </w:p>
        </w:tc>
        <w:tc>
          <w:tcPr>
            <w:tcW w:w="29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项目实际与计划完成时间的比较，用以反映和考核项目完成程度，各规定时间节点项目的完成情况。</w:t>
            </w:r>
          </w:p>
        </w:tc>
        <w:tc>
          <w:tcPr>
            <w:tcW w:w="5168" w:type="dxa"/>
            <w:tcBorders>
              <w:top w:val="single" w:color="auto" w:sz="4" w:space="0"/>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评价要点：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项目的组织验收和资金拨付阶段是否在2022年11月30日前完成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评分规则：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项目验收标准按照合同、文件规定完成得满分，否则不得分。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C4成本指标</w:t>
            </w:r>
          </w:p>
        </w:tc>
        <w:tc>
          <w:tcPr>
            <w:tcW w:w="327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C41成本节约率</w:t>
            </w:r>
          </w:p>
        </w:tc>
        <w:tc>
          <w:tcPr>
            <w:tcW w:w="70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w:t>
            </w:r>
          </w:p>
        </w:tc>
        <w:tc>
          <w:tcPr>
            <w:tcW w:w="81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w:t>
            </w:r>
          </w:p>
        </w:tc>
        <w:tc>
          <w:tcPr>
            <w:tcW w:w="29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完成项目资金下达金额与实际支出金额的比率，用以反映考核项目的成本节约程度。</w:t>
            </w:r>
          </w:p>
        </w:tc>
        <w:tc>
          <w:tcPr>
            <w:tcW w:w="5168" w:type="dxa"/>
            <w:tcBorders>
              <w:top w:val="single" w:color="auto" w:sz="4" w:space="0"/>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评价要点：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是否对项目加强成本控制，提高生产效率。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评分规则：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“2022年山洪灾害防治非工程措施设施维修养护项目”支付标准均按照合同、文件规定执行得满分，否则不得分。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trPr>
        <w:tc>
          <w:tcPr>
            <w:tcW w:w="90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效益</w:t>
            </w:r>
          </w:p>
        </w:tc>
        <w:tc>
          <w:tcPr>
            <w:tcW w:w="90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D1项目效益</w:t>
            </w:r>
          </w:p>
        </w:tc>
        <w:tc>
          <w:tcPr>
            <w:tcW w:w="327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D11社会效益</w:t>
            </w:r>
          </w:p>
        </w:tc>
        <w:tc>
          <w:tcPr>
            <w:tcW w:w="70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w:t>
            </w:r>
          </w:p>
        </w:tc>
        <w:tc>
          <w:tcPr>
            <w:tcW w:w="81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w:t>
            </w:r>
          </w:p>
        </w:tc>
        <w:tc>
          <w:tcPr>
            <w:tcW w:w="29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目前人民群众对住行环境是否得到满意，用以反映项目实施后，人民群众基本生活水平实际效果。</w:t>
            </w:r>
          </w:p>
        </w:tc>
        <w:tc>
          <w:tcPr>
            <w:tcW w:w="5168" w:type="dxa"/>
            <w:tcBorders>
              <w:top w:val="single" w:color="auto" w:sz="4" w:space="0"/>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评价要点：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①保障人民群众居住环境；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②保障人民群众生命财产安全。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评分规则：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全部符合以上①—②得满分，否则按比例得分。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D2可持续影响指标</w:t>
            </w:r>
          </w:p>
        </w:tc>
        <w:tc>
          <w:tcPr>
            <w:tcW w:w="327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D21人民群众经济持续健康发展，为当地居民生活提供安全保障</w:t>
            </w:r>
          </w:p>
        </w:tc>
        <w:tc>
          <w:tcPr>
            <w:tcW w:w="70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w:t>
            </w:r>
          </w:p>
        </w:tc>
        <w:tc>
          <w:tcPr>
            <w:tcW w:w="81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w:t>
            </w:r>
          </w:p>
        </w:tc>
        <w:tc>
          <w:tcPr>
            <w:tcW w:w="29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项目实施单位、主管部门对山洪灾害防治非工程措施设施维修养护项目是否达到人民群众经济持续健康发展，是否为当地居民生活提供安全保障。</w:t>
            </w:r>
          </w:p>
        </w:tc>
        <w:tc>
          <w:tcPr>
            <w:tcW w:w="5168" w:type="dxa"/>
            <w:tcBorders>
              <w:top w:val="single" w:color="auto" w:sz="4" w:space="0"/>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评价要点：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①是否达到居民经济持续健康发展；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②是否为社会稳定提供安全保障。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评分规则：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32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7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8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宋体" w:cs="Times New Roman"/>
                <w:i w:val="0"/>
                <w:iCs w:val="0"/>
                <w:color w:val="000000"/>
                <w:sz w:val="24"/>
                <w:szCs w:val="24"/>
                <w:u w:val="none"/>
              </w:rPr>
            </w:pPr>
          </w:p>
        </w:tc>
        <w:tc>
          <w:tcPr>
            <w:tcW w:w="2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left"/>
              <w:rPr>
                <w:rFonts w:hint="default" w:ascii="Times New Roman" w:hAnsi="Times New Roman" w:eastAsia="仿宋_GB2312" w:cs="Times New Roman"/>
                <w:i w:val="0"/>
                <w:iCs w:val="0"/>
                <w:color w:val="000000"/>
                <w:sz w:val="24"/>
                <w:szCs w:val="24"/>
                <w:u w:val="none"/>
              </w:rPr>
            </w:pPr>
          </w:p>
        </w:tc>
        <w:tc>
          <w:tcPr>
            <w:tcW w:w="516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符合以上①—②得满分，每缺失一项扣除50%，直至扣除比例达到100%。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jc w:val="center"/>
              <w:rPr>
                <w:rFonts w:hint="default" w:ascii="Times New Roman" w:hAnsi="Times New Roman" w:eastAsia="仿宋_GB2312" w:cs="Times New Roman"/>
                <w:i w:val="0"/>
                <w:iCs w:val="0"/>
                <w:color w:val="000000"/>
                <w:sz w:val="24"/>
                <w:szCs w:val="24"/>
                <w:u w:val="none"/>
              </w:rPr>
            </w:pPr>
          </w:p>
        </w:tc>
        <w:tc>
          <w:tcPr>
            <w:tcW w:w="9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仿宋_GB2312" w:cs="Times New Roman"/>
                <w:i w:val="0"/>
                <w:iCs w:val="0"/>
                <w:color w:val="000000"/>
                <w:kern w:val="0"/>
                <w:sz w:val="24"/>
                <w:szCs w:val="24"/>
                <w:u w:val="none"/>
                <w:lang w:val="en-US" w:eastAsia="zh-CN" w:bidi="ar"/>
              </w:rPr>
            </w:pPr>
            <w:r>
              <w:rPr>
                <w:rFonts w:hint="default" w:ascii="Times New Roman" w:hAnsi="Times New Roman" w:eastAsia="仿宋_GB2312" w:cs="Times New Roman"/>
                <w:i w:val="0"/>
                <w:iCs w:val="0"/>
                <w:color w:val="000000"/>
                <w:kern w:val="0"/>
                <w:sz w:val="24"/>
                <w:szCs w:val="24"/>
                <w:u w:val="none"/>
                <w:lang w:val="en-US" w:eastAsia="zh-CN" w:bidi="ar"/>
              </w:rPr>
              <w:t>D3满意度</w:t>
            </w:r>
          </w:p>
        </w:tc>
        <w:tc>
          <w:tcPr>
            <w:tcW w:w="32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仿宋_GB2312" w:cs="Times New Roman"/>
                <w:i w:val="0"/>
                <w:iCs w:val="0"/>
                <w:color w:val="000000"/>
                <w:kern w:val="0"/>
                <w:sz w:val="24"/>
                <w:szCs w:val="24"/>
                <w:u w:val="none"/>
                <w:lang w:val="en-US" w:eastAsia="zh-CN" w:bidi="ar"/>
              </w:rPr>
            </w:pPr>
            <w:r>
              <w:rPr>
                <w:rFonts w:hint="default" w:ascii="Times New Roman" w:hAnsi="Times New Roman" w:eastAsia="仿宋_GB2312" w:cs="Times New Roman"/>
                <w:i w:val="0"/>
                <w:iCs w:val="0"/>
                <w:color w:val="000000"/>
                <w:kern w:val="0"/>
                <w:sz w:val="24"/>
                <w:szCs w:val="24"/>
                <w:u w:val="none"/>
                <w:lang w:val="en-US" w:eastAsia="zh-CN" w:bidi="ar"/>
              </w:rPr>
              <w:t>D31服务对象满意度</w:t>
            </w:r>
          </w:p>
        </w:tc>
        <w:tc>
          <w:tcPr>
            <w:tcW w:w="70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10</w:t>
            </w:r>
          </w:p>
        </w:tc>
        <w:tc>
          <w:tcPr>
            <w:tcW w:w="81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8.67</w:t>
            </w:r>
          </w:p>
        </w:tc>
        <w:tc>
          <w:tcPr>
            <w:tcW w:w="29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kern w:val="0"/>
                <w:sz w:val="24"/>
                <w:szCs w:val="24"/>
                <w:u w:val="none"/>
                <w:lang w:val="en-US" w:eastAsia="zh-CN" w:bidi="ar"/>
              </w:rPr>
            </w:pPr>
            <w:r>
              <w:rPr>
                <w:rFonts w:hint="default" w:ascii="Times New Roman" w:hAnsi="Times New Roman" w:eastAsia="仿宋_GB2312" w:cs="Times New Roman"/>
                <w:i w:val="0"/>
                <w:iCs w:val="0"/>
                <w:color w:val="000000"/>
                <w:kern w:val="0"/>
                <w:sz w:val="24"/>
                <w:szCs w:val="24"/>
                <w:u w:val="none"/>
                <w:lang w:val="en-US" w:eastAsia="zh-CN" w:bidi="ar"/>
              </w:rPr>
              <w:t>服务对象对项目实施效果的满意程度。</w:t>
            </w:r>
          </w:p>
        </w:tc>
        <w:tc>
          <w:tcPr>
            <w:tcW w:w="5168" w:type="dxa"/>
            <w:tcBorders>
              <w:top w:val="single" w:color="auto" w:sz="4" w:space="0"/>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kern w:val="0"/>
                <w:sz w:val="24"/>
                <w:szCs w:val="24"/>
                <w:u w:val="none"/>
                <w:lang w:val="en-US" w:eastAsia="zh-CN" w:bidi="ar"/>
              </w:rPr>
            </w:pPr>
            <w:r>
              <w:rPr>
                <w:rFonts w:hint="default" w:ascii="Times New Roman" w:hAnsi="Times New Roman" w:eastAsia="仿宋_GB2312" w:cs="Times New Roman"/>
                <w:i w:val="0"/>
                <w:iCs w:val="0"/>
                <w:color w:val="000000"/>
                <w:kern w:val="0"/>
                <w:sz w:val="24"/>
                <w:szCs w:val="24"/>
                <w:u w:val="none"/>
                <w:lang w:val="en-US" w:eastAsia="zh-CN" w:bidi="ar"/>
              </w:rPr>
              <w:t>评价要点：</w:t>
            </w:r>
          </w:p>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kern w:val="0"/>
                <w:sz w:val="24"/>
                <w:szCs w:val="24"/>
                <w:u w:val="none"/>
                <w:lang w:val="en-US" w:eastAsia="zh-CN" w:bidi="ar"/>
              </w:rPr>
            </w:pPr>
            <w:r>
              <w:rPr>
                <w:rFonts w:hint="default" w:ascii="Times New Roman" w:hAnsi="Times New Roman" w:eastAsia="仿宋_GB2312" w:cs="Times New Roman"/>
                <w:i w:val="0"/>
                <w:iCs w:val="0"/>
                <w:color w:val="000000"/>
                <w:kern w:val="0"/>
                <w:sz w:val="24"/>
                <w:szCs w:val="24"/>
                <w:u w:val="none"/>
                <w:lang w:val="en-US" w:eastAsia="zh-CN" w:bidi="ar"/>
              </w:rPr>
              <w:t>人民群众满意度</w:t>
            </w:r>
          </w:p>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kern w:val="0"/>
                <w:sz w:val="24"/>
                <w:szCs w:val="24"/>
                <w:u w:val="none"/>
                <w:lang w:val="en-US" w:eastAsia="zh-CN" w:bidi="ar"/>
              </w:rPr>
            </w:pPr>
            <w:r>
              <w:rPr>
                <w:rFonts w:hint="default" w:ascii="Times New Roman" w:hAnsi="Times New Roman" w:eastAsia="仿宋_GB2312" w:cs="Times New Roman"/>
                <w:i w:val="0"/>
                <w:iCs w:val="0"/>
                <w:color w:val="000000"/>
                <w:kern w:val="0"/>
                <w:sz w:val="24"/>
                <w:szCs w:val="24"/>
                <w:u w:val="none"/>
                <w:lang w:val="en-US" w:eastAsia="zh-CN" w:bidi="ar"/>
              </w:rPr>
              <w:t>评分规则：</w:t>
            </w:r>
          </w:p>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left"/>
              <w:textAlignment w:val="center"/>
              <w:rPr>
                <w:rFonts w:hint="default" w:ascii="Times New Roman" w:hAnsi="Times New Roman" w:eastAsia="仿宋_GB2312" w:cs="Times New Roman"/>
                <w:i w:val="0"/>
                <w:iCs w:val="0"/>
                <w:color w:val="000000"/>
                <w:kern w:val="0"/>
                <w:sz w:val="24"/>
                <w:szCs w:val="24"/>
                <w:u w:val="none"/>
                <w:lang w:val="en-US" w:eastAsia="zh-CN" w:bidi="ar"/>
              </w:rPr>
            </w:pPr>
            <w:r>
              <w:rPr>
                <w:rFonts w:hint="default" w:ascii="Times New Roman" w:hAnsi="Times New Roman" w:eastAsia="仿宋_GB2312" w:cs="Times New Roman"/>
                <w:i w:val="0"/>
                <w:iCs w:val="0"/>
                <w:color w:val="000000"/>
                <w:kern w:val="0"/>
                <w:sz w:val="24"/>
                <w:szCs w:val="24"/>
                <w:u w:val="none"/>
                <w:lang w:val="en-US" w:eastAsia="zh-CN" w:bidi="ar"/>
              </w:rPr>
              <w:t>得分=实际满意度×本指标分值。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508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得  分</w:t>
            </w:r>
          </w:p>
        </w:tc>
        <w:tc>
          <w:tcPr>
            <w:tcW w:w="70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100</w:t>
            </w:r>
          </w:p>
        </w:tc>
        <w:tc>
          <w:tcPr>
            <w:tcW w:w="81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8</w:t>
            </w:r>
            <w:r>
              <w:rPr>
                <w:rFonts w:hint="eastAsia" w:ascii="Times New Roman" w:hAnsi="Times New Roman" w:eastAsia="宋体" w:cs="Times New Roman"/>
                <w:i w:val="0"/>
                <w:iCs w:val="0"/>
                <w:color w:val="000000"/>
                <w:kern w:val="0"/>
                <w:sz w:val="24"/>
                <w:szCs w:val="24"/>
                <w:u w:val="none"/>
                <w:lang w:val="en-US" w:eastAsia="zh-CN" w:bidi="ar"/>
              </w:rPr>
              <w:t>5</w:t>
            </w:r>
            <w:r>
              <w:rPr>
                <w:rFonts w:hint="default" w:ascii="Times New Roman" w:hAnsi="Times New Roman" w:eastAsia="宋体" w:cs="Times New Roman"/>
                <w:i w:val="0"/>
                <w:iCs w:val="0"/>
                <w:color w:val="000000"/>
                <w:kern w:val="0"/>
                <w:sz w:val="24"/>
                <w:szCs w:val="24"/>
                <w:u w:val="none"/>
                <w:lang w:val="en-US" w:eastAsia="zh-CN" w:bidi="ar"/>
              </w:rPr>
              <w:t>.5</w:t>
            </w:r>
            <w:r>
              <w:rPr>
                <w:rFonts w:hint="eastAsia" w:ascii="Times New Roman" w:hAnsi="Times New Roman" w:eastAsia="宋体" w:cs="Times New Roman"/>
                <w:i w:val="0"/>
                <w:iCs w:val="0"/>
                <w:color w:val="000000"/>
                <w:kern w:val="0"/>
                <w:sz w:val="24"/>
                <w:szCs w:val="24"/>
                <w:u w:val="none"/>
                <w:lang w:val="en-US" w:eastAsia="zh-CN" w:bidi="ar"/>
              </w:rPr>
              <w:t>3</w:t>
            </w:r>
          </w:p>
        </w:tc>
        <w:tc>
          <w:tcPr>
            <w:tcW w:w="29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rPr>
                <w:rFonts w:hint="default" w:ascii="Times New Roman" w:hAnsi="Times New Roman" w:eastAsia="仿宋_GB2312" w:cs="Times New Roman"/>
                <w:i w:val="0"/>
                <w:iCs w:val="0"/>
                <w:color w:val="000000"/>
                <w:sz w:val="24"/>
                <w:szCs w:val="24"/>
                <w:u w:val="none"/>
              </w:rPr>
            </w:pPr>
          </w:p>
        </w:tc>
        <w:tc>
          <w:tcPr>
            <w:tcW w:w="516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tLeast"/>
              <w:ind w:firstLine="0" w:firstLineChars="0"/>
              <w:rPr>
                <w:rFonts w:hint="default" w:ascii="Times New Roman" w:hAnsi="Times New Roman" w:eastAsia="仿宋_GB2312" w:cs="Times New Roman"/>
                <w:i w:val="0"/>
                <w:iCs w:val="0"/>
                <w:color w:val="000000"/>
                <w:sz w:val="24"/>
                <w:szCs w:val="24"/>
                <w:u w:val="none"/>
              </w:rPr>
            </w:pPr>
          </w:p>
        </w:tc>
      </w:tr>
    </w:tbl>
    <w:p>
      <w:pPr>
        <w:ind w:firstLine="0" w:firstLineChars="0"/>
        <w:jc w:val="left"/>
        <w:rPr>
          <w:rFonts w:hint="default" w:ascii="Times New Roman" w:hAnsi="Times New Roman" w:cs="Times New Roman"/>
          <w:color w:val="auto"/>
          <w:szCs w:val="32"/>
          <w:highlight w:val="none"/>
          <w:lang w:eastAsia="zh-Hans"/>
        </w:rPr>
      </w:pPr>
    </w:p>
    <w:sectPr>
      <w:footerReference r:id="rId13" w:type="default"/>
      <w:pgSz w:w="16838" w:h="11906" w:orient="landscape"/>
      <w:pgMar w:top="1587" w:right="2098" w:bottom="1474" w:left="1928"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ind w:firstLine="360"/>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pPr>
                      <w:pStyle w:val="9"/>
                      <w:ind w:firstLine="360"/>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ind w:firstLine="360"/>
                          </w:pPr>
                          <w:r>
                            <w:rPr>
                              <w:rFonts w:hint="eastAsia"/>
                            </w:rPr>
                            <w:t xml:space="preserve">第 </w:t>
                          </w: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eastAsia"/>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9"/>
                      <w:ind w:firstLine="360"/>
                    </w:pPr>
                    <w:r>
                      <w:rPr>
                        <w:rFonts w:hint="eastAsia"/>
                      </w:rPr>
                      <w:t xml:space="preserve">第 </w:t>
                    </w: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eastAsia"/>
                      </w:rP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ind w:firstLine="360"/>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9"/>
                      <w:ind w:firstLine="360"/>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218"/>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JmMmQ1ZjgyYmQ5OTFiOTg2YTVkYTYwYmRmMDYzYmUifQ=="/>
  </w:docVars>
  <w:rsids>
    <w:rsidRoot w:val="38A0441F"/>
    <w:rsid w:val="00025F08"/>
    <w:rsid w:val="001939C0"/>
    <w:rsid w:val="001F04ED"/>
    <w:rsid w:val="002067A1"/>
    <w:rsid w:val="003F6C4D"/>
    <w:rsid w:val="00446E0A"/>
    <w:rsid w:val="004A6056"/>
    <w:rsid w:val="00512CF9"/>
    <w:rsid w:val="005459FB"/>
    <w:rsid w:val="00624DF7"/>
    <w:rsid w:val="00677F48"/>
    <w:rsid w:val="00862D32"/>
    <w:rsid w:val="00A95354"/>
    <w:rsid w:val="00B053A3"/>
    <w:rsid w:val="00ED199D"/>
    <w:rsid w:val="00F21B39"/>
    <w:rsid w:val="00FA0165"/>
    <w:rsid w:val="00FC140F"/>
    <w:rsid w:val="00FC1F10"/>
    <w:rsid w:val="014D5684"/>
    <w:rsid w:val="01625E0F"/>
    <w:rsid w:val="02510A14"/>
    <w:rsid w:val="02F72D7B"/>
    <w:rsid w:val="04BA1E24"/>
    <w:rsid w:val="04C91FEE"/>
    <w:rsid w:val="0529446F"/>
    <w:rsid w:val="05DC209D"/>
    <w:rsid w:val="05F43BF1"/>
    <w:rsid w:val="06DD0B27"/>
    <w:rsid w:val="07FE44A9"/>
    <w:rsid w:val="090A1B1B"/>
    <w:rsid w:val="09811471"/>
    <w:rsid w:val="0A035EAC"/>
    <w:rsid w:val="0A222F95"/>
    <w:rsid w:val="0A3C5BE5"/>
    <w:rsid w:val="0A850492"/>
    <w:rsid w:val="0B702F0A"/>
    <w:rsid w:val="0B87749D"/>
    <w:rsid w:val="0B9220CC"/>
    <w:rsid w:val="0BB155F6"/>
    <w:rsid w:val="0BFF67B7"/>
    <w:rsid w:val="0C2D56FA"/>
    <w:rsid w:val="0CD51554"/>
    <w:rsid w:val="0D0E1D57"/>
    <w:rsid w:val="0E6B5316"/>
    <w:rsid w:val="0EF04975"/>
    <w:rsid w:val="0F2E02F6"/>
    <w:rsid w:val="0FBF059F"/>
    <w:rsid w:val="0FDE609B"/>
    <w:rsid w:val="102304C1"/>
    <w:rsid w:val="102D1075"/>
    <w:rsid w:val="10FD2928"/>
    <w:rsid w:val="11032193"/>
    <w:rsid w:val="118D088B"/>
    <w:rsid w:val="13D61795"/>
    <w:rsid w:val="143D5AD8"/>
    <w:rsid w:val="146354B5"/>
    <w:rsid w:val="14724DAF"/>
    <w:rsid w:val="14731B70"/>
    <w:rsid w:val="14946808"/>
    <w:rsid w:val="14FC3F92"/>
    <w:rsid w:val="154324D6"/>
    <w:rsid w:val="15B65053"/>
    <w:rsid w:val="15FF7553"/>
    <w:rsid w:val="16666E63"/>
    <w:rsid w:val="166D0B08"/>
    <w:rsid w:val="167151B6"/>
    <w:rsid w:val="18006D71"/>
    <w:rsid w:val="19453258"/>
    <w:rsid w:val="19740AA6"/>
    <w:rsid w:val="19CF7199"/>
    <w:rsid w:val="1A2214B6"/>
    <w:rsid w:val="1ACB0A96"/>
    <w:rsid w:val="1AE80DFD"/>
    <w:rsid w:val="1B6B24CD"/>
    <w:rsid w:val="1B80223C"/>
    <w:rsid w:val="1BAF48D6"/>
    <w:rsid w:val="1CEE5C4F"/>
    <w:rsid w:val="1D3417A2"/>
    <w:rsid w:val="1D497224"/>
    <w:rsid w:val="1DA26929"/>
    <w:rsid w:val="1E3A16D2"/>
    <w:rsid w:val="1F9A7B57"/>
    <w:rsid w:val="1FE4757E"/>
    <w:rsid w:val="21F0709A"/>
    <w:rsid w:val="222F717C"/>
    <w:rsid w:val="265003B9"/>
    <w:rsid w:val="26560955"/>
    <w:rsid w:val="26E31314"/>
    <w:rsid w:val="279D3B7E"/>
    <w:rsid w:val="28A97D86"/>
    <w:rsid w:val="29007DEF"/>
    <w:rsid w:val="296744B5"/>
    <w:rsid w:val="2AA563F7"/>
    <w:rsid w:val="2B405627"/>
    <w:rsid w:val="2BB130FB"/>
    <w:rsid w:val="2CE2485A"/>
    <w:rsid w:val="2D817219"/>
    <w:rsid w:val="2DAA6F64"/>
    <w:rsid w:val="2DE40F5D"/>
    <w:rsid w:val="2DE84EC2"/>
    <w:rsid w:val="2FA35971"/>
    <w:rsid w:val="2FBBF6D5"/>
    <w:rsid w:val="2FDE51CA"/>
    <w:rsid w:val="309A577E"/>
    <w:rsid w:val="309C57D6"/>
    <w:rsid w:val="329207D5"/>
    <w:rsid w:val="3334631B"/>
    <w:rsid w:val="335671C9"/>
    <w:rsid w:val="33781580"/>
    <w:rsid w:val="33A2110B"/>
    <w:rsid w:val="34AB2476"/>
    <w:rsid w:val="35091607"/>
    <w:rsid w:val="36736FCE"/>
    <w:rsid w:val="37246830"/>
    <w:rsid w:val="37E34B15"/>
    <w:rsid w:val="385E7224"/>
    <w:rsid w:val="38A0441F"/>
    <w:rsid w:val="3A3E4582"/>
    <w:rsid w:val="3AA44B70"/>
    <w:rsid w:val="3B3D3053"/>
    <w:rsid w:val="3B5D46E8"/>
    <w:rsid w:val="3B6010CB"/>
    <w:rsid w:val="3B7738BE"/>
    <w:rsid w:val="3B8F4D48"/>
    <w:rsid w:val="3C432C9D"/>
    <w:rsid w:val="3C7A7FA3"/>
    <w:rsid w:val="3E3B4098"/>
    <w:rsid w:val="3EA87834"/>
    <w:rsid w:val="3F0703B3"/>
    <w:rsid w:val="3FC6F9D1"/>
    <w:rsid w:val="3FF3036A"/>
    <w:rsid w:val="4003781B"/>
    <w:rsid w:val="40301489"/>
    <w:rsid w:val="403258ED"/>
    <w:rsid w:val="41387699"/>
    <w:rsid w:val="416E703D"/>
    <w:rsid w:val="419C217F"/>
    <w:rsid w:val="425C35D3"/>
    <w:rsid w:val="4263590C"/>
    <w:rsid w:val="42B13EBB"/>
    <w:rsid w:val="42DF5E21"/>
    <w:rsid w:val="42EB600A"/>
    <w:rsid w:val="430856E9"/>
    <w:rsid w:val="43697B1B"/>
    <w:rsid w:val="43BA4171"/>
    <w:rsid w:val="43CB0F3F"/>
    <w:rsid w:val="43DE37F1"/>
    <w:rsid w:val="447927CC"/>
    <w:rsid w:val="454F5B77"/>
    <w:rsid w:val="466420CD"/>
    <w:rsid w:val="46EC69F4"/>
    <w:rsid w:val="4731782F"/>
    <w:rsid w:val="47483F2A"/>
    <w:rsid w:val="47BA287B"/>
    <w:rsid w:val="47CA6C43"/>
    <w:rsid w:val="47CC5653"/>
    <w:rsid w:val="483B39D9"/>
    <w:rsid w:val="48D5454C"/>
    <w:rsid w:val="493E5754"/>
    <w:rsid w:val="49C503F1"/>
    <w:rsid w:val="49CF51F6"/>
    <w:rsid w:val="4AA34D5C"/>
    <w:rsid w:val="4B014D99"/>
    <w:rsid w:val="4B070896"/>
    <w:rsid w:val="4B0A3602"/>
    <w:rsid w:val="4CB804FF"/>
    <w:rsid w:val="4D311E7A"/>
    <w:rsid w:val="4DBE5F60"/>
    <w:rsid w:val="4E5A4077"/>
    <w:rsid w:val="4ECF4AEB"/>
    <w:rsid w:val="4F836CDB"/>
    <w:rsid w:val="4FBB1ADF"/>
    <w:rsid w:val="509937C7"/>
    <w:rsid w:val="50BE5ACF"/>
    <w:rsid w:val="5121205B"/>
    <w:rsid w:val="51F835E3"/>
    <w:rsid w:val="53055DA7"/>
    <w:rsid w:val="53E255A0"/>
    <w:rsid w:val="549738BC"/>
    <w:rsid w:val="54A05CAD"/>
    <w:rsid w:val="55104E28"/>
    <w:rsid w:val="56D508E0"/>
    <w:rsid w:val="57A54323"/>
    <w:rsid w:val="57E512EE"/>
    <w:rsid w:val="59CB77D5"/>
    <w:rsid w:val="5A6C67C3"/>
    <w:rsid w:val="5AC2225A"/>
    <w:rsid w:val="5AEE4080"/>
    <w:rsid w:val="5B15555B"/>
    <w:rsid w:val="5C3458EC"/>
    <w:rsid w:val="5C861BFC"/>
    <w:rsid w:val="5C9D73D6"/>
    <w:rsid w:val="5CF841BF"/>
    <w:rsid w:val="5D177F46"/>
    <w:rsid w:val="5DF07A69"/>
    <w:rsid w:val="5E1119BA"/>
    <w:rsid w:val="5E504EAC"/>
    <w:rsid w:val="5F5F495E"/>
    <w:rsid w:val="609D2268"/>
    <w:rsid w:val="613F21CB"/>
    <w:rsid w:val="616E0123"/>
    <w:rsid w:val="618D159C"/>
    <w:rsid w:val="61AC31BB"/>
    <w:rsid w:val="63207328"/>
    <w:rsid w:val="64704F2F"/>
    <w:rsid w:val="64C32714"/>
    <w:rsid w:val="64D26384"/>
    <w:rsid w:val="65840754"/>
    <w:rsid w:val="659C3396"/>
    <w:rsid w:val="65B028E4"/>
    <w:rsid w:val="65B7623D"/>
    <w:rsid w:val="65E120E1"/>
    <w:rsid w:val="66B06154"/>
    <w:rsid w:val="672E4C9B"/>
    <w:rsid w:val="67AB74B3"/>
    <w:rsid w:val="67BF5409"/>
    <w:rsid w:val="67C00B09"/>
    <w:rsid w:val="689F1109"/>
    <w:rsid w:val="69630078"/>
    <w:rsid w:val="6A0B5689"/>
    <w:rsid w:val="6A4B7B8E"/>
    <w:rsid w:val="6A801F2F"/>
    <w:rsid w:val="6AC03E80"/>
    <w:rsid w:val="6C3B64D5"/>
    <w:rsid w:val="6C655E7F"/>
    <w:rsid w:val="6C986B23"/>
    <w:rsid w:val="6D634EBD"/>
    <w:rsid w:val="6E4679B2"/>
    <w:rsid w:val="6EED74BB"/>
    <w:rsid w:val="6F716EF3"/>
    <w:rsid w:val="6FE87D88"/>
    <w:rsid w:val="704B7B3C"/>
    <w:rsid w:val="70530F9F"/>
    <w:rsid w:val="70CA381A"/>
    <w:rsid w:val="713954C7"/>
    <w:rsid w:val="72954E7C"/>
    <w:rsid w:val="73977728"/>
    <w:rsid w:val="73FA6782"/>
    <w:rsid w:val="74247434"/>
    <w:rsid w:val="74297058"/>
    <w:rsid w:val="75077BE7"/>
    <w:rsid w:val="767E6D8B"/>
    <w:rsid w:val="77155CEF"/>
    <w:rsid w:val="77333B90"/>
    <w:rsid w:val="77F3CAD0"/>
    <w:rsid w:val="79F67CFB"/>
    <w:rsid w:val="7A9136B4"/>
    <w:rsid w:val="7A946CB6"/>
    <w:rsid w:val="7C2418CA"/>
    <w:rsid w:val="7C55055D"/>
    <w:rsid w:val="7C837AA0"/>
    <w:rsid w:val="7CFD0D82"/>
    <w:rsid w:val="7CFD5C72"/>
    <w:rsid w:val="7D5B3903"/>
    <w:rsid w:val="7D8A07A5"/>
    <w:rsid w:val="7DE053D9"/>
    <w:rsid w:val="7E431733"/>
    <w:rsid w:val="7E7A2CF8"/>
    <w:rsid w:val="7FB5CD73"/>
    <w:rsid w:val="7FBFF021"/>
    <w:rsid w:val="B9FF31D1"/>
    <w:rsid w:val="BBEDAFB5"/>
    <w:rsid w:val="BFA7D3BB"/>
    <w:rsid w:val="BFDF6CB4"/>
    <w:rsid w:val="D84D813D"/>
    <w:rsid w:val="DF3B8546"/>
    <w:rsid w:val="EE77B394"/>
    <w:rsid w:val="EFFF32E5"/>
    <w:rsid w:val="FBFB0B87"/>
    <w:rsid w:val="FCBB4C1F"/>
    <w:rsid w:val="FEDFD328"/>
    <w:rsid w:val="FEDFDC13"/>
    <w:rsid w:val="FF7D7F45"/>
    <w:rsid w:val="FFFDE6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1040" w:firstLineChars="200"/>
      <w:jc w:val="both"/>
    </w:pPr>
    <w:rPr>
      <w:rFonts w:eastAsia="仿宋_GB2312" w:asciiTheme="minorHAnsi" w:hAnsiTheme="minorHAnsi" w:cstheme="minorBidi"/>
      <w:kern w:val="2"/>
      <w:sz w:val="32"/>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unhideWhenUsed/>
    <w:qFormat/>
    <w:uiPriority w:val="0"/>
    <w:pPr>
      <w:spacing w:beforeAutospacing="1" w:afterAutospacing="1"/>
      <w:jc w:val="left"/>
      <w:outlineLvl w:val="1"/>
    </w:pPr>
    <w:rPr>
      <w:rFonts w:hint="eastAsia" w:ascii="宋体" w:hAnsi="宋体" w:eastAsia="宋体" w:cs="Times New Roman"/>
      <w:b/>
      <w:kern w:val="0"/>
      <w:sz w:val="36"/>
      <w:szCs w:val="36"/>
    </w:rPr>
  </w:style>
  <w:style w:type="paragraph" w:styleId="4">
    <w:name w:val="heading 3"/>
    <w:basedOn w:val="1"/>
    <w:next w:val="1"/>
    <w:unhideWhenUsed/>
    <w:qFormat/>
    <w:uiPriority w:val="0"/>
    <w:pPr>
      <w:keepNext/>
      <w:keepLines/>
      <w:spacing w:before="260" w:after="260" w:line="413" w:lineRule="auto"/>
      <w:outlineLvl w:val="2"/>
    </w:pPr>
    <w:rPr>
      <w:b/>
    </w:rPr>
  </w:style>
  <w:style w:type="paragraph" w:styleId="5">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Body Text"/>
    <w:basedOn w:val="1"/>
    <w:qFormat/>
    <w:uiPriority w:val="0"/>
    <w:pPr>
      <w:spacing w:after="120"/>
    </w:pPr>
  </w:style>
  <w:style w:type="paragraph" w:styleId="7">
    <w:name w:val="Body Text Indent"/>
    <w:basedOn w:val="1"/>
    <w:next w:val="8"/>
    <w:qFormat/>
    <w:uiPriority w:val="99"/>
    <w:pPr>
      <w:ind w:left="420" w:leftChars="200"/>
    </w:pPr>
  </w:style>
  <w:style w:type="paragraph" w:styleId="8">
    <w:name w:val="Body Text First Indent 2"/>
    <w:basedOn w:val="7"/>
    <w:next w:val="1"/>
    <w:qFormat/>
    <w:uiPriority w:val="99"/>
    <w:pPr>
      <w:ind w:firstLine="420"/>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toc 1"/>
    <w:basedOn w:val="1"/>
    <w:next w:val="1"/>
    <w:qFormat/>
    <w:uiPriority w:val="0"/>
  </w:style>
  <w:style w:type="paragraph" w:styleId="12">
    <w:name w:val="footnote text"/>
    <w:basedOn w:val="1"/>
    <w:qFormat/>
    <w:uiPriority w:val="0"/>
    <w:pPr>
      <w:snapToGrid w:val="0"/>
      <w:jc w:val="left"/>
    </w:pPr>
    <w:rPr>
      <w:sz w:val="18"/>
    </w:rPr>
  </w:style>
  <w:style w:type="paragraph" w:styleId="13">
    <w:name w:val="toc 2"/>
    <w:basedOn w:val="1"/>
    <w:next w:val="1"/>
    <w:qFormat/>
    <w:uiPriority w:val="0"/>
    <w:pPr>
      <w:ind w:left="420" w:leftChars="200"/>
    </w:p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basedOn w:val="16"/>
    <w:qFormat/>
    <w:uiPriority w:val="0"/>
    <w:rPr>
      <w:color w:val="0000FF"/>
      <w:u w:val="single"/>
    </w:rPr>
  </w:style>
  <w:style w:type="character" w:styleId="18">
    <w:name w:val="footnote reference"/>
    <w:basedOn w:val="16"/>
    <w:qFormat/>
    <w:uiPriority w:val="0"/>
    <w:rPr>
      <w:vertAlign w:val="superscript"/>
    </w:rPr>
  </w:style>
  <w:style w:type="paragraph" w:customStyle="1" w:styleId="19">
    <w:name w:val="WPSOffice手动目录 1"/>
    <w:qFormat/>
    <w:uiPriority w:val="0"/>
    <w:rPr>
      <w:rFonts w:ascii="Times New Roman" w:hAnsi="Times New Roman" w:eastAsia="宋体" w:cs="Times New Roman"/>
      <w:lang w:val="en-US" w:eastAsia="zh-CN" w:bidi="ar-SA"/>
    </w:rPr>
  </w:style>
  <w:style w:type="paragraph" w:customStyle="1" w:styleId="20">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1">
    <w:name w:val="表格样式"/>
    <w:basedOn w:val="1"/>
    <w:qFormat/>
    <w:uiPriority w:val="0"/>
    <w:pPr>
      <w:ind w:firstLine="0" w:firstLineChars="0"/>
      <w:jc w:val="center"/>
    </w:pPr>
    <w:rPr>
      <w:sz w:val="24"/>
    </w:rPr>
  </w:style>
  <w:style w:type="paragraph" w:customStyle="1" w:styleId="22">
    <w:name w:val="闻政附件一级标题"/>
    <w:basedOn w:val="1"/>
    <w:next w:val="23"/>
    <w:qFormat/>
    <w:uiPriority w:val="6"/>
    <w:pPr>
      <w:spacing w:before="120" w:after="60" w:line="500" w:lineRule="exact"/>
      <w:ind w:firstLine="200"/>
      <w:jc w:val="left"/>
    </w:pPr>
    <w:rPr>
      <w:rFonts w:ascii="Times New Roman" w:hAnsi="Times New Roman" w:cs="宋体"/>
      <w:b/>
      <w:kern w:val="0"/>
      <w:sz w:val="28"/>
      <w:szCs w:val="28"/>
      <w:lang w:val="zh-CN"/>
    </w:rPr>
  </w:style>
  <w:style w:type="paragraph" w:customStyle="1" w:styleId="23">
    <w:name w:val="闻政附件正文"/>
    <w:basedOn w:val="1"/>
    <w:qFormat/>
    <w:uiPriority w:val="6"/>
    <w:pPr>
      <w:spacing w:line="500" w:lineRule="exact"/>
      <w:ind w:firstLine="200"/>
    </w:pPr>
    <w:rPr>
      <w:rFonts w:ascii="Times New Roman" w:hAnsi="Times New Roman" w:cs="Times New Roman"/>
      <w:kern w:val="0"/>
      <w:sz w:val="24"/>
      <w:szCs w:val="28"/>
      <w:lang w:val="zh-CN"/>
    </w:rPr>
  </w:style>
  <w:style w:type="character" w:customStyle="1" w:styleId="24">
    <w:name w:val="font31"/>
    <w:basedOn w:val="16"/>
    <w:qFormat/>
    <w:uiPriority w:val="0"/>
    <w:rPr>
      <w:rFonts w:hint="eastAsia" w:ascii="宋体" w:hAnsi="宋体" w:eastAsia="宋体" w:cs="宋体"/>
      <w:color w:val="000000"/>
      <w:sz w:val="20"/>
      <w:szCs w:val="20"/>
      <w:u w:val="none"/>
    </w:rPr>
  </w:style>
  <w:style w:type="character" w:customStyle="1" w:styleId="25">
    <w:name w:val="font51"/>
    <w:basedOn w:val="16"/>
    <w:qFormat/>
    <w:uiPriority w:val="0"/>
    <w:rPr>
      <w:rFonts w:hint="eastAsia" w:ascii="仿宋_GB2312" w:eastAsia="仿宋_GB2312" w:cs="仿宋_GB2312"/>
      <w:color w:val="000000"/>
      <w:sz w:val="20"/>
      <w:szCs w:val="20"/>
      <w:u w:val="none"/>
    </w:rPr>
  </w:style>
  <w:style w:type="character" w:customStyle="1" w:styleId="26">
    <w:name w:val="font01"/>
    <w:basedOn w:val="16"/>
    <w:qFormat/>
    <w:uiPriority w:val="0"/>
    <w:rPr>
      <w:rFonts w:hint="eastAsia" w:ascii="仿宋_GB2312" w:eastAsia="仿宋_GB2312" w:cs="仿宋_GB2312"/>
      <w:color w:val="000000"/>
      <w:sz w:val="20"/>
      <w:szCs w:val="20"/>
      <w:u w:val="none"/>
    </w:rPr>
  </w:style>
  <w:style w:type="character" w:customStyle="1" w:styleId="27">
    <w:name w:val="font41"/>
    <w:basedOn w:val="16"/>
    <w:qFormat/>
    <w:uiPriority w:val="0"/>
    <w:rPr>
      <w:rFonts w:hint="eastAsia" w:ascii="宋体" w:hAnsi="宋体" w:eastAsia="宋体" w:cs="宋体"/>
      <w:color w:val="000000"/>
      <w:sz w:val="20"/>
      <w:szCs w:val="20"/>
      <w:u w:val="none"/>
    </w:rPr>
  </w:style>
  <w:style w:type="character" w:customStyle="1" w:styleId="28">
    <w:name w:val="font21"/>
    <w:basedOn w:val="16"/>
    <w:qFormat/>
    <w:uiPriority w:val="0"/>
    <w:rPr>
      <w:rFonts w:hint="eastAsia" w:ascii="仿宋_GB2312" w:eastAsia="仿宋_GB2312" w:cs="仿宋_GB2312"/>
      <w:color w:val="000000"/>
      <w:sz w:val="24"/>
      <w:szCs w:val="24"/>
      <w:u w:val="none"/>
    </w:rPr>
  </w:style>
  <w:style w:type="character" w:customStyle="1" w:styleId="29">
    <w:name w:val="font11"/>
    <w:basedOn w:val="16"/>
    <w:qFormat/>
    <w:uiPriority w:val="0"/>
    <w:rPr>
      <w:rFonts w:hint="eastAsia" w:ascii="仿宋_GB2312" w:eastAsia="仿宋_GB2312" w:cs="仿宋_GB2312"/>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47</Pages>
  <Words>19068</Words>
  <Characters>20257</Characters>
  <Lines>81</Lines>
  <Paragraphs>23</Paragraphs>
  <TotalTime>0</TotalTime>
  <ScaleCrop>false</ScaleCrop>
  <LinksUpToDate>false</LinksUpToDate>
  <CharactersWithSpaces>20396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2020-08-22T07:14:00Z</dcterms:created>
  <dc:creator>TuTu-Mason</dc:creator>
  <cp:lastModifiedBy>归零GEB</cp:lastModifiedBy>
  <dcterms:modified xsi:type="dcterms:W3CDTF">2023-11-27T06:20:48Z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421EDA5EFDD94C4490A2211EBFC2B0AD_13</vt:lpwstr>
  </property>
</Properties>
</file>