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default" w:ascii="Times New Roman" w:hAnsi="Times New Roman" w:cs="Times New Roman"/>
          <w:color w:val="auto"/>
          <w:sz w:val="52"/>
          <w:szCs w:val="52"/>
          <w:highlight w:val="none"/>
        </w:rPr>
      </w:pPr>
    </w:p>
    <w:p>
      <w:pPr>
        <w:spacing w:line="580" w:lineRule="exact"/>
        <w:ind w:firstLine="0" w:firstLineChars="0"/>
        <w:jc w:val="center"/>
        <w:rPr>
          <w:rFonts w:hint="default" w:ascii="Times New Roman" w:hAnsi="Times New Roman" w:eastAsia="楷体_GB2312" w:cs="Times New Roman"/>
          <w:b/>
          <w:bCs/>
          <w:color w:val="auto"/>
          <w:sz w:val="52"/>
          <w:szCs w:val="52"/>
          <w:highlight w:val="none"/>
        </w:rPr>
      </w:pPr>
      <w:r>
        <w:rPr>
          <w:rFonts w:hint="default" w:ascii="Times New Roman" w:hAnsi="Times New Roman" w:eastAsia="楷体_GB2312" w:cs="Times New Roman"/>
          <w:b/>
          <w:bCs/>
          <w:color w:val="auto"/>
          <w:sz w:val="52"/>
          <w:szCs w:val="52"/>
          <w:highlight w:val="none"/>
          <w:lang w:eastAsia="zh-CN"/>
        </w:rPr>
        <w:t>2022年</w:t>
      </w:r>
      <w:r>
        <w:rPr>
          <w:rFonts w:hint="eastAsia" w:ascii="Times New Roman" w:hAnsi="Times New Roman" w:eastAsia="楷体_GB2312" w:cs="Times New Roman"/>
          <w:b/>
          <w:bCs/>
          <w:color w:val="auto"/>
          <w:sz w:val="52"/>
          <w:szCs w:val="52"/>
          <w:highlight w:val="none"/>
          <w:lang w:val="en-US" w:eastAsia="zh-CN"/>
        </w:rPr>
        <w:t>度</w:t>
      </w:r>
      <w:r>
        <w:rPr>
          <w:rFonts w:hint="default" w:ascii="Times New Roman" w:hAnsi="Times New Roman" w:eastAsia="楷体_GB2312" w:cs="Times New Roman"/>
          <w:b/>
          <w:bCs/>
          <w:color w:val="auto"/>
          <w:sz w:val="52"/>
          <w:szCs w:val="52"/>
          <w:highlight w:val="none"/>
        </w:rPr>
        <w:t>德阳市罗江区</w:t>
      </w:r>
    </w:p>
    <w:p>
      <w:pPr>
        <w:spacing w:line="580" w:lineRule="exact"/>
        <w:ind w:firstLine="0" w:firstLineChars="0"/>
        <w:jc w:val="center"/>
        <w:rPr>
          <w:rFonts w:hint="default" w:ascii="Times New Roman" w:hAnsi="Times New Roman" w:eastAsia="楷体_GB2312" w:cs="Times New Roman"/>
          <w:b/>
          <w:bCs/>
          <w:color w:val="auto"/>
          <w:sz w:val="56"/>
          <w:szCs w:val="56"/>
          <w:highlight w:val="none"/>
        </w:rPr>
      </w:pPr>
      <w:r>
        <w:rPr>
          <w:rFonts w:hint="default" w:ascii="Times New Roman" w:hAnsi="Times New Roman" w:eastAsia="楷体_GB2312" w:cs="Times New Roman"/>
          <w:b/>
          <w:bCs/>
          <w:color w:val="auto"/>
          <w:sz w:val="56"/>
          <w:szCs w:val="56"/>
          <w:highlight w:val="none"/>
        </w:rPr>
        <w:t>财政项目</w:t>
      </w:r>
      <w:r>
        <w:rPr>
          <w:rFonts w:hint="default" w:ascii="Times New Roman" w:hAnsi="Times New Roman" w:eastAsia="楷体_GB2312" w:cs="Times New Roman"/>
          <w:b/>
          <w:bCs/>
          <w:color w:val="auto"/>
          <w:sz w:val="56"/>
          <w:szCs w:val="56"/>
          <w:highlight w:val="none"/>
          <w:lang w:eastAsia="zh-CN"/>
        </w:rPr>
        <w:t>（</w:t>
      </w:r>
      <w:r>
        <w:rPr>
          <w:rFonts w:hint="default" w:ascii="Times New Roman" w:hAnsi="Times New Roman" w:eastAsia="楷体_GB2312" w:cs="Times New Roman"/>
          <w:b/>
          <w:bCs/>
          <w:color w:val="auto"/>
          <w:sz w:val="56"/>
          <w:szCs w:val="56"/>
          <w:highlight w:val="none"/>
          <w:lang w:val="en-US" w:eastAsia="zh-CN"/>
        </w:rPr>
        <w:t>政策</w:t>
      </w:r>
      <w:r>
        <w:rPr>
          <w:rFonts w:hint="default" w:ascii="Times New Roman" w:hAnsi="Times New Roman" w:eastAsia="楷体_GB2312" w:cs="Times New Roman"/>
          <w:b/>
          <w:bCs/>
          <w:color w:val="auto"/>
          <w:sz w:val="56"/>
          <w:szCs w:val="56"/>
          <w:highlight w:val="none"/>
          <w:lang w:eastAsia="zh-CN"/>
        </w:rPr>
        <w:t>）</w:t>
      </w:r>
      <w:r>
        <w:rPr>
          <w:rFonts w:hint="default" w:ascii="Times New Roman" w:hAnsi="Times New Roman" w:eastAsia="楷体_GB2312" w:cs="Times New Roman"/>
          <w:b/>
          <w:bCs/>
          <w:color w:val="auto"/>
          <w:sz w:val="56"/>
          <w:szCs w:val="56"/>
          <w:highlight w:val="none"/>
        </w:rPr>
        <w:t>支出绩效评价报告</w:t>
      </w: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rPr>
          <w:rFonts w:hint="default" w:ascii="Times New Roman" w:hAnsi="Times New Roman" w:cs="Times New Roman"/>
          <w:color w:val="auto"/>
          <w:sz w:val="52"/>
          <w:szCs w:val="52"/>
          <w:highlight w:val="none"/>
        </w:rPr>
      </w:pPr>
    </w:p>
    <w:p>
      <w:pPr>
        <w:spacing w:line="580" w:lineRule="exact"/>
        <w:ind w:firstLine="643"/>
        <w:jc w:val="left"/>
        <w:rPr>
          <w:rFonts w:hint="default" w:ascii="Times New Roman" w:hAnsi="Times New Roman" w:eastAsia="楷体_GB2312" w:cs="Times New Roman"/>
          <w:b/>
          <w:bCs/>
          <w:color w:val="auto"/>
          <w:szCs w:val="32"/>
          <w:highlight w:val="none"/>
        </w:rPr>
      </w:pPr>
      <w:r>
        <w:rPr>
          <w:rFonts w:hint="default" w:ascii="Times New Roman" w:hAnsi="Times New Roman" w:eastAsia="楷体_GB2312" w:cs="Times New Roman"/>
          <w:b/>
          <w:bCs/>
          <w:color w:val="auto"/>
          <w:szCs w:val="32"/>
          <w:highlight w:val="none"/>
        </w:rPr>
        <w:t>项目名称：</w:t>
      </w:r>
      <w:r>
        <w:rPr>
          <w:rFonts w:hint="default" w:ascii="Times New Roman" w:hAnsi="Times New Roman" w:eastAsia="楷体_GB2312" w:cs="Times New Roman"/>
          <w:b/>
          <w:color w:val="auto"/>
          <w:spacing w:val="-2"/>
          <w:highlight w:val="none"/>
        </w:rPr>
        <w:t>安全生产专项经费</w:t>
      </w:r>
    </w:p>
    <w:p>
      <w:pPr>
        <w:spacing w:line="580" w:lineRule="exact"/>
        <w:ind w:firstLine="643"/>
        <w:jc w:val="left"/>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项目单位：</w:t>
      </w:r>
      <w:r>
        <w:rPr>
          <w:rFonts w:hint="default" w:ascii="Times New Roman" w:hAnsi="Times New Roman" w:eastAsia="楷体_GB2312" w:cs="Times New Roman"/>
          <w:b/>
          <w:color w:val="auto"/>
          <w:spacing w:val="-2"/>
          <w:highlight w:val="none"/>
        </w:rPr>
        <w:t>德阳市罗江区</w:t>
      </w:r>
      <w:r>
        <w:rPr>
          <w:rFonts w:hint="default" w:ascii="Times New Roman" w:hAnsi="Times New Roman" w:eastAsia="楷体_GB2312" w:cs="Times New Roman"/>
          <w:b/>
          <w:color w:val="auto"/>
          <w:spacing w:val="-2"/>
          <w:highlight w:val="none"/>
          <w:lang w:val="en-US" w:eastAsia="zh-CN"/>
        </w:rPr>
        <w:t>应急管理局</w:t>
      </w:r>
    </w:p>
    <w:p>
      <w:pPr>
        <w:spacing w:line="580" w:lineRule="exact"/>
        <w:ind w:firstLine="643"/>
        <w:jc w:val="left"/>
        <w:rPr>
          <w:rFonts w:hint="default" w:ascii="Times New Roman" w:hAnsi="Times New Roman" w:eastAsia="楷体_GB2312" w:cs="Times New Roman"/>
          <w:b/>
          <w:bCs/>
          <w:color w:val="auto"/>
          <w:szCs w:val="32"/>
          <w:highlight w:val="none"/>
        </w:rPr>
      </w:pPr>
      <w:r>
        <w:rPr>
          <w:rFonts w:hint="default" w:ascii="Times New Roman" w:hAnsi="Times New Roman" w:eastAsia="楷体_GB2312" w:cs="Times New Roman"/>
          <w:b/>
          <w:bCs/>
          <w:color w:val="auto"/>
          <w:szCs w:val="32"/>
          <w:highlight w:val="none"/>
        </w:rPr>
        <w:t>委托单位：</w:t>
      </w:r>
      <w:r>
        <w:rPr>
          <w:rFonts w:hint="default" w:ascii="Times New Roman" w:hAnsi="Times New Roman" w:eastAsia="楷体_GB2312" w:cs="Times New Roman"/>
          <w:b/>
          <w:color w:val="auto"/>
          <w:spacing w:val="-2"/>
          <w:highlight w:val="none"/>
        </w:rPr>
        <w:t>德阳市罗江区财政</w:t>
      </w:r>
      <w:r>
        <w:rPr>
          <w:rFonts w:hint="default" w:ascii="Times New Roman" w:hAnsi="Times New Roman" w:eastAsia="楷体_GB2312" w:cs="Times New Roman"/>
          <w:b/>
          <w:color w:val="auto"/>
          <w:spacing w:val="-10"/>
          <w:highlight w:val="none"/>
        </w:rPr>
        <w:t>局</w:t>
      </w:r>
    </w:p>
    <w:p>
      <w:pPr>
        <w:spacing w:line="580" w:lineRule="exact"/>
        <w:ind w:firstLine="643"/>
        <w:jc w:val="left"/>
        <w:rPr>
          <w:rFonts w:hint="default" w:ascii="Times New Roman" w:hAnsi="Times New Roman" w:eastAsia="楷体_GB2312" w:cs="Times New Roman"/>
          <w:b/>
          <w:bCs/>
          <w:color w:val="auto"/>
          <w:szCs w:val="32"/>
          <w:highlight w:val="none"/>
          <w:lang w:eastAsia="zh-CN"/>
        </w:rPr>
      </w:pPr>
      <w:r>
        <w:rPr>
          <w:rFonts w:hint="default" w:ascii="Times New Roman" w:hAnsi="Times New Roman" w:eastAsia="楷体_GB2312" w:cs="Times New Roman"/>
          <w:b/>
          <w:bCs/>
          <w:color w:val="auto"/>
          <w:szCs w:val="32"/>
          <w:highlight w:val="none"/>
        </w:rPr>
        <w:t>评价机构：</w:t>
      </w:r>
      <w:r>
        <w:rPr>
          <w:rFonts w:hint="default" w:ascii="Times New Roman" w:hAnsi="Times New Roman" w:eastAsia="楷体_GB2312" w:cs="Times New Roman"/>
          <w:b/>
          <w:bCs/>
          <w:color w:val="auto"/>
          <w:szCs w:val="32"/>
          <w:highlight w:val="none"/>
          <w:lang w:eastAsia="zh-CN"/>
        </w:rPr>
        <w:t>四川瑞政商业管理有限公司</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p>
    <w:p>
      <w:pPr>
        <w:spacing w:line="580" w:lineRule="exact"/>
        <w:ind w:firstLine="0" w:firstLineChars="0"/>
        <w:jc w:val="center"/>
        <w:rPr>
          <w:rFonts w:hint="default" w:ascii="Times New Roman" w:hAnsi="Times New Roman" w:eastAsia="楷体_GB2312" w:cs="Times New Roman"/>
          <w:b/>
          <w:bCs/>
          <w:color w:val="auto"/>
          <w:szCs w:val="32"/>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28" w:left="1587" w:header="851" w:footer="992" w:gutter="0"/>
          <w:cols w:space="425" w:num="1"/>
          <w:docGrid w:type="lines" w:linePitch="312" w:charSpace="0"/>
        </w:sectPr>
      </w:pPr>
      <w:r>
        <w:rPr>
          <w:rFonts w:hint="default" w:ascii="Times New Roman" w:hAnsi="Times New Roman" w:eastAsia="楷体_GB2312" w:cs="Times New Roman"/>
          <w:b/>
          <w:bCs/>
          <w:color w:val="auto"/>
          <w:szCs w:val="32"/>
          <w:highlight w:val="none"/>
        </w:rPr>
        <w:t>202</w:t>
      </w:r>
      <w:r>
        <w:rPr>
          <w:rFonts w:hint="default" w:ascii="Times New Roman" w:hAnsi="Times New Roman" w:eastAsia="楷体_GB2312" w:cs="Times New Roman"/>
          <w:b/>
          <w:bCs/>
          <w:color w:val="auto"/>
          <w:szCs w:val="32"/>
          <w:highlight w:val="none"/>
          <w:lang w:val="en-US" w:eastAsia="zh-CN"/>
        </w:rPr>
        <w:t>3</w:t>
      </w:r>
      <w:r>
        <w:rPr>
          <w:rFonts w:hint="default" w:ascii="Times New Roman" w:hAnsi="Times New Roman" w:eastAsia="楷体_GB2312" w:cs="Times New Roman"/>
          <w:b/>
          <w:bCs/>
          <w:color w:val="auto"/>
          <w:szCs w:val="32"/>
          <w:highlight w:val="none"/>
        </w:rPr>
        <w:t>年</w:t>
      </w:r>
      <w:r>
        <w:rPr>
          <w:rFonts w:hint="eastAsia" w:ascii="Times New Roman" w:hAnsi="Times New Roman" w:eastAsia="楷体_GB2312" w:cs="Times New Roman"/>
          <w:b/>
          <w:bCs/>
          <w:color w:val="auto"/>
          <w:szCs w:val="32"/>
          <w:highlight w:val="none"/>
          <w:lang w:val="en-US" w:eastAsia="zh-CN"/>
        </w:rPr>
        <w:t>9</w:t>
      </w:r>
      <w:r>
        <w:rPr>
          <w:rFonts w:hint="default" w:ascii="Times New Roman" w:hAnsi="Times New Roman" w:eastAsia="楷体_GB2312" w:cs="Times New Roman"/>
          <w:b/>
          <w:bCs/>
          <w:color w:val="auto"/>
          <w:szCs w:val="32"/>
          <w:highlight w:val="none"/>
        </w:rPr>
        <w:t>月</w:t>
      </w:r>
    </w:p>
    <w:sdt>
      <w:sdtPr>
        <w:rPr>
          <w:rFonts w:hint="default" w:ascii="Times New Roman" w:hAnsi="Times New Roman" w:cs="Times New Roman"/>
          <w:b/>
          <w:bCs/>
          <w:color w:val="auto"/>
          <w:szCs w:val="32"/>
          <w:highlight w:val="none"/>
        </w:rPr>
        <w:id w:val="147473090"/>
        <w15:color w:val="DBDBDB"/>
        <w:docPartObj>
          <w:docPartGallery w:val="Table of Contents"/>
          <w:docPartUnique/>
        </w:docPartObj>
      </w:sdtPr>
      <w:sdtEndPr>
        <w:rPr>
          <w:rFonts w:hint="default" w:ascii="Times New Roman" w:hAnsi="Times New Roman" w:cs="Times New Roman"/>
          <w:b/>
          <w:bCs/>
          <w:color w:val="auto"/>
          <w:sz w:val="21"/>
          <w:szCs w:val="32"/>
          <w:highlight w:val="none"/>
        </w:rPr>
      </w:sdtEndPr>
      <w:sdtContent>
        <w:p>
          <w:pPr>
            <w:spacing w:line="580" w:lineRule="exact"/>
            <w:ind w:firstLine="0" w:firstLineChars="0"/>
            <w:jc w:val="center"/>
            <w:rPr>
              <w:rFonts w:hint="default" w:ascii="Times New Roman" w:hAnsi="Times New Roman" w:cs="Times New Roman"/>
              <w:b/>
              <w:bCs/>
              <w:color w:val="auto"/>
              <w:szCs w:val="32"/>
              <w:highlight w:val="none"/>
            </w:rPr>
          </w:pPr>
          <w:r>
            <w:rPr>
              <w:rFonts w:hint="eastAsia" w:ascii="黑体" w:hAnsi="黑体" w:eastAsia="黑体" w:cs="黑体"/>
              <w:b/>
              <w:bCs/>
              <w:color w:val="auto"/>
              <w:szCs w:val="32"/>
              <w:highlight w:val="none"/>
            </w:rPr>
            <w:t>目 录</w:t>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
              <w:bCs/>
              <w:color w:val="auto"/>
              <w:szCs w:val="32"/>
              <w:highlight w:val="none"/>
            </w:rPr>
            <w:fldChar w:fldCharType="begin"/>
          </w:r>
          <w:r>
            <w:rPr>
              <w:rFonts w:hint="default" w:ascii="Times New Roman" w:hAnsi="Times New Roman" w:cs="Times New Roman"/>
              <w:b/>
              <w:bCs/>
              <w:color w:val="auto"/>
              <w:szCs w:val="32"/>
              <w:highlight w:val="none"/>
            </w:rPr>
            <w:instrText xml:space="preserve">TOC \o "1-2" \h \u </w:instrText>
          </w:r>
          <w:r>
            <w:rPr>
              <w:rFonts w:hint="default" w:ascii="Times New Roman" w:hAnsi="Times New Roman" w:cs="Times New Roman"/>
              <w:b/>
              <w:bCs/>
              <w:color w:val="auto"/>
              <w:szCs w:val="32"/>
              <w:highlight w:val="none"/>
            </w:rPr>
            <w:fldChar w:fldCharType="separate"/>
          </w: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_Toc8075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一、基本情况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_Toc8075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_Toc22142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（一）项目背景及依据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_Toc22142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_Toc16974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（二）项目参与主体职能职责</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_Toc16974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_Toc7828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（三）项目绩效目标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_Toc7828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_Toc30097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（四）项目预算及计划实施内容</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_Toc30097 \h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_Toc3167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（五）预算执行及实施情况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_Toc3167 \h </w:instrText>
          </w:r>
          <w:r>
            <w:rPr>
              <w:rFonts w:hint="default" w:ascii="Times New Roman" w:hAnsi="Times New Roman" w:cs="Times New Roman"/>
            </w:rPr>
            <w:fldChar w:fldCharType="separate"/>
          </w:r>
          <w:r>
            <w:rPr>
              <w:rFonts w:hint="default" w:ascii="Times New Roman" w:hAnsi="Times New Roman" w:cs="Times New Roman"/>
            </w:rPr>
            <w:t>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_Toc5906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二、评价工作开展情况</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_Toc5906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_Toc25166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（一）绩效评价的目的</w:t>
          </w:r>
          <w:bookmarkStart w:id="40" w:name="_GoBack"/>
          <w:bookmarkEnd w:id="40"/>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_Toc25166 \h </w:instrText>
          </w:r>
          <w:r>
            <w:rPr>
              <w:rFonts w:hint="default" w:ascii="Times New Roman" w:hAnsi="Times New Roman" w:cs="Times New Roman"/>
            </w:rPr>
            <w:fldChar w:fldCharType="separate"/>
          </w:r>
          <w:r>
            <w:rPr>
              <w:rFonts w:hint="default" w:ascii="Times New Roman" w:hAnsi="Times New Roman" w:cs="Times New Roman"/>
            </w:rPr>
            <w:t>9</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_Toc29836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（二）评价的思路、原则、依据及方法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_Toc29836 \h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_Toc44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（三）数据采集方法及过程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_Toc44 \h </w:instrText>
          </w:r>
          <w:r>
            <w:rPr>
              <w:rFonts w:hint="default" w:ascii="Times New Roman" w:hAnsi="Times New Roman" w:cs="Times New Roman"/>
            </w:rPr>
            <w:fldChar w:fldCharType="separate"/>
          </w:r>
          <w:r>
            <w:rPr>
              <w:rFonts w:hint="default" w:ascii="Times New Roman" w:hAnsi="Times New Roman" w:cs="Times New Roman"/>
            </w:rPr>
            <w:t>12</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_Toc31661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（四）绩效评价实施过程</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_Toc31661 \h </w:instrText>
          </w:r>
          <w:r>
            <w:rPr>
              <w:rFonts w:hint="default" w:ascii="Times New Roman" w:hAnsi="Times New Roman" w:cs="Times New Roman"/>
            </w:rPr>
            <w:fldChar w:fldCharType="separate"/>
          </w:r>
          <w:r>
            <w:rPr>
              <w:rFonts w:hint="default" w:ascii="Times New Roman" w:hAnsi="Times New Roman" w:cs="Times New Roman"/>
            </w:rPr>
            <w:t>13</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_Toc15803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三、评价结果与结论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_Toc15803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_Toc27347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（一）评价得分与绩效等级</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_Toc27347 \h </w:instrText>
          </w:r>
          <w:r>
            <w:rPr>
              <w:rFonts w:hint="default" w:ascii="Times New Roman" w:hAnsi="Times New Roman" w:cs="Times New Roman"/>
            </w:rPr>
            <w:fldChar w:fldCharType="separate"/>
          </w:r>
          <w:r>
            <w:rPr>
              <w:rFonts w:hint="default" w:ascii="Times New Roman" w:hAnsi="Times New Roman" w:cs="Times New Roman"/>
            </w:rPr>
            <w:t>15</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4"/>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_Toc5879 </w:instrText>
          </w:r>
          <w:r>
            <w:rPr>
              <w:rFonts w:hint="default" w:ascii="Times New Roman" w:hAnsi="Times New Roman" w:cs="Times New Roman"/>
              <w:bCs/>
              <w:szCs w:val="32"/>
              <w:highlight w:val="none"/>
            </w:rPr>
            <w:fldChar w:fldCharType="separate"/>
          </w:r>
          <w:r>
            <w:rPr>
              <w:rFonts w:hint="default" w:ascii="Times New Roman" w:hAnsi="Times New Roman" w:eastAsia="楷体_GB2312" w:cs="Times New Roman"/>
              <w:szCs w:val="32"/>
              <w:highlight w:val="none"/>
            </w:rPr>
            <w:t>（二）评价结论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_Toc5879 \h </w:instrText>
          </w:r>
          <w:r>
            <w:rPr>
              <w:rFonts w:hint="default" w:ascii="Times New Roman" w:hAnsi="Times New Roman" w:cs="Times New Roman"/>
            </w:rPr>
            <w:fldChar w:fldCharType="separate"/>
          </w:r>
          <w:r>
            <w:rPr>
              <w:rFonts w:hint="default" w:ascii="Times New Roman" w:hAnsi="Times New Roman" w:cs="Times New Roman"/>
            </w:rPr>
            <w:t>16</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_Toc4281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四、问题及建议</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_Toc4281 \h </w:instrText>
          </w:r>
          <w:r>
            <w:rPr>
              <w:rFonts w:hint="default" w:ascii="Times New Roman" w:hAnsi="Times New Roman" w:cs="Times New Roman"/>
            </w:rPr>
            <w:fldChar w:fldCharType="separate"/>
          </w:r>
          <w:r>
            <w:rPr>
              <w:rFonts w:hint="default" w:ascii="Times New Roman" w:hAnsi="Times New Roman" w:cs="Times New Roman"/>
            </w:rPr>
            <w:t>17</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_Toc8089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rPr>
            <w:t>五、其他需要说明的问题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_Toc8089 \h </w:instrText>
          </w:r>
          <w:r>
            <w:rPr>
              <w:rFonts w:hint="default" w:ascii="Times New Roman" w:hAnsi="Times New Roman" w:cs="Times New Roman"/>
            </w:rPr>
            <w:fldChar w:fldCharType="separate"/>
          </w:r>
          <w:r>
            <w:rPr>
              <w:rFonts w:hint="default" w:ascii="Times New Roman" w:hAnsi="Times New Roman" w:cs="Times New Roman"/>
            </w:rPr>
            <w:t>18</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pStyle w:val="12"/>
            <w:keepNext w:val="0"/>
            <w:keepLines w:val="0"/>
            <w:pageBreakBefore w:val="0"/>
            <w:widowControl w:val="0"/>
            <w:tabs>
              <w:tab w:val="right" w:leader="dot" w:pos="8845"/>
            </w:tabs>
            <w:kinsoku/>
            <w:wordWrap/>
            <w:overflowPunct/>
            <w:topLinePunct w:val="0"/>
            <w:autoSpaceDE/>
            <w:autoSpaceDN/>
            <w:bidi w:val="0"/>
            <w:adjustRightInd/>
            <w:snapToGrid/>
            <w:ind w:firstLine="0" w:firstLineChars="0"/>
            <w:textAlignment w:val="auto"/>
            <w:rPr>
              <w:rFonts w:hint="default" w:ascii="Times New Roman" w:hAnsi="Times New Roman" w:cs="Times New Roman"/>
            </w:rPr>
          </w:pPr>
          <w:r>
            <w:rPr>
              <w:rFonts w:hint="default" w:ascii="Times New Roman" w:hAnsi="Times New Roman" w:cs="Times New Roman"/>
              <w:bCs/>
              <w:color w:val="auto"/>
              <w:szCs w:val="32"/>
              <w:highlight w:val="none"/>
            </w:rPr>
            <w:fldChar w:fldCharType="begin"/>
          </w:r>
          <w:r>
            <w:rPr>
              <w:rFonts w:hint="default" w:ascii="Times New Roman" w:hAnsi="Times New Roman" w:cs="Times New Roman"/>
              <w:bCs/>
              <w:szCs w:val="32"/>
              <w:highlight w:val="none"/>
            </w:rPr>
            <w:instrText xml:space="preserve"> HYPERLINK \l _Toc23157 </w:instrText>
          </w:r>
          <w:r>
            <w:rPr>
              <w:rFonts w:hint="default" w:ascii="Times New Roman" w:hAnsi="Times New Roman" w:cs="Times New Roman"/>
              <w:bCs/>
              <w:szCs w:val="32"/>
              <w:highlight w:val="none"/>
            </w:rPr>
            <w:fldChar w:fldCharType="separate"/>
          </w:r>
          <w:r>
            <w:rPr>
              <w:rFonts w:hint="default" w:ascii="Times New Roman" w:hAnsi="Times New Roman" w:eastAsia="黑体" w:cs="Times New Roman"/>
              <w:bCs/>
              <w:szCs w:val="20"/>
              <w:highlight w:val="none"/>
              <w:lang w:eastAsia="zh-Hans"/>
            </w:rPr>
            <w:t>附件</w:t>
          </w:r>
          <w:r>
            <w:rPr>
              <w:rFonts w:hint="default" w:ascii="Times New Roman" w:hAnsi="Times New Roman" w:eastAsia="黑体" w:cs="Times New Roman"/>
              <w:bCs/>
              <w:szCs w:val="20"/>
              <w:highlight w:val="none"/>
              <w:lang w:val="en-US" w:eastAsia="zh-CN"/>
            </w:rPr>
            <w:t xml:space="preserve"> </w:t>
          </w:r>
          <w:r>
            <w:rPr>
              <w:rFonts w:hint="default" w:ascii="Times New Roman" w:hAnsi="Times New Roman" w:eastAsia="黑体" w:cs="Times New Roman"/>
              <w:bCs/>
              <w:szCs w:val="20"/>
              <w:highlight w:val="none"/>
            </w:rPr>
            <w:t>项目支出绩效评价指标体系</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_Toc23157 \h </w:instrText>
          </w:r>
          <w:r>
            <w:rPr>
              <w:rFonts w:hint="default" w:ascii="Times New Roman" w:hAnsi="Times New Roman" w:cs="Times New Roman"/>
            </w:rPr>
            <w:fldChar w:fldCharType="separate"/>
          </w:r>
          <w:r>
            <w:rPr>
              <w:rFonts w:hint="default" w:ascii="Times New Roman" w:hAnsi="Times New Roman" w:cs="Times New Roman"/>
            </w:rPr>
            <w:t>20</w:t>
          </w:r>
          <w:r>
            <w:rPr>
              <w:rFonts w:hint="default" w:ascii="Times New Roman" w:hAnsi="Times New Roman" w:cs="Times New Roman"/>
            </w:rPr>
            <w:fldChar w:fldCharType="end"/>
          </w:r>
          <w:r>
            <w:rPr>
              <w:rFonts w:hint="default" w:ascii="Times New Roman" w:hAnsi="Times New Roman" w:cs="Times New Roman"/>
              <w:bCs/>
              <w:color w:val="auto"/>
              <w:szCs w:val="32"/>
              <w:highlight w:val="none"/>
            </w:rPr>
            <w:fldChar w:fldCharType="end"/>
          </w:r>
        </w:p>
        <w:p>
          <w:pPr>
            <w:spacing w:line="580" w:lineRule="exact"/>
            <w:ind w:firstLine="0" w:firstLineChars="0"/>
            <w:jc w:val="both"/>
            <w:rPr>
              <w:rFonts w:hint="default" w:ascii="Times New Roman" w:hAnsi="Times New Roman" w:cs="Times New Roman"/>
              <w:b/>
              <w:bCs/>
              <w:color w:val="auto"/>
              <w:szCs w:val="32"/>
              <w:highlight w:val="none"/>
            </w:rPr>
            <w:sectPr>
              <w:pgSz w:w="11906" w:h="16838"/>
              <w:pgMar w:top="2098" w:right="1474" w:bottom="1928" w:left="1587" w:header="851" w:footer="992" w:gutter="0"/>
              <w:cols w:space="425" w:num="1"/>
              <w:docGrid w:type="lines" w:linePitch="312" w:charSpace="0"/>
            </w:sectPr>
          </w:pPr>
          <w:r>
            <w:rPr>
              <w:rFonts w:hint="default" w:ascii="Times New Roman" w:hAnsi="Times New Roman" w:cs="Times New Roman"/>
              <w:bCs/>
              <w:color w:val="auto"/>
              <w:szCs w:val="32"/>
              <w:highlight w:val="none"/>
            </w:rPr>
            <w:fldChar w:fldCharType="end"/>
          </w:r>
        </w:p>
      </w:sdtContent>
    </w:sdt>
    <w:p>
      <w:pPr>
        <w:spacing w:line="580" w:lineRule="exact"/>
        <w:ind w:firstLine="0" w:firstLineChars="0"/>
        <w:jc w:val="center"/>
        <w:rPr>
          <w:rFonts w:hint="default" w:ascii="Times New Roman" w:hAnsi="Times New Roman" w:eastAsia="方正小标宋简体" w:cs="Times New Roman"/>
          <w:b/>
          <w:bCs/>
          <w:color w:val="auto"/>
          <w:sz w:val="44"/>
          <w:szCs w:val="44"/>
          <w:highlight w:val="none"/>
          <w:lang w:val="en-US" w:eastAsia="zh-CN"/>
        </w:rPr>
      </w:pPr>
      <w:r>
        <w:rPr>
          <w:rFonts w:hint="default" w:ascii="Times New Roman" w:hAnsi="Times New Roman" w:eastAsia="方正小标宋简体" w:cs="Times New Roman"/>
          <w:b/>
          <w:bCs/>
          <w:color w:val="auto"/>
          <w:sz w:val="44"/>
          <w:szCs w:val="44"/>
          <w:highlight w:val="none"/>
          <w:lang w:eastAsia="zh-CN"/>
        </w:rPr>
        <w:t>2022年</w:t>
      </w:r>
      <w:r>
        <w:rPr>
          <w:rFonts w:hint="default" w:ascii="Times New Roman" w:hAnsi="Times New Roman" w:eastAsia="方正小标宋简体" w:cs="Times New Roman"/>
          <w:b/>
          <w:bCs/>
          <w:color w:val="auto"/>
          <w:sz w:val="44"/>
          <w:szCs w:val="44"/>
          <w:highlight w:val="none"/>
        </w:rPr>
        <w:t>度德阳市罗江区</w:t>
      </w:r>
      <w:r>
        <w:rPr>
          <w:rFonts w:hint="default" w:ascii="Times New Roman" w:hAnsi="Times New Roman" w:eastAsia="方正小标宋简体" w:cs="Times New Roman"/>
          <w:b/>
          <w:bCs/>
          <w:color w:val="auto"/>
          <w:sz w:val="44"/>
          <w:szCs w:val="44"/>
          <w:highlight w:val="none"/>
          <w:lang w:val="en-US" w:eastAsia="zh-CN"/>
        </w:rPr>
        <w:t>应急管理局</w:t>
      </w:r>
    </w:p>
    <w:p>
      <w:pPr>
        <w:spacing w:line="580" w:lineRule="exact"/>
        <w:ind w:firstLine="0" w:firstLineChars="0"/>
        <w:jc w:val="center"/>
        <w:rPr>
          <w:rFonts w:hint="default" w:ascii="Times New Roman" w:hAnsi="Times New Roman" w:cs="Times New Roman"/>
          <w:color w:val="auto"/>
          <w:sz w:val="44"/>
          <w:szCs w:val="44"/>
          <w:highlight w:val="none"/>
        </w:rPr>
      </w:pPr>
      <w:bookmarkStart w:id="0" w:name="_Toc28628"/>
      <w:r>
        <w:rPr>
          <w:rFonts w:hint="default" w:ascii="Times New Roman" w:hAnsi="Times New Roman" w:eastAsia="方正小标宋简体" w:cs="Times New Roman"/>
          <w:b/>
          <w:bCs/>
          <w:color w:val="auto"/>
          <w:sz w:val="44"/>
          <w:szCs w:val="44"/>
          <w:highlight w:val="none"/>
        </w:rPr>
        <w:t>财政项目支出绩效评价报告</w:t>
      </w:r>
      <w:bookmarkEnd w:id="0"/>
    </w:p>
    <w:p>
      <w:pPr>
        <w:spacing w:line="580" w:lineRule="exact"/>
        <w:ind w:firstLine="0" w:firstLineChars="0"/>
        <w:jc w:val="center"/>
        <w:rPr>
          <w:rFonts w:hint="default" w:ascii="Times New Roman" w:hAnsi="Times New Roman" w:eastAsia="楷体_GB2312" w:cs="Times New Roman"/>
          <w:color w:val="auto"/>
          <w:szCs w:val="32"/>
          <w:highlight w:val="none"/>
          <w:lang w:eastAsia="zh-Hans"/>
        </w:rPr>
      </w:pPr>
      <w:r>
        <w:rPr>
          <w:rFonts w:hint="default" w:ascii="Times New Roman" w:hAnsi="Times New Roman" w:eastAsia="楷体_GB2312" w:cs="Times New Roman"/>
          <w:b/>
          <w:bCs/>
          <w:color w:val="auto"/>
          <w:szCs w:val="32"/>
          <w:highlight w:val="none"/>
          <w:lang w:eastAsia="zh-Hans"/>
        </w:rPr>
        <w:t>（</w:t>
      </w:r>
      <w:r>
        <w:rPr>
          <w:rFonts w:hint="default" w:ascii="Times New Roman" w:hAnsi="Times New Roman" w:eastAsia="楷体_GB2312" w:cs="Times New Roman"/>
          <w:b/>
          <w:color w:val="auto"/>
          <w:spacing w:val="-2"/>
          <w:highlight w:val="none"/>
        </w:rPr>
        <w:t>安全生产专项经费</w:t>
      </w:r>
      <w:r>
        <w:rPr>
          <w:rFonts w:hint="default" w:ascii="Times New Roman" w:hAnsi="Times New Roman" w:eastAsia="楷体_GB2312" w:cs="Times New Roman"/>
          <w:b/>
          <w:bCs/>
          <w:color w:val="auto"/>
          <w:szCs w:val="32"/>
          <w:highlight w:val="none"/>
          <w:lang w:eastAsia="zh-Hans"/>
        </w:rPr>
        <w:t>）</w:t>
      </w:r>
    </w:p>
    <w:p>
      <w:pPr>
        <w:spacing w:line="580" w:lineRule="exact"/>
        <w:ind w:firstLine="640"/>
        <w:rPr>
          <w:rFonts w:hint="default" w:ascii="Times New Roman" w:hAnsi="Times New Roman" w:cs="Times New Roman"/>
          <w:color w:val="auto"/>
          <w:szCs w:val="32"/>
          <w:highlight w:val="none"/>
        </w:rPr>
      </w:pP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为强化部门整体支出预算执行力度，深化责任主体绩效管理意识，优化财政资源配置，提升公共服务质量，贯彻落实《中共中央 国务院关于全面实施预算绩效管理的意见》（中发〔2018〕34号）、《中共四川省委 四川省人民政府关于全面实施预算绩效管理的实施意见》（川委发〔2019〕8号）</w:t>
      </w:r>
      <w:r>
        <w:rPr>
          <w:rFonts w:hint="default" w:ascii="Times New Roman" w:hAnsi="Times New Roman" w:cs="Times New Roman"/>
          <w:color w:val="auto"/>
          <w:szCs w:val="32"/>
          <w:highlight w:val="none"/>
          <w:lang w:eastAsia="zh-Hans"/>
        </w:rPr>
        <w:t>、《中共四川省委办公厅 四川省人民政府办公厅关于深入实施预算绩效管理的通知》（川委厅〔2022〕5号）等</w:t>
      </w:r>
      <w:r>
        <w:rPr>
          <w:rFonts w:hint="default" w:ascii="Times New Roman" w:hAnsi="Times New Roman" w:cs="Times New Roman"/>
          <w:color w:val="auto"/>
          <w:szCs w:val="32"/>
          <w:highlight w:val="none"/>
        </w:rPr>
        <w:t>文件精神，根据《项目支出绩效评价管理办法》（财预〔2020〕10号）规定，按照《德阳市罗江区财政局关于开展202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年重点绩效评价工作的通知》（</w:t>
      </w:r>
      <w:r>
        <w:rPr>
          <w:rFonts w:hint="default"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）的要求，进一步完善项目预算绩效管理，强化支出责任，提高财政资金使用效益，</w:t>
      </w:r>
      <w:r>
        <w:rPr>
          <w:rFonts w:hint="default" w:ascii="Times New Roman" w:hAnsi="Times New Roman" w:cs="Times New Roman"/>
          <w:color w:val="auto"/>
          <w:szCs w:val="32"/>
          <w:highlight w:val="none"/>
          <w:lang w:eastAsia="zh-CN"/>
        </w:rPr>
        <w:t>四川瑞政商业管理有限公司</w:t>
      </w:r>
      <w:r>
        <w:rPr>
          <w:rFonts w:hint="default" w:ascii="Times New Roman" w:hAnsi="Times New Roman" w:cs="Times New Roman"/>
          <w:color w:val="auto"/>
          <w:szCs w:val="32"/>
          <w:highlight w:val="none"/>
        </w:rPr>
        <w:t>接受</w:t>
      </w:r>
      <w:r>
        <w:rPr>
          <w:rFonts w:hint="default" w:ascii="Times New Roman" w:hAnsi="Times New Roman" w:cs="Times New Roman"/>
          <w:color w:val="auto"/>
          <w:szCs w:val="32"/>
          <w:highlight w:val="none"/>
          <w:lang w:eastAsia="zh-CN"/>
        </w:rPr>
        <w:t>德阳市罗江区财政局</w:t>
      </w:r>
      <w:r>
        <w:rPr>
          <w:rFonts w:hint="default" w:ascii="Times New Roman" w:hAnsi="Times New Roman" w:cs="Times New Roman"/>
          <w:color w:val="auto"/>
          <w:szCs w:val="32"/>
          <w:highlight w:val="none"/>
        </w:rPr>
        <w:t>的委托，对德阳市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202</w:t>
      </w:r>
      <w:r>
        <w:rPr>
          <w:rFonts w:hint="default" w:ascii="Times New Roman" w:hAnsi="Times New Roman" w:cs="Times New Roman"/>
          <w:color w:val="auto"/>
          <w:szCs w:val="32"/>
          <w:highlight w:val="none"/>
          <w:lang w:val="en-US" w:eastAsia="zh-CN"/>
        </w:rPr>
        <w:t>2</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安全生产专项经费</w:t>
      </w:r>
      <w:r>
        <w:rPr>
          <w:rFonts w:hint="eastAsia" w:ascii="Times New Roman" w:hAnsi="Times New Roman" w:cs="Times New Roman"/>
          <w:color w:val="auto"/>
          <w:szCs w:val="32"/>
          <w:highlight w:val="none"/>
          <w:lang w:eastAsia="zh-CN"/>
        </w:rPr>
        <w:t>”</w:t>
      </w:r>
      <w:r>
        <w:rPr>
          <w:rFonts w:hint="eastAsia" w:ascii="Times New Roman" w:hAnsi="Times New Roman" w:cs="Times New Roman"/>
          <w:color w:val="auto"/>
          <w:szCs w:val="32"/>
          <w:highlight w:val="none"/>
          <w:lang w:val="en-US" w:eastAsia="zh-CN"/>
        </w:rPr>
        <w:t>项目</w:t>
      </w:r>
      <w:r>
        <w:rPr>
          <w:rFonts w:hint="default" w:ascii="Times New Roman" w:hAnsi="Times New Roman" w:cs="Times New Roman"/>
          <w:color w:val="auto"/>
          <w:szCs w:val="32"/>
          <w:highlight w:val="none"/>
        </w:rPr>
        <w:t>开展</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独立、客观、公正</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的第三方绩效评价工作。</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评价小组按照既定的评价方案和程序，对通过问卷调查、访谈、专家咨询、现场核查等方式获取的数据资料进行了综合分析，现出具以下评价意见。</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sectPr>
          <w:footerReference r:id="rId11" w:type="default"/>
          <w:pgSz w:w="11906" w:h="16838"/>
          <w:pgMar w:top="2098" w:right="1474" w:bottom="1928" w:left="1587" w:header="851" w:footer="992" w:gutter="0"/>
          <w:pgNumType w:start="1"/>
          <w:cols w:space="425" w:num="1"/>
          <w:docGrid w:type="lines" w:linePitch="312" w:charSpace="0"/>
        </w:sectPr>
      </w:pPr>
    </w:p>
    <w:p>
      <w:pPr>
        <w:pStyle w:val="2"/>
        <w:pageBreakBefore w:val="0"/>
        <w:widowControl w:val="0"/>
        <w:kinsoku/>
        <w:wordWrap/>
        <w:overflowPunct/>
        <w:topLinePunct w:val="0"/>
        <w:autoSpaceDE/>
        <w:autoSpaceDN/>
        <w:bidi w:val="0"/>
        <w:adjustRightInd/>
        <w:snapToGrid/>
        <w:spacing w:before="0" w:after="0" w:line="580" w:lineRule="atLeast"/>
        <w:ind w:firstLine="640"/>
        <w:textAlignment w:val="auto"/>
        <w:rPr>
          <w:rFonts w:hint="default" w:ascii="Times New Roman" w:hAnsi="Times New Roman" w:eastAsia="黑体" w:cs="Times New Roman"/>
          <w:b w:val="0"/>
          <w:bCs/>
          <w:color w:val="auto"/>
          <w:sz w:val="32"/>
          <w:szCs w:val="20"/>
          <w:highlight w:val="none"/>
        </w:rPr>
      </w:pPr>
      <w:bookmarkStart w:id="1" w:name="_Toc11110"/>
      <w:bookmarkStart w:id="2" w:name="_Toc8075"/>
      <w:r>
        <w:rPr>
          <w:rFonts w:hint="default" w:ascii="Times New Roman" w:hAnsi="Times New Roman" w:eastAsia="黑体" w:cs="Times New Roman"/>
          <w:b w:val="0"/>
          <w:bCs/>
          <w:color w:val="auto"/>
          <w:sz w:val="32"/>
          <w:szCs w:val="20"/>
          <w:highlight w:val="none"/>
        </w:rPr>
        <w:t>一、基本情况</w:t>
      </w:r>
      <w:bookmarkEnd w:id="1"/>
      <w:bookmarkEnd w:id="2"/>
    </w:p>
    <w:p>
      <w:pPr>
        <w:pStyle w:val="3"/>
        <w:pageBreakBefore w:val="0"/>
        <w:widowControl w:val="0"/>
        <w:kinsoku/>
        <w:wordWrap/>
        <w:overflowPunct/>
        <w:topLinePunct w:val="0"/>
        <w:autoSpaceDE/>
        <w:autoSpaceDN/>
        <w:bidi w:val="0"/>
        <w:adjustRightInd/>
        <w:snapToGrid/>
        <w:spacing w:beforeAutospacing="0" w:afterAutospacing="0" w:line="580" w:lineRule="atLeast"/>
        <w:ind w:firstLine="643"/>
        <w:jc w:val="both"/>
        <w:textAlignment w:val="auto"/>
        <w:rPr>
          <w:rFonts w:hint="default" w:ascii="Times New Roman" w:hAnsi="Times New Roman" w:eastAsia="楷体_GB2312" w:cs="Times New Roman"/>
          <w:color w:val="auto"/>
          <w:sz w:val="32"/>
          <w:szCs w:val="32"/>
          <w:highlight w:val="none"/>
        </w:rPr>
      </w:pPr>
      <w:bookmarkStart w:id="3" w:name="_Toc12852"/>
      <w:bookmarkStart w:id="4" w:name="_Toc22142"/>
      <w:r>
        <w:rPr>
          <w:rFonts w:hint="default" w:ascii="Times New Roman" w:hAnsi="Times New Roman" w:eastAsia="楷体_GB2312" w:cs="Times New Roman"/>
          <w:color w:val="auto"/>
          <w:sz w:val="32"/>
          <w:szCs w:val="32"/>
          <w:highlight w:val="none"/>
        </w:rPr>
        <w:t>（一）项目背景及依据</w:t>
      </w:r>
      <w:bookmarkEnd w:id="3"/>
      <w:bookmarkEnd w:id="4"/>
    </w:p>
    <w:p>
      <w:pPr>
        <w:pStyle w:val="4"/>
        <w:pageBreakBefore w:val="0"/>
        <w:widowControl w:val="0"/>
        <w:kinsoku/>
        <w:wordWrap/>
        <w:overflowPunct/>
        <w:topLinePunct w:val="0"/>
        <w:autoSpaceDE/>
        <w:autoSpaceDN/>
        <w:bidi w:val="0"/>
        <w:adjustRightInd/>
        <w:snapToGrid/>
        <w:spacing w:before="0" w:after="0" w:line="580" w:lineRule="atLeast"/>
        <w:ind w:firstLine="643"/>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1.项目背景</w:t>
      </w:r>
    </w:p>
    <w:p>
      <w:pPr>
        <w:pStyle w:val="6"/>
        <w:pageBreakBefore w:val="0"/>
        <w:widowControl w:val="0"/>
        <w:kinsoku/>
        <w:wordWrap/>
        <w:overflowPunct/>
        <w:topLinePunct w:val="0"/>
        <w:autoSpaceDE/>
        <w:autoSpaceDN/>
        <w:bidi w:val="0"/>
        <w:adjustRightInd/>
        <w:snapToGrid/>
        <w:spacing w:after="0" w:line="580" w:lineRule="atLeast"/>
        <w:ind w:right="0" w:firstLine="64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《中华人民共和国安全生产法》的第二十一条规定，生产经营单位的主要负责人对本单位安全生产工作负有下列职责：建立健全并落实本单位全员安全生产责任制，加强安全生产标准化建设</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组织制定并实施本单位安全生产规章制度和操作规程</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组织制定并实施本单位安全生产教育和培训</w:t>
      </w:r>
      <w:r>
        <w:rPr>
          <w:rFonts w:hint="eastAsia" w:ascii="Times New Roman" w:hAnsi="Times New Roman" w:cs="Times New Roman"/>
          <w:color w:val="auto"/>
          <w:highlight w:val="none"/>
          <w:lang w:val="en-US" w:eastAsia="zh-CN"/>
        </w:rPr>
        <w:t>计划</w:t>
      </w:r>
      <w:r>
        <w:rPr>
          <w:rFonts w:hint="default" w:ascii="Times New Roman" w:hAnsi="Times New Roman" w:cs="Times New Roman"/>
          <w:color w:val="auto"/>
          <w:highlight w:val="none"/>
          <w:lang w:val="en-US" w:eastAsia="zh-CN"/>
        </w:rPr>
        <w:t>规程</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保证本单位安全生产投入的有效实施</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组织建立并落实安全风险分级管控和隐患排查治理双重预防工作机制，督促、检查本单位的安全生产工作，及时消除生产安全事故隐患</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组织制定并实施本单位的生产安全事故应急救援预案</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及时、如实报告生产安全事故。</w:t>
      </w:r>
    </w:p>
    <w:p>
      <w:pPr>
        <w:pStyle w:val="6"/>
        <w:pageBreakBefore w:val="0"/>
        <w:widowControl w:val="0"/>
        <w:kinsoku/>
        <w:wordWrap/>
        <w:overflowPunct/>
        <w:topLinePunct w:val="0"/>
        <w:autoSpaceDE/>
        <w:autoSpaceDN/>
        <w:bidi w:val="0"/>
        <w:adjustRightInd/>
        <w:snapToGrid/>
        <w:spacing w:after="0" w:line="580" w:lineRule="atLeast"/>
        <w:ind w:right="0" w:firstLine="640"/>
        <w:textAlignment w:val="auto"/>
        <w:rPr>
          <w:rFonts w:hint="eastAsia"/>
          <w:lang w:val="en-US" w:eastAsia="zh-CN"/>
        </w:rPr>
      </w:pPr>
      <w:r>
        <w:rPr>
          <w:rFonts w:hint="default" w:ascii="Times New Roman" w:hAnsi="Times New Roman" w:eastAsia="仿宋_GB2312" w:cs="Times New Roman"/>
          <w:color w:val="auto"/>
          <w:highlight w:val="none"/>
        </w:rPr>
        <w:t>为进一步深入开展安全生产工作</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切实防范各类事故发生</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促进安全生产形势的不断好转</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德阳市罗江</w:t>
      </w:r>
      <w:r>
        <w:rPr>
          <w:rFonts w:hint="default" w:ascii="Times New Roman" w:hAnsi="Times New Roman" w:eastAsia="仿宋_GB2312" w:cs="Times New Roman"/>
          <w:color w:val="auto"/>
          <w:highlight w:val="none"/>
        </w:rPr>
        <w:t>区应急管理局需要从安全生产实际出发</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设立</w:t>
      </w:r>
      <w:r>
        <w:rPr>
          <w:rFonts w:hint="eastAsia" w:ascii="Times New Roman" w:hAnsi="Times New Roman" w:cs="Times New Roman"/>
          <w:color w:val="auto"/>
          <w:highlight w:val="none"/>
          <w:lang w:eastAsia="zh-CN"/>
        </w:rPr>
        <w:t>“</w:t>
      </w:r>
      <w:r>
        <w:rPr>
          <w:rFonts w:hint="default" w:ascii="Times New Roman" w:hAnsi="Times New Roman" w:eastAsia="仿宋_GB2312" w:cs="Times New Roman"/>
          <w:color w:val="auto"/>
          <w:highlight w:val="none"/>
        </w:rPr>
        <w:t>安全生产专项经费</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用于</w:t>
      </w:r>
      <w:r>
        <w:rPr>
          <w:rFonts w:hint="default" w:ascii="Times New Roman" w:hAnsi="Times New Roman" w:cs="Times New Roman"/>
          <w:color w:val="auto"/>
          <w:highlight w:val="none"/>
          <w:lang w:val="en-US" w:eastAsia="zh-CN"/>
        </w:rPr>
        <w:t>提升</w:t>
      </w:r>
      <w:r>
        <w:rPr>
          <w:rFonts w:hint="default" w:ascii="Times New Roman" w:hAnsi="Times New Roman" w:cs="Times New Roman"/>
          <w:b w:val="0"/>
          <w:bCs/>
          <w:color w:val="auto"/>
          <w:sz w:val="32"/>
          <w:szCs w:val="32"/>
          <w:highlight w:val="none"/>
          <w:lang w:val="en-US" w:eastAsia="zh-CN"/>
        </w:rPr>
        <w:t>安全执法能力，对所有生产经营企业开展执法、宣传、督查；全年至少开展2次综合应急救援演练，开展演练相关宣传费用、展板制作费用、演练所需器材及耗材等费用。</w:t>
      </w:r>
      <w:r>
        <w:rPr>
          <w:rFonts w:hint="default" w:ascii="Times New Roman" w:hAnsi="Times New Roman" w:cs="Times New Roman"/>
          <w:color w:val="auto"/>
          <w:szCs w:val="32"/>
          <w:highlight w:val="none"/>
          <w:lang w:val="en-US" w:eastAsia="zh-CN"/>
        </w:rPr>
        <w:t>完成</w:t>
      </w:r>
      <w:r>
        <w:rPr>
          <w:rFonts w:hint="default" w:ascii="Times New Roman" w:hAnsi="Times New Roman" w:cs="Times New Roman"/>
          <w:color w:val="auto"/>
          <w:highlight w:val="none"/>
        </w:rPr>
        <w:t>安全监管执法能力提升</w:t>
      </w:r>
      <w:r>
        <w:rPr>
          <w:rFonts w:hint="default" w:ascii="Times New Roman" w:hAnsi="Times New Roman" w:cs="Times New Roman"/>
          <w:color w:val="auto"/>
          <w:highlight w:val="none"/>
          <w:lang w:val="en-US" w:eastAsia="zh-CN"/>
        </w:rPr>
        <w:t>服务，</w:t>
      </w:r>
      <w:r>
        <w:rPr>
          <w:rFonts w:hint="default" w:ascii="Times New Roman" w:hAnsi="Times New Roman" w:cs="Times New Roman"/>
          <w:color w:val="auto"/>
          <w:highlight w:val="none"/>
        </w:rPr>
        <w:t>有效提高执法</w:t>
      </w:r>
      <w:r>
        <w:rPr>
          <w:rFonts w:hint="default" w:ascii="Times New Roman" w:hAnsi="Times New Roman" w:cs="Times New Roman"/>
          <w:color w:val="auto"/>
          <w:highlight w:val="none"/>
          <w:lang w:val="en-US" w:eastAsia="zh-CN"/>
        </w:rPr>
        <w:t>效率。</w:t>
      </w:r>
      <w:r>
        <w:rPr>
          <w:rFonts w:hint="eastAsia"/>
          <w:lang w:val="en-US" w:eastAsia="zh-CN"/>
        </w:rPr>
        <w:t>区应急管理局职能职责要求包括：</w:t>
      </w:r>
    </w:p>
    <w:p>
      <w:pPr>
        <w:pStyle w:val="6"/>
        <w:pageBreakBefore w:val="0"/>
        <w:widowControl w:val="0"/>
        <w:kinsoku/>
        <w:wordWrap/>
        <w:overflowPunct/>
        <w:topLinePunct w:val="0"/>
        <w:autoSpaceDE/>
        <w:autoSpaceDN/>
        <w:bidi w:val="0"/>
        <w:adjustRightInd/>
        <w:snapToGrid/>
        <w:spacing w:after="0" w:line="580" w:lineRule="atLeast"/>
        <w:ind w:right="0" w:firstLine="640"/>
        <w:textAlignment w:val="auto"/>
        <w:rPr>
          <w:rFonts w:hint="default"/>
          <w:lang w:val="en-US" w:eastAsia="zh-CN"/>
        </w:rPr>
      </w:pPr>
      <w:r>
        <w:rPr>
          <w:rFonts w:hint="eastAsia"/>
          <w:lang w:val="en-US" w:eastAsia="zh-CN"/>
        </w:rPr>
        <w:t>组织、指导、协调全区安全生产类、自然灾害类等突发事件应急救援，承担应对一般灾害指挥部工作，综合研判突发事件发展态势并提出应对建议，协助上级处置较大及以上灾害应急处置工作；</w:t>
      </w:r>
      <w:r>
        <w:rPr>
          <w:rFonts w:hint="default"/>
          <w:lang w:val="en-US" w:eastAsia="zh-CN"/>
        </w:rPr>
        <w:t>统一协调指挥全区各类应急专业队伍，建立应急协调联动机制，推进指挥平台对接，提请衔接驻地武警部队、民兵参与应急救援工作</w:t>
      </w:r>
      <w:r>
        <w:rPr>
          <w:rFonts w:hint="eastAsia"/>
          <w:lang w:val="en-US" w:eastAsia="zh-CN"/>
        </w:rPr>
        <w:t>；</w:t>
      </w:r>
      <w:r>
        <w:rPr>
          <w:rFonts w:hint="default"/>
          <w:lang w:val="en-US" w:eastAsia="zh-CN"/>
        </w:rPr>
        <w:t>按照国家相关政策和规定负责全区消防、森林火灾扑救、抗洪抢险、地震和地质灾害救援、生产安全事故救援等专业应急救援力量建设，依法依规统筹指导各镇及社会应急救援力量建设和应急保障能力建设</w:t>
      </w:r>
      <w:r>
        <w:rPr>
          <w:rFonts w:hint="eastAsia"/>
          <w:lang w:val="en-US" w:eastAsia="zh-CN"/>
        </w:rPr>
        <w:t>等内容。设立“安全生产专项资金”项目也符合区应急管理局的职能职责要求，</w:t>
      </w:r>
    </w:p>
    <w:p>
      <w:pPr>
        <w:pStyle w:val="6"/>
        <w:pageBreakBefore w:val="0"/>
        <w:widowControl w:val="0"/>
        <w:kinsoku/>
        <w:wordWrap/>
        <w:overflowPunct/>
        <w:topLinePunct w:val="0"/>
        <w:autoSpaceDE/>
        <w:autoSpaceDN/>
        <w:bidi w:val="0"/>
        <w:adjustRightInd/>
        <w:snapToGrid/>
        <w:spacing w:after="0" w:line="580" w:lineRule="atLeast"/>
        <w:ind w:right="0" w:firstLine="640"/>
        <w:textAlignment w:val="auto"/>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为了进一步贯彻落实国家安全监管总局《关于印发2011年安全生产宣传工作要点的通知》（安监总政法</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highlight w:val="none"/>
          <w:lang w:val="en-US" w:eastAsia="zh-CN"/>
        </w:rPr>
        <w:t>2011</w:t>
      </w:r>
      <w:r>
        <w:rPr>
          <w:rFonts w:hint="default" w:ascii="Times New Roman" w:hAnsi="Times New Roman" w:cs="Times New Roman"/>
          <w:color w:val="auto"/>
          <w:sz w:val="32"/>
          <w:szCs w:val="32"/>
          <w:highlight w:val="none"/>
        </w:rPr>
        <w:t>〕</w:t>
      </w:r>
      <w:r>
        <w:rPr>
          <w:rFonts w:hint="default" w:ascii="Times New Roman" w:hAnsi="Times New Roman" w:cs="Times New Roman"/>
          <w:color w:val="auto"/>
          <w:highlight w:val="none"/>
          <w:lang w:val="en-US" w:eastAsia="zh-CN"/>
        </w:rPr>
        <w:t>29号）</w:t>
      </w:r>
      <w:r>
        <w:rPr>
          <w:rFonts w:hint="eastAsia" w:ascii="Times New Roman" w:hAnsi="Times New Roman" w:cs="Times New Roman"/>
          <w:color w:val="auto"/>
          <w:highlight w:val="none"/>
          <w:lang w:val="en-US" w:eastAsia="zh-CN"/>
        </w:rPr>
        <w:t>文件要求，</w:t>
      </w:r>
      <w:r>
        <w:rPr>
          <w:rFonts w:hint="eastAsia" w:ascii="仿宋_GB2312" w:hAnsi="仿宋_GB2312" w:cs="仿宋_GB2312"/>
          <w:color w:val="auto"/>
          <w:spacing w:val="-4"/>
          <w:sz w:val="32"/>
          <w:szCs w:val="32"/>
          <w:highlight w:val="none"/>
        </w:rPr>
        <w:t>德阳市罗江区人民政府办公室</w:t>
      </w:r>
      <w:r>
        <w:rPr>
          <w:rFonts w:hint="eastAsia" w:ascii="仿宋_GB2312" w:hAnsi="仿宋_GB2312" w:cs="仿宋_GB2312"/>
          <w:color w:val="auto"/>
          <w:spacing w:val="-4"/>
          <w:sz w:val="32"/>
          <w:szCs w:val="32"/>
          <w:highlight w:val="none"/>
          <w:lang w:val="en-US" w:eastAsia="zh-CN"/>
        </w:rPr>
        <w:t>印发了</w:t>
      </w:r>
      <w:r>
        <w:rPr>
          <w:rFonts w:hint="eastAsia" w:ascii="Times New Roman" w:hAnsi="Times New Roman" w:cs="Times New Roman"/>
          <w:color w:val="auto"/>
          <w:szCs w:val="32"/>
          <w:highlight w:val="none"/>
          <w:lang w:eastAsia="zh-CN"/>
        </w:rPr>
        <w:t>《</w:t>
      </w:r>
      <w:r>
        <w:rPr>
          <w:rFonts w:hint="eastAsia" w:ascii="仿宋_GB2312" w:hAnsi="仿宋_GB2312" w:cs="仿宋_GB2312"/>
          <w:color w:val="auto"/>
          <w:spacing w:val="-4"/>
          <w:sz w:val="32"/>
          <w:szCs w:val="32"/>
          <w:highlight w:val="none"/>
        </w:rPr>
        <w:t>德阳市罗江区人民政府办公室关于印发</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德阳市罗江区</w:t>
      </w:r>
      <w:r>
        <w:rPr>
          <w:rFonts w:hint="eastAsia" w:ascii="仿宋_GB2312" w:hAnsi="仿宋_GB2312" w:cs="仿宋_GB2312"/>
          <w:color w:val="auto"/>
          <w:spacing w:val="-4"/>
          <w:sz w:val="32"/>
          <w:szCs w:val="32"/>
          <w:highlight w:val="none"/>
          <w:lang w:eastAsia="zh-CN"/>
        </w:rPr>
        <w:t>2022年</w:t>
      </w:r>
      <w:r>
        <w:rPr>
          <w:rFonts w:hint="eastAsia" w:ascii="仿宋_GB2312" w:hAnsi="仿宋_GB2312" w:cs="仿宋_GB2312"/>
          <w:color w:val="auto"/>
          <w:spacing w:val="-4"/>
          <w:sz w:val="32"/>
          <w:szCs w:val="32"/>
          <w:highlight w:val="none"/>
        </w:rPr>
        <w:t>政府购买</w:t>
      </w:r>
      <w:r>
        <w:rPr>
          <w:rFonts w:hint="eastAsia" w:ascii="仿宋_GB2312" w:hAnsi="仿宋_GB2312" w:cs="仿宋_GB2312"/>
          <w:color w:val="auto"/>
          <w:spacing w:val="-4"/>
          <w:sz w:val="32"/>
          <w:szCs w:val="32"/>
          <w:highlight w:val="none"/>
          <w:lang w:eastAsia="zh-CN"/>
        </w:rPr>
        <w:t>安全生产专项经费</w:t>
      </w:r>
      <w:r>
        <w:rPr>
          <w:rFonts w:hint="eastAsia" w:ascii="仿宋_GB2312" w:hAnsi="仿宋_GB2312" w:cs="仿宋_GB2312"/>
          <w:color w:val="auto"/>
          <w:spacing w:val="-4"/>
          <w:sz w:val="32"/>
          <w:szCs w:val="32"/>
          <w:highlight w:val="none"/>
        </w:rPr>
        <w:t>实施方案</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的通知</w:t>
      </w:r>
      <w:r>
        <w:rPr>
          <w:rFonts w:hint="eastAsia" w:ascii="仿宋_GB2312" w:hAnsi="仿宋_GB2312" w:cs="仿宋_GB2312"/>
          <w:color w:val="auto"/>
          <w:spacing w:val="-4"/>
          <w:sz w:val="32"/>
          <w:szCs w:val="32"/>
          <w:highlight w:val="none"/>
          <w:lang w:eastAsia="zh-CN"/>
        </w:rPr>
        <w:t>》</w:t>
      </w:r>
      <w:r>
        <w:rPr>
          <w:rFonts w:hint="eastAsia" w:ascii="仿宋_GB2312" w:hAnsi="仿宋_GB2312" w:cs="仿宋_GB2312"/>
          <w:color w:val="auto"/>
          <w:spacing w:val="-4"/>
          <w:sz w:val="32"/>
          <w:szCs w:val="32"/>
          <w:highlight w:val="none"/>
        </w:rPr>
        <w:t>（</w:t>
      </w:r>
      <w:r>
        <w:rPr>
          <w:rFonts w:hint="eastAsia" w:ascii="仿宋_GB2312" w:hAnsi="仿宋_GB2312" w:cs="仿宋_GB2312"/>
          <w:color w:val="auto"/>
          <w:sz w:val="32"/>
          <w:szCs w:val="32"/>
          <w:highlight w:val="none"/>
        </w:rPr>
        <w:t>德市罗府办发〔2021〕22号）</w:t>
      </w:r>
      <w:r>
        <w:rPr>
          <w:rFonts w:hint="default" w:ascii="Times New Roman" w:hAnsi="Times New Roman" w:cs="Times New Roman"/>
          <w:color w:val="auto"/>
          <w:highlight w:val="none"/>
          <w:lang w:val="en-US" w:eastAsia="zh-CN"/>
        </w:rPr>
        <w:t>，</w:t>
      </w:r>
      <w:r>
        <w:rPr>
          <w:rFonts w:hint="eastAsia" w:ascii="Times New Roman" w:hAnsi="Times New Roman" w:cs="Times New Roman"/>
          <w:color w:val="auto"/>
          <w:highlight w:val="none"/>
          <w:lang w:val="en-US" w:eastAsia="zh-CN"/>
        </w:rPr>
        <w:t>要求</w:t>
      </w:r>
      <w:r>
        <w:rPr>
          <w:rFonts w:hint="default" w:ascii="Times New Roman" w:hAnsi="Times New Roman" w:cs="Times New Roman"/>
          <w:color w:val="auto"/>
          <w:highlight w:val="none"/>
          <w:lang w:val="en-US" w:eastAsia="zh-CN"/>
        </w:rPr>
        <w:t>加强安全生产宣传工作，夯实安全生产</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双基</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工作，</w:t>
      </w:r>
      <w:r>
        <w:rPr>
          <w:rFonts w:hint="eastAsia" w:ascii="Times New Roman" w:hAnsi="Times New Roman" w:cs="Times New Roman"/>
          <w:color w:val="auto"/>
          <w:highlight w:val="none"/>
          <w:lang w:val="en-US" w:eastAsia="zh-CN"/>
        </w:rPr>
        <w:t>增强</w:t>
      </w:r>
      <w:r>
        <w:rPr>
          <w:rFonts w:hint="default" w:ascii="Times New Roman" w:hAnsi="Times New Roman" w:cs="Times New Roman"/>
          <w:color w:val="auto"/>
          <w:highlight w:val="none"/>
          <w:lang w:val="en-US" w:eastAsia="zh-CN"/>
        </w:rPr>
        <w:t>市民安全生产意识，促全区安全生产形势稳定好转，德阳市罗江区应急管理局决定继续深入开展</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安全生产集中宣传活动</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、聘请专家开展安全生产督导检查劳务费等安全生产专项资金，对于提高应急局安全生产宣传覆盖率，提升从业人员安全技能，加强安全基础工作，保障全区安全生产形势，将发挥出至关重要的作用</w:t>
      </w:r>
      <w:r>
        <w:rPr>
          <w:rFonts w:hint="default" w:ascii="Times New Roman" w:hAnsi="Times New Roman" w:eastAsia="仿宋_GB2312" w:cs="Times New Roman"/>
          <w:color w:val="auto"/>
          <w:highlight w:val="none"/>
        </w:rPr>
        <w:t>。</w:t>
      </w:r>
    </w:p>
    <w:p>
      <w:pPr>
        <w:pStyle w:val="6"/>
        <w:pageBreakBefore w:val="0"/>
        <w:widowControl w:val="0"/>
        <w:kinsoku/>
        <w:wordWrap/>
        <w:overflowPunct/>
        <w:topLinePunct w:val="0"/>
        <w:autoSpaceDE/>
        <w:autoSpaceDN/>
        <w:bidi w:val="0"/>
        <w:adjustRightInd/>
        <w:snapToGrid/>
        <w:spacing w:after="0" w:line="580" w:lineRule="atLeast"/>
        <w:ind w:right="0" w:firstLine="640"/>
        <w:textAlignment w:val="auto"/>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2.立项依据</w:t>
      </w:r>
    </w:p>
    <w:p>
      <w:pPr>
        <w:spacing w:line="580" w:lineRule="exact"/>
        <w:ind w:firstLine="640"/>
        <w:rPr>
          <w:rFonts w:hint="default" w:ascii="Times New Roman" w:hAnsi="Times New Roman" w:cs="Times New Roman"/>
          <w:color w:val="auto"/>
          <w:szCs w:val="40"/>
          <w:highlight w:val="none"/>
        </w:rPr>
      </w:pPr>
      <w:r>
        <w:rPr>
          <w:rFonts w:hint="default" w:ascii="Times New Roman" w:hAnsi="Times New Roman" w:cs="Times New Roman"/>
          <w:color w:val="auto"/>
          <w:szCs w:val="40"/>
          <w:highlight w:val="none"/>
        </w:rPr>
        <w:t>评价小组结合德阳市罗江区</w:t>
      </w:r>
      <w:r>
        <w:rPr>
          <w:rFonts w:hint="default" w:ascii="Times New Roman" w:hAnsi="Times New Roman" w:cs="Times New Roman"/>
          <w:color w:val="auto"/>
          <w:szCs w:val="40"/>
          <w:highlight w:val="none"/>
          <w:lang w:val="en-US" w:eastAsia="zh-CN"/>
        </w:rPr>
        <w:t>应急管理局</w:t>
      </w:r>
      <w:r>
        <w:rPr>
          <w:rFonts w:hint="default" w:ascii="Times New Roman" w:hAnsi="Times New Roman" w:cs="Times New Roman"/>
          <w:color w:val="auto"/>
          <w:szCs w:val="40"/>
          <w:highlight w:val="none"/>
        </w:rPr>
        <w:t>职能职责，对项目单位提供的工作通知、工作计划等项目相关立项依据资料进行了收集、整理和分析，符合本项目特征和管理要求的立项依据如下：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表1-1 项目立项依据清单</w:t>
      </w:r>
    </w:p>
    <w:tbl>
      <w:tblPr>
        <w:tblStyle w:val="15"/>
        <w:tblW w:w="8875" w:type="dxa"/>
        <w:tblInd w:w="0" w:type="dxa"/>
        <w:tblLayout w:type="fixed"/>
        <w:tblCellMar>
          <w:top w:w="0" w:type="dxa"/>
          <w:left w:w="0" w:type="dxa"/>
          <w:bottom w:w="0" w:type="dxa"/>
          <w:right w:w="0" w:type="dxa"/>
        </w:tblCellMar>
      </w:tblPr>
      <w:tblGrid>
        <w:gridCol w:w="550"/>
        <w:gridCol w:w="8325"/>
      </w:tblGrid>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eastAsia="zh-CN"/>
              </w:rPr>
            </w:pPr>
            <w:r>
              <w:rPr>
                <w:rFonts w:hint="default" w:ascii="Times New Roman" w:hAnsi="Times New Roman" w:cs="Times New Roman"/>
                <w:color w:val="auto"/>
                <w:kern w:val="0"/>
                <w:sz w:val="24"/>
                <w:highlight w:val="none"/>
                <w:lang w:val="en-US" w:eastAsia="zh-CN" w:bidi="ar"/>
              </w:rPr>
              <w:t>1</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eastAsia="仿宋_GB2312" w:cs="Times New Roman"/>
                <w:color w:val="auto"/>
                <w:sz w:val="24"/>
                <w:szCs w:val="24"/>
                <w:highlight w:val="none"/>
                <w:lang w:val="en-US" w:eastAsia="zh-CN"/>
              </w:rPr>
              <w:t>《关于印发2011年安全生产宣传工作要点的通知》（安监总政法</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lang w:val="en-US" w:eastAsia="zh-CN"/>
              </w:rPr>
              <w:t>2011</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lang w:val="en-US" w:eastAsia="zh-CN"/>
              </w:rPr>
              <w:t>29号文）</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kern w:val="0"/>
                <w:sz w:val="24"/>
                <w:highlight w:val="none"/>
                <w:lang w:eastAsia="zh-CN" w:bidi="ar"/>
              </w:rPr>
            </w:pPr>
            <w:r>
              <w:rPr>
                <w:rFonts w:hint="default" w:ascii="Times New Roman" w:hAnsi="Times New Roman" w:cs="Times New Roman"/>
                <w:color w:val="auto"/>
                <w:kern w:val="0"/>
                <w:sz w:val="24"/>
                <w:highlight w:val="none"/>
                <w:lang w:val="en-US" w:eastAsia="zh-CN" w:bidi="ar"/>
              </w:rPr>
              <w:t>2</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eastAsia" w:ascii="Times New Roman" w:hAnsi="Times New Roman" w:cs="Times New Roman"/>
                <w:color w:val="auto"/>
                <w:spacing w:val="-4"/>
                <w:sz w:val="24"/>
                <w:highlight w:val="none"/>
                <w:lang w:eastAsia="zh-CN"/>
              </w:rPr>
              <w:t>《德阳市罗江区人民政府办公室关于印发〈德阳市罗江区2022年政府购买安全生产专项经费实施方案〉的通知》（德市罗府办发〔2021〕22号）</w:t>
            </w:r>
          </w:p>
        </w:tc>
      </w:tr>
      <w:tr>
        <w:tblPrEx>
          <w:tblCellMar>
            <w:top w:w="0" w:type="dxa"/>
            <w:left w:w="0" w:type="dxa"/>
            <w:bottom w:w="0" w:type="dxa"/>
            <w:right w:w="0" w:type="dxa"/>
          </w:tblCellMar>
        </w:tblPrEx>
        <w:trPr>
          <w:trHeight w:val="90"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kern w:val="0"/>
                <w:sz w:val="24"/>
                <w:highlight w:val="none"/>
                <w:lang w:eastAsia="zh-CN" w:bidi="ar"/>
              </w:rPr>
            </w:pPr>
            <w:r>
              <w:rPr>
                <w:rFonts w:hint="default" w:ascii="Times New Roman" w:hAnsi="Times New Roman" w:cs="Times New Roman"/>
                <w:color w:val="auto"/>
                <w:kern w:val="0"/>
                <w:sz w:val="24"/>
                <w:highlight w:val="none"/>
                <w:lang w:val="en-US" w:eastAsia="zh-CN" w:bidi="ar"/>
              </w:rPr>
              <w:t>3</w:t>
            </w:r>
          </w:p>
        </w:tc>
        <w:tc>
          <w:tcPr>
            <w:tcW w:w="83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60" w:lineRule="auto"/>
              <w:ind w:firstLine="0" w:firstLineChars="0"/>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《中华人民共和国安全生产法》（中华人民共和国主席令第13号文）</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eastAsia="zh-CN"/>
              </w:rPr>
            </w:pPr>
            <w:r>
              <w:rPr>
                <w:rFonts w:hint="default" w:ascii="Times New Roman" w:hAnsi="Times New Roman" w:cs="Times New Roman"/>
                <w:color w:val="auto"/>
                <w:sz w:val="24"/>
                <w:highlight w:val="none"/>
                <w:lang w:val="en-US" w:eastAsia="zh-CN"/>
              </w:rPr>
              <w:t>4</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cs="Times New Roman"/>
                <w:color w:val="auto"/>
                <w:sz w:val="24"/>
                <w:highlight w:val="none"/>
              </w:rPr>
            </w:pPr>
            <w:r>
              <w:rPr>
                <w:rFonts w:hint="default" w:ascii="Times New Roman" w:hAnsi="Times New Roman" w:cs="Times New Roman"/>
                <w:color w:val="auto"/>
                <w:spacing w:val="-4"/>
                <w:sz w:val="24"/>
                <w:highlight w:val="none"/>
              </w:rPr>
              <w:t>《德阳市</w:t>
            </w:r>
            <w:r>
              <w:rPr>
                <w:rFonts w:hint="default" w:ascii="Times New Roman" w:hAnsi="Times New Roman" w:cs="Times New Roman"/>
                <w:color w:val="auto"/>
                <w:spacing w:val="-4"/>
                <w:sz w:val="24"/>
                <w:highlight w:val="none"/>
                <w:lang w:eastAsia="zh-CN"/>
              </w:rPr>
              <w:t>罗江区应急管理局</w:t>
            </w:r>
            <w:r>
              <w:rPr>
                <w:rFonts w:hint="default" w:ascii="Times New Roman" w:hAnsi="Times New Roman" w:cs="Times New Roman"/>
                <w:color w:val="auto"/>
                <w:spacing w:val="-4"/>
                <w:sz w:val="24"/>
                <w:highlight w:val="none"/>
                <w:lang w:val="en-US" w:eastAsia="zh-CN"/>
              </w:rPr>
              <w:t>内控制度</w:t>
            </w:r>
            <w:r>
              <w:rPr>
                <w:rFonts w:hint="default" w:ascii="Times New Roman" w:hAnsi="Times New Roman" w:cs="Times New Roman"/>
                <w:color w:val="auto"/>
                <w:spacing w:val="-4"/>
                <w:sz w:val="24"/>
                <w:highlight w:val="none"/>
              </w:rPr>
              <w:t>》</w:t>
            </w:r>
          </w:p>
        </w:tc>
      </w:tr>
      <w:tr>
        <w:tblPrEx>
          <w:tblCellMar>
            <w:top w:w="0" w:type="dxa"/>
            <w:left w:w="0" w:type="dxa"/>
            <w:bottom w:w="0" w:type="dxa"/>
            <w:right w:w="0" w:type="dxa"/>
          </w:tblCellMar>
        </w:tblPrEx>
        <w:trPr>
          <w:trHeight w:val="285" w:hRule="atLeast"/>
        </w:trPr>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5</w:t>
            </w:r>
          </w:p>
        </w:tc>
        <w:tc>
          <w:tcPr>
            <w:tcW w:w="83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60" w:lineRule="auto"/>
              <w:ind w:firstLine="0" w:firstLineChars="0"/>
              <w:rPr>
                <w:rFonts w:hint="default" w:ascii="Times New Roman" w:hAnsi="Times New Roman" w:eastAsia="仿宋_GB2312" w:cs="Times New Roman"/>
                <w:color w:val="auto"/>
                <w:spacing w:val="-4"/>
                <w:sz w:val="24"/>
                <w:highlight w:val="none"/>
                <w:lang w:val="en-US" w:eastAsia="zh-CN"/>
              </w:rPr>
            </w:pPr>
            <w:r>
              <w:rPr>
                <w:rFonts w:hint="default" w:ascii="Times New Roman" w:hAnsi="Times New Roman" w:cs="Times New Roman"/>
                <w:color w:val="auto"/>
                <w:spacing w:val="-4"/>
                <w:sz w:val="24"/>
                <w:highlight w:val="none"/>
                <w:lang w:val="en-US" w:eastAsia="zh-CN"/>
              </w:rPr>
              <w:t>《中共德阳市罗江区委办公室 德阳市罗江区人民政府办公室关于印发（德阳市罗江区应急管理局职能职责、内设机构和人员编制规定）的通知》（德市罗委办发</w:t>
            </w:r>
            <w:r>
              <w:rPr>
                <w:rFonts w:hint="default" w:ascii="Times New Roman" w:hAnsi="Times New Roman" w:cs="Times New Roman"/>
                <w:color w:val="auto"/>
                <w:sz w:val="24"/>
                <w:highlight w:val="none"/>
              </w:rPr>
              <w:t>〔20</w:t>
            </w:r>
            <w:r>
              <w:rPr>
                <w:rFonts w:hint="default" w:ascii="Times New Roman" w:hAnsi="Times New Roman" w:cs="Times New Roman"/>
                <w:color w:val="auto"/>
                <w:sz w:val="24"/>
                <w:highlight w:val="none"/>
                <w:lang w:val="en-US" w:eastAsia="zh-CN"/>
              </w:rPr>
              <w:t>19</w:t>
            </w:r>
            <w:r>
              <w:rPr>
                <w:rFonts w:hint="default" w:ascii="Times New Roman" w:hAnsi="Times New Roman" w:cs="Times New Roman"/>
                <w:color w:val="auto"/>
                <w:sz w:val="24"/>
                <w:highlight w:val="none"/>
              </w:rPr>
              <w:t>〕</w:t>
            </w:r>
            <w:r>
              <w:rPr>
                <w:rFonts w:hint="default" w:ascii="Times New Roman" w:hAnsi="Times New Roman" w:cs="Times New Roman"/>
                <w:color w:val="auto"/>
                <w:sz w:val="24"/>
                <w:highlight w:val="none"/>
                <w:lang w:val="en-US" w:eastAsia="zh-CN"/>
              </w:rPr>
              <w:t>62</w:t>
            </w:r>
            <w:r>
              <w:rPr>
                <w:rFonts w:hint="default" w:ascii="Times New Roman" w:hAnsi="Times New Roman" w:cs="Times New Roman"/>
                <w:color w:val="auto"/>
                <w:sz w:val="24"/>
                <w:highlight w:val="none"/>
              </w:rPr>
              <w:t>号</w:t>
            </w:r>
            <w:r>
              <w:rPr>
                <w:rFonts w:hint="default" w:ascii="Times New Roman" w:hAnsi="Times New Roman" w:cs="Times New Roman"/>
                <w:color w:val="auto"/>
                <w:spacing w:val="-4"/>
                <w:sz w:val="24"/>
                <w:highlight w:val="none"/>
                <w:lang w:val="en-US" w:eastAsia="zh-CN"/>
              </w:rPr>
              <w:t>）</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5" w:name="_Toc715"/>
      <w:bookmarkStart w:id="6" w:name="_Toc16974"/>
      <w:r>
        <w:rPr>
          <w:rFonts w:hint="default" w:ascii="Times New Roman" w:hAnsi="Times New Roman" w:eastAsia="楷体_GB2312" w:cs="Times New Roman"/>
          <w:color w:val="auto"/>
          <w:sz w:val="32"/>
          <w:szCs w:val="32"/>
          <w:highlight w:val="none"/>
        </w:rPr>
        <w:t>（二）项目参与主体职能职责</w:t>
      </w:r>
      <w:bookmarkEnd w:id="5"/>
      <w:bookmarkEnd w:id="6"/>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eastAsia="宋体" w:cs="Times New Roman"/>
          <w:color w:val="auto"/>
          <w:highlight w:val="none"/>
          <w:lang w:eastAsia="zh-CN"/>
        </w:rPr>
        <w:t>2022</w:t>
      </w:r>
      <w:r>
        <w:rPr>
          <w:rFonts w:hint="default" w:ascii="Times New Roman" w:hAnsi="Times New Roman" w:cs="Times New Roman"/>
          <w:color w:val="auto"/>
          <w:highlight w:val="none"/>
        </w:rPr>
        <w:t>年德阳市</w:t>
      </w:r>
      <w:r>
        <w:rPr>
          <w:rFonts w:hint="default" w:ascii="Times New Roman" w:hAnsi="Times New Roman" w:cs="Times New Roman"/>
          <w:color w:val="auto"/>
          <w:highlight w:val="none"/>
          <w:lang w:eastAsia="zh-CN"/>
        </w:rPr>
        <w:t>罗江区应急管理局</w:t>
      </w:r>
      <w:r>
        <w:rPr>
          <w:rFonts w:hint="eastAsia" w:ascii="仿宋_GB2312" w:hAnsi="仿宋_GB2312" w:cs="仿宋_GB2312"/>
          <w:color w:val="auto"/>
          <w:highlight w:val="none"/>
          <w:lang w:eastAsia="zh-CN"/>
        </w:rPr>
        <w:t>“安全生产专项经费”项目</w:t>
      </w:r>
      <w:r>
        <w:rPr>
          <w:rFonts w:hint="default" w:ascii="Times New Roman" w:hAnsi="Times New Roman" w:cs="Times New Roman"/>
          <w:color w:val="auto"/>
          <w:szCs w:val="32"/>
          <w:highlight w:val="none"/>
        </w:rPr>
        <w:t>参与主体主要包括</w:t>
      </w:r>
      <w:r>
        <w:rPr>
          <w:rFonts w:hint="default" w:ascii="Times New Roman" w:hAnsi="Times New Roman" w:cs="Times New Roman"/>
          <w:color w:val="auto"/>
          <w:spacing w:val="-2"/>
          <w:highlight w:val="none"/>
        </w:rPr>
        <w:t>德阳市罗江区财</w:t>
      </w:r>
      <w:r>
        <w:rPr>
          <w:rFonts w:hint="default" w:ascii="Times New Roman" w:hAnsi="Times New Roman" w:cs="Times New Roman"/>
          <w:color w:val="auto"/>
          <w:spacing w:val="-14"/>
          <w:highlight w:val="none"/>
        </w:rPr>
        <w:t>政局、德阳</w:t>
      </w:r>
      <w:r>
        <w:rPr>
          <w:rFonts w:hint="default" w:ascii="Times New Roman" w:hAnsi="Times New Roman" w:cs="Times New Roman"/>
          <w:color w:val="auto"/>
          <w:spacing w:val="-2"/>
          <w:highlight w:val="none"/>
        </w:rPr>
        <w:t>市罗江区</w:t>
      </w:r>
      <w:r>
        <w:rPr>
          <w:rFonts w:hint="default" w:ascii="Times New Roman" w:hAnsi="Times New Roman" w:cs="Times New Roman"/>
          <w:color w:val="auto"/>
          <w:spacing w:val="-2"/>
          <w:highlight w:val="none"/>
          <w:lang w:val="en-US" w:eastAsia="zh-CN"/>
        </w:rPr>
        <w:t>应急管理局</w:t>
      </w:r>
      <w:r>
        <w:rPr>
          <w:rFonts w:hint="default" w:ascii="Times New Roman" w:hAnsi="Times New Roman" w:cs="Times New Roman"/>
          <w:color w:val="auto"/>
          <w:szCs w:val="32"/>
          <w:highlight w:val="none"/>
        </w:rPr>
        <w:t>。各参与主体承担的主要职能职责如下：</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1.德阳市罗江区财政局：指导、监督和管理预算编制的具体工作；批复预算；负责预算绩效管理工作的组织实施，指导督促预算单位设定绩效目标、实施绩效跟踪、开展绩效评价；贯彻落实中央、省、市相关财政政策规定；负责项目资金调度、平衡相关部门的资金协调；监督项目资金的使用。</w:t>
      </w:r>
    </w:p>
    <w:p>
      <w:pPr>
        <w:spacing w:line="580" w:lineRule="exact"/>
        <w:ind w:firstLine="640"/>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rPr>
        <w:t>2.德阳市罗江区</w:t>
      </w:r>
      <w:r>
        <w:rPr>
          <w:rFonts w:hint="default" w:ascii="Times New Roman" w:hAnsi="Times New Roman" w:cs="Times New Roman"/>
          <w:color w:val="auto"/>
          <w:highlight w:val="none"/>
          <w:lang w:val="en-US" w:eastAsia="zh-CN"/>
        </w:rPr>
        <w:t>应急管理局</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负责全区应急管理工作，组织和指导各镇、经开区、各部门（单位）应对安全生产类、自然灾害类等突发事件和综合防灾减灾救灾工作</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依法承担安全生产综合监督管理工作；拟定全区应急管理、安全生产等政策措施，组织编制德阳市罗江区应急体系建设、安全生产和综合防灾减灾规划；负责组织指导全区应急预案体系建设，建立完善事故灾难和自然灾害分级应对制度，牵头组织编制区综合应急防灾减灾预案和安全生产类、自然灾害类专项预案，负责</w:t>
      </w:r>
      <w:r>
        <w:rPr>
          <w:rFonts w:hint="eastAsia" w:ascii="Times New Roman" w:hAnsi="Times New Roman" w:cs="Times New Roman"/>
          <w:color w:val="auto"/>
          <w:highlight w:val="none"/>
          <w:lang w:val="en-US" w:eastAsia="zh-CN"/>
        </w:rPr>
        <w:t>应急预案</w:t>
      </w:r>
      <w:r>
        <w:rPr>
          <w:rFonts w:hint="default" w:ascii="Times New Roman" w:hAnsi="Times New Roman" w:cs="Times New Roman"/>
          <w:color w:val="auto"/>
          <w:highlight w:val="none"/>
          <w:lang w:val="en-US" w:eastAsia="zh-CN"/>
        </w:rPr>
        <w:t>衔接工作，组织开展预案演练并落实，推动应急避难设施建设。</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7" w:name="_Toc11760"/>
      <w:bookmarkStart w:id="8" w:name="_Toc7828"/>
      <w:r>
        <w:rPr>
          <w:rFonts w:hint="default" w:ascii="Times New Roman" w:hAnsi="Times New Roman" w:eastAsia="楷体_GB2312" w:cs="Times New Roman"/>
          <w:color w:val="auto"/>
          <w:sz w:val="32"/>
          <w:szCs w:val="32"/>
          <w:highlight w:val="none"/>
        </w:rPr>
        <w:t>（三）项目绩效目标</w:t>
      </w:r>
      <w:bookmarkEnd w:id="7"/>
      <w:bookmarkEnd w:id="8"/>
    </w:p>
    <w:p>
      <w:pPr>
        <w:spacing w:line="580" w:lineRule="exact"/>
        <w:ind w:firstLine="640"/>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1.项目总目标</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对所有生产经营企业开展执法、宣传、督查；全年至少开展2次综合应急救援演练，开展演练相关宣传费用、展板制作费用、演练所需器材及耗材等费用。</w:t>
      </w:r>
    </w:p>
    <w:p>
      <w:pPr>
        <w:spacing w:line="580" w:lineRule="exact"/>
        <w:ind w:firstLine="640"/>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2.年度绩效目标及指标分解</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绩效评价小组对</w:t>
      </w:r>
      <w:r>
        <w:rPr>
          <w:rFonts w:hint="eastAsia" w:ascii="Times New Roman" w:hAnsi="Times New Roman" w:cs="Times New Roman"/>
          <w:color w:val="auto"/>
          <w:highlight w:val="none"/>
          <w:lang w:eastAsia="zh-CN"/>
        </w:rPr>
        <w:t>《德阳市罗江区人民政府办公室关于印发〈德阳市罗江区2022年政府购买安全生产专项经费实施方案〉的通知》（德市罗府办发〔2021〕22号）</w:t>
      </w:r>
      <w:r>
        <w:rPr>
          <w:rFonts w:hint="default" w:ascii="Times New Roman" w:hAnsi="Times New Roman" w:cs="Times New Roman"/>
          <w:color w:val="auto"/>
          <w:highlight w:val="none"/>
        </w:rPr>
        <w:t>、《中共德阳市罗江区委办公室 德阳市罗江区人民政府办公室关于印发</w:t>
      </w:r>
      <w:r>
        <w:rPr>
          <w:rFonts w:hint="eastAsia" w:ascii="仿宋_GB2312" w:hAnsi="仿宋_GB2312" w:eastAsia="仿宋_GB2312" w:cs="仿宋_GB2312"/>
          <w:color w:val="auto"/>
          <w:highlight w:val="none"/>
        </w:rPr>
        <w:t>〈</w:t>
      </w:r>
      <w:r>
        <w:rPr>
          <w:rFonts w:hint="default" w:ascii="Times New Roman" w:hAnsi="Times New Roman" w:cs="Times New Roman"/>
          <w:color w:val="auto"/>
          <w:highlight w:val="none"/>
        </w:rPr>
        <w:t>德阳市罗江区应急管理局职能职责、内设机构和人员编制规定</w:t>
      </w:r>
      <w:r>
        <w:rPr>
          <w:rFonts w:hint="eastAsia" w:ascii="仿宋_GB2312" w:hAnsi="仿宋_GB2312" w:eastAsia="仿宋_GB2312" w:cs="仿宋_GB2312"/>
          <w:color w:val="auto"/>
          <w:highlight w:val="none"/>
        </w:rPr>
        <w:t>〉</w:t>
      </w:r>
      <w:r>
        <w:rPr>
          <w:rFonts w:hint="default" w:ascii="Times New Roman" w:hAnsi="Times New Roman" w:cs="Times New Roman"/>
          <w:color w:val="auto"/>
          <w:highlight w:val="none"/>
        </w:rPr>
        <w:t>的通知》（德市罗委办发〔2019〕62号）、项目资金测算明细、《政府采购合同》</w:t>
      </w:r>
      <w:r>
        <w:rPr>
          <w:rFonts w:hint="default" w:ascii="Times New Roman" w:hAnsi="Times New Roman" w:cs="Times New Roman"/>
          <w:color w:val="auto"/>
          <w:szCs w:val="32"/>
          <w:highlight w:val="none"/>
        </w:rPr>
        <w:t>等项目相关材料进行了梳理、分析和充分讨论，对本项目应当达到的产出（数量、质量、时效、成本）和效益（社会效益、满意度、可持续影响力）指标进行了细化分解，具体如下：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表1-2 项目年度绩效目标分解表</w:t>
      </w:r>
    </w:p>
    <w:tbl>
      <w:tblPr>
        <w:tblStyle w:val="15"/>
        <w:tblW w:w="88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1"/>
        <w:gridCol w:w="1139"/>
        <w:gridCol w:w="3679"/>
        <w:gridCol w:w="1088"/>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1271"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一级指标</w:t>
            </w:r>
          </w:p>
        </w:tc>
        <w:tc>
          <w:tcPr>
            <w:tcW w:w="1139"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二级指标</w:t>
            </w:r>
          </w:p>
        </w:tc>
        <w:tc>
          <w:tcPr>
            <w:tcW w:w="3679"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三级指标</w:t>
            </w:r>
          </w:p>
        </w:tc>
        <w:tc>
          <w:tcPr>
            <w:tcW w:w="1088" w:type="dxa"/>
            <w:tcBorders>
              <w:tl2br w:val="nil"/>
              <w:tr2bl w:val="nil"/>
            </w:tcBorders>
            <w:shd w:val="clear" w:color="auto" w:fill="auto"/>
            <w:noWrap/>
            <w:tcMar>
              <w:top w:w="15" w:type="dxa"/>
              <w:left w:w="15" w:type="dxa"/>
              <w:right w:w="15" w:type="dxa"/>
            </w:tcMar>
            <w:vAlign w:val="bottom"/>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指标值来源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restart"/>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产出指标</w:t>
            </w: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数量</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lang w:val="en-US"/>
              </w:rPr>
            </w:pPr>
            <w:r>
              <w:rPr>
                <w:rFonts w:hint="eastAsia" w:ascii="Times New Roman" w:hAnsi="Times New Roman" w:cs="Times New Roman"/>
                <w:color w:val="auto"/>
                <w:spacing w:val="-2"/>
                <w:sz w:val="24"/>
                <w:highlight w:val="none"/>
                <w:lang w:val="en-US" w:eastAsia="zh-CN"/>
              </w:rPr>
              <w:t>综合应急救援演练次数</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2次</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cs="Times New Roman"/>
                <w:color w:val="auto"/>
                <w:sz w:val="24"/>
                <w:highlight w:val="none"/>
                <w:lang w:val="en-US" w:eastAsia="zh-CN"/>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数量</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安全生产宣传次数</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≥2次</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cs="Times New Roman"/>
                <w:color w:val="auto"/>
                <w:sz w:val="24"/>
                <w:highlight w:val="none"/>
                <w:lang w:val="en-US" w:eastAsia="zh-CN"/>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数量</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开展执法次数</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≥2次</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cs="Times New Roman"/>
                <w:color w:val="auto"/>
                <w:sz w:val="24"/>
                <w:highlight w:val="none"/>
                <w:lang w:val="en-US" w:eastAsia="zh-CN"/>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数量</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购买器材次数</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＝1次</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eastAsia" w:ascii="Times New Roman" w:hAnsi="Times New Roman" w:cs="Times New Roman"/>
                <w:color w:val="auto"/>
                <w:sz w:val="24"/>
                <w:highlight w:val="none"/>
                <w:lang w:val="en-US" w:eastAsia="zh-CN"/>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数量</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安全生产督察次数</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≥2次</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lang w:val="en-US" w:eastAsia="zh-CN"/>
              </w:rPr>
              <w:t>质量</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pacing w:val="-2"/>
                <w:sz w:val="24"/>
                <w:highlight w:val="none"/>
                <w:lang w:val="en-US" w:eastAsia="zh-CN"/>
              </w:rPr>
              <w:t>安全生产督察达标率</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rPr>
              <w:t>100%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国家标准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质量</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安全生产宣传覆盖率</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90%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质量</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执法工作开展合规性</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质量</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器材购买的验收合格率</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100%</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国家标准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质量</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综合应急救援演练合格率</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95%</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eastAsia"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时效</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pacing w:val="-2"/>
                <w:sz w:val="24"/>
                <w:highlight w:val="none"/>
                <w:lang w:val="en-US" w:eastAsia="zh-CN"/>
              </w:rPr>
              <w:t>项目</w:t>
            </w:r>
            <w:r>
              <w:rPr>
                <w:rFonts w:hint="default" w:ascii="Times New Roman" w:hAnsi="Times New Roman" w:cs="Times New Roman"/>
                <w:color w:val="auto"/>
                <w:spacing w:val="-2"/>
                <w:sz w:val="24"/>
                <w:highlight w:val="none"/>
                <w:lang w:val="en-US" w:eastAsia="zh-CN"/>
              </w:rPr>
              <w:t>完成时间</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2022年</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vMerge w:val="continue"/>
            <w:tcBorders>
              <w:tl2br w:val="nil"/>
              <w:tr2bl w:val="nil"/>
            </w:tcBorders>
            <w:shd w:val="clear" w:color="auto" w:fill="auto"/>
            <w:tcMar>
              <w:top w:w="15" w:type="dxa"/>
              <w:left w:w="15" w:type="dxa"/>
              <w:right w:w="15" w:type="dxa"/>
            </w:tcMar>
            <w:vAlign w:val="center"/>
          </w:tcPr>
          <w:p>
            <w:pPr>
              <w:spacing w:line="360" w:lineRule="auto"/>
              <w:ind w:firstLine="480"/>
              <w:jc w:val="center"/>
              <w:rPr>
                <w:rFonts w:hint="default" w:ascii="Times New Roman" w:hAnsi="Times New Roman" w:cs="Times New Roman"/>
                <w:color w:val="auto"/>
                <w:sz w:val="24"/>
                <w:highlight w:val="none"/>
              </w:rPr>
            </w:pP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成本</w:t>
            </w:r>
          </w:p>
        </w:tc>
        <w:tc>
          <w:tcPr>
            <w:tcW w:w="3679" w:type="dxa"/>
            <w:tcBorders>
              <w:tl2br w:val="nil"/>
              <w:tr2bl w:val="nil"/>
            </w:tcBorders>
            <w:shd w:val="clear" w:color="auto" w:fill="auto"/>
            <w:tcMar>
              <w:top w:w="15" w:type="dxa"/>
              <w:left w:w="15" w:type="dxa"/>
              <w:right w:w="15" w:type="dxa"/>
            </w:tcMar>
            <w:vAlign w:val="center"/>
          </w:tcPr>
          <w:p>
            <w:pPr>
              <w:widowControl/>
              <w:spacing w:line="360" w:lineRule="auto"/>
              <w:ind w:firstLine="0" w:firstLineChars="0"/>
              <w:jc w:val="center"/>
              <w:textAlignment w:val="auto"/>
              <w:rPr>
                <w:rFonts w:hint="default" w:ascii="Times New Roman" w:hAnsi="Times New Roman" w:cs="Times New Roman"/>
                <w:color w:val="auto"/>
                <w:spacing w:val="-2"/>
                <w:sz w:val="24"/>
                <w:highlight w:val="none"/>
                <w:lang w:val="en-US" w:eastAsia="zh-CN"/>
              </w:rPr>
            </w:pPr>
            <w:r>
              <w:rPr>
                <w:rFonts w:hint="eastAsia" w:ascii="Times New Roman" w:hAnsi="Times New Roman" w:cs="Times New Roman"/>
                <w:color w:val="auto"/>
                <w:spacing w:val="-2"/>
                <w:sz w:val="24"/>
                <w:highlight w:val="none"/>
                <w:lang w:val="en-US" w:eastAsia="zh-CN"/>
              </w:rPr>
              <w:t>项目</w:t>
            </w:r>
            <w:r>
              <w:rPr>
                <w:rFonts w:hint="default" w:ascii="Times New Roman" w:hAnsi="Times New Roman" w:cs="Times New Roman"/>
                <w:color w:val="auto"/>
                <w:spacing w:val="-2"/>
                <w:sz w:val="24"/>
                <w:highlight w:val="none"/>
                <w:lang w:val="en-US" w:eastAsia="zh-CN"/>
              </w:rPr>
              <w:t>成本</w:t>
            </w:r>
            <w:r>
              <w:rPr>
                <w:rFonts w:hint="eastAsia" w:ascii="Times New Roman" w:hAnsi="Times New Roman" w:cs="Times New Roman"/>
                <w:color w:val="auto"/>
                <w:spacing w:val="-2"/>
                <w:sz w:val="24"/>
                <w:highlight w:val="none"/>
                <w:lang w:val="en-US" w:eastAsia="zh-CN"/>
              </w:rPr>
              <w:t>控制额</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30万元</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效果指标</w:t>
            </w: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val="en-US" w:eastAsia="zh-CN" w:bidi="ar"/>
              </w:rPr>
              <w:t>社会效益</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spacing w:val="-4"/>
                <w:sz w:val="24"/>
                <w:highlight w:val="none"/>
                <w:lang w:val="en-US" w:eastAsia="zh-CN"/>
              </w:rPr>
              <w:t>社会满意度</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eastAsia="仿宋_GB2312"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w:t>
            </w:r>
            <w:r>
              <w:rPr>
                <w:rFonts w:hint="default" w:ascii="Times New Roman" w:hAnsi="Times New Roman" w:cs="Times New Roman"/>
                <w:color w:val="auto"/>
                <w:sz w:val="24"/>
                <w:highlight w:val="none"/>
                <w:lang w:val="en-US" w:eastAsia="zh-CN"/>
              </w:rPr>
              <w:t>98%</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271"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满意度指标</w:t>
            </w:r>
          </w:p>
        </w:tc>
        <w:tc>
          <w:tcPr>
            <w:tcW w:w="113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满意度</w:t>
            </w:r>
          </w:p>
        </w:tc>
        <w:tc>
          <w:tcPr>
            <w:tcW w:w="3679"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pacing w:val="-2"/>
                <w:sz w:val="24"/>
                <w:highlight w:val="none"/>
              </w:rPr>
            </w:pPr>
            <w:r>
              <w:rPr>
                <w:rFonts w:hint="default" w:ascii="Times New Roman" w:hAnsi="Times New Roman" w:cs="Times New Roman"/>
                <w:color w:val="auto"/>
                <w:spacing w:val="-2"/>
                <w:sz w:val="24"/>
                <w:highlight w:val="none"/>
              </w:rPr>
              <w:t>群众</w:t>
            </w:r>
            <w:r>
              <w:rPr>
                <w:rFonts w:hint="default" w:ascii="Times New Roman" w:hAnsi="Times New Roman" w:cs="Times New Roman"/>
                <w:color w:val="auto"/>
                <w:spacing w:val="-2"/>
                <w:sz w:val="24"/>
                <w:highlight w:val="none"/>
                <w:lang w:val="en-US" w:eastAsia="zh-CN"/>
              </w:rPr>
              <w:t>对工作的</w:t>
            </w:r>
            <w:r>
              <w:rPr>
                <w:rFonts w:hint="default" w:ascii="Times New Roman" w:hAnsi="Times New Roman" w:cs="Times New Roman"/>
                <w:color w:val="auto"/>
                <w:spacing w:val="-2"/>
                <w:sz w:val="24"/>
                <w:highlight w:val="none"/>
              </w:rPr>
              <w:t>满意度（%）</w:t>
            </w:r>
          </w:p>
        </w:tc>
        <w:tc>
          <w:tcPr>
            <w:tcW w:w="1088" w:type="dxa"/>
            <w:tcBorders>
              <w:tl2br w:val="nil"/>
              <w:tr2bl w:val="nil"/>
            </w:tcBorders>
            <w:shd w:val="clear" w:color="auto" w:fill="auto"/>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lang w:val="en-US" w:eastAsia="zh-CN"/>
              </w:rPr>
            </w:pPr>
            <w:r>
              <w:rPr>
                <w:rFonts w:hint="default" w:ascii="Times New Roman" w:hAnsi="Times New Roman" w:cs="Times New Roman"/>
                <w:color w:val="auto"/>
                <w:sz w:val="24"/>
                <w:highlight w:val="none"/>
                <w:lang w:val="en-US" w:eastAsia="zh-CN"/>
              </w:rPr>
              <w:t>98</w:t>
            </w:r>
            <w:r>
              <w:rPr>
                <w:rFonts w:hint="default" w:ascii="Times New Roman" w:hAnsi="Times New Roman" w:cs="Times New Roman"/>
                <w:color w:val="auto"/>
                <w:sz w:val="24"/>
                <w:highlight w:val="none"/>
              </w:rPr>
              <w:t>%</w:t>
            </w:r>
          </w:p>
        </w:tc>
        <w:tc>
          <w:tcPr>
            <w:tcW w:w="1693" w:type="dxa"/>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计划标准</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9" w:name="_Toc30097"/>
      <w:bookmarkStart w:id="10" w:name="_Toc12789"/>
      <w:r>
        <w:rPr>
          <w:rFonts w:hint="default" w:ascii="Times New Roman" w:hAnsi="Times New Roman" w:eastAsia="楷体_GB2312" w:cs="Times New Roman"/>
          <w:color w:val="auto"/>
          <w:sz w:val="32"/>
          <w:szCs w:val="32"/>
          <w:highlight w:val="none"/>
        </w:rPr>
        <w:t>（四）项目预算及计划实施内容</w:t>
      </w:r>
      <w:bookmarkEnd w:id="9"/>
      <w:bookmarkEnd w:id="10"/>
    </w:p>
    <w:p>
      <w:pPr>
        <w:spacing w:line="580" w:lineRule="exact"/>
        <w:ind w:firstLine="640"/>
        <w:rPr>
          <w:rFonts w:hint="default" w:ascii="Times New Roman" w:hAnsi="Times New Roman" w:eastAsia="仿宋_GB2312" w:cs="Times New Roman"/>
          <w:color w:val="auto"/>
          <w:szCs w:val="32"/>
          <w:highlight w:val="none"/>
          <w:lang w:val="en-US" w:eastAsia="zh-CN"/>
        </w:rPr>
      </w:pPr>
      <w:r>
        <w:rPr>
          <w:rFonts w:hint="default" w:ascii="Times New Roman" w:hAnsi="Times New Roman" w:cs="Times New Roman"/>
          <w:color w:val="auto"/>
          <w:szCs w:val="32"/>
          <w:highlight w:val="none"/>
        </w:rPr>
        <w:t>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lang w:val="en-US" w:eastAsia="zh-CN"/>
        </w:rPr>
        <w:t>2022年</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安全生产专项经费</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项目实施内容为：</w:t>
      </w:r>
      <w:r>
        <w:rPr>
          <w:rFonts w:hint="default" w:ascii="Times New Roman" w:hAnsi="Times New Roman" w:cs="Times New Roman"/>
          <w:color w:val="auto"/>
          <w:szCs w:val="32"/>
          <w:highlight w:val="none"/>
          <w:lang w:val="en-US" w:eastAsia="zh-CN"/>
        </w:rPr>
        <w:t>聘请专家开展安全生产的督导检查</w:t>
      </w:r>
      <w:r>
        <w:rPr>
          <w:rFonts w:hint="eastAsia" w:ascii="Times New Roman" w:hAnsi="Times New Roman" w:cs="Times New Roman"/>
          <w:color w:val="auto"/>
          <w:szCs w:val="32"/>
          <w:highlight w:val="none"/>
          <w:lang w:val="en-US" w:eastAsia="zh-CN"/>
        </w:rPr>
        <w:t>等</w:t>
      </w:r>
      <w:r>
        <w:rPr>
          <w:rFonts w:hint="default" w:ascii="Times New Roman" w:hAnsi="Times New Roman" w:cs="Times New Roman"/>
          <w:color w:val="auto"/>
          <w:szCs w:val="32"/>
          <w:highlight w:val="none"/>
          <w:lang w:val="en-US" w:eastAsia="zh-CN"/>
        </w:rPr>
        <w:t>安全生产专项活动及日常购买设备，安全维修维护支出。</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1" w:name="_Toc3167"/>
      <w:bookmarkStart w:id="12" w:name="_Toc16635"/>
      <w:r>
        <w:rPr>
          <w:rFonts w:hint="default" w:ascii="Times New Roman" w:hAnsi="Times New Roman" w:eastAsia="楷体_GB2312" w:cs="Times New Roman"/>
          <w:color w:val="auto"/>
          <w:sz w:val="32"/>
          <w:szCs w:val="32"/>
          <w:highlight w:val="none"/>
        </w:rPr>
        <w:t>（五）预算执行及实施情况</w:t>
      </w:r>
      <w:bookmarkEnd w:id="11"/>
      <w:bookmarkEnd w:id="12"/>
    </w:p>
    <w:p>
      <w:pPr>
        <w:spacing w:line="580" w:lineRule="exact"/>
        <w:ind w:firstLine="643"/>
        <w:outlineLvl w:val="2"/>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1.项目资金使用情况</w:t>
      </w:r>
    </w:p>
    <w:p>
      <w:pPr>
        <w:spacing w:line="580" w:lineRule="exact"/>
        <w:ind w:firstLine="640"/>
        <w:rPr>
          <w:rFonts w:hint="default" w:ascii="Times New Roman" w:hAnsi="Times New Roman" w:eastAsia="仿宋_GB2312" w:cs="Times New Roman"/>
          <w:color w:val="auto"/>
          <w:szCs w:val="32"/>
          <w:highlight w:val="none"/>
          <w:lang w:val="en-US" w:eastAsia="zh-CN"/>
        </w:rPr>
      </w:pPr>
      <w:bookmarkStart w:id="13" w:name="_Hlk118752362"/>
      <w:r>
        <w:rPr>
          <w:rFonts w:hint="eastAsia" w:ascii="Times New Roman" w:hAnsi="Times New Roman" w:cs="Times New Roman"/>
          <w:color w:val="auto"/>
          <w:szCs w:val="32"/>
          <w:highlight w:val="none"/>
          <w:lang w:val="en-US" w:eastAsia="zh-CN"/>
        </w:rPr>
        <w:t>评价小组</w:t>
      </w:r>
      <w:r>
        <w:rPr>
          <w:rFonts w:hint="default" w:ascii="Times New Roman" w:hAnsi="Times New Roman" w:cs="Times New Roman"/>
          <w:color w:val="auto"/>
          <w:szCs w:val="32"/>
          <w:highlight w:val="none"/>
        </w:rPr>
        <w:t>查阅</w:t>
      </w:r>
      <w:r>
        <w:rPr>
          <w:rFonts w:hint="eastAsia" w:ascii="Times New Roman" w:hAnsi="Times New Roman" w:cs="Times New Roman"/>
          <w:color w:val="auto"/>
          <w:szCs w:val="32"/>
          <w:highlight w:val="none"/>
          <w:lang w:eastAsia="zh-CN"/>
        </w:rPr>
        <w:t>“安全生产专项经费”项目</w:t>
      </w:r>
      <w:r>
        <w:rPr>
          <w:rFonts w:hint="default"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rPr>
        <w:t>的项目支出明细账、记账凭证、原始凭证等相关财务资料，</w:t>
      </w:r>
      <w:r>
        <w:rPr>
          <w:rFonts w:hint="eastAsia" w:ascii="Times New Roman" w:hAnsi="Times New Roman" w:cs="Times New Roman"/>
          <w:color w:val="auto"/>
          <w:szCs w:val="32"/>
          <w:highlight w:val="none"/>
          <w:lang w:val="en-US" w:eastAsia="zh-CN"/>
        </w:rPr>
        <w:t>发现</w:t>
      </w:r>
      <w:r>
        <w:rPr>
          <w:rFonts w:hint="default" w:ascii="Times New Roman" w:hAnsi="Times New Roman" w:cs="Times New Roman"/>
          <w:color w:val="auto"/>
          <w:szCs w:val="32"/>
          <w:highlight w:val="none"/>
          <w:lang w:eastAsia="zh-CN"/>
        </w:rPr>
        <w:t>安全生产专项经费</w:t>
      </w:r>
      <w:r>
        <w:rPr>
          <w:rFonts w:hint="default" w:ascii="Times New Roman" w:hAnsi="Times New Roman" w:cs="Times New Roman"/>
          <w:color w:val="auto"/>
          <w:szCs w:val="32"/>
          <w:highlight w:val="none"/>
        </w:rPr>
        <w:t>资金支付</w:t>
      </w:r>
      <w:r>
        <w:rPr>
          <w:rFonts w:hint="default" w:ascii="Times New Roman" w:hAnsi="Times New Roman" w:cs="Times New Roman"/>
          <w:color w:val="auto"/>
          <w:szCs w:val="32"/>
          <w:highlight w:val="none"/>
          <w:lang w:val="en-US" w:eastAsia="zh-CN"/>
        </w:rPr>
        <w:t>与日常开展活动</w:t>
      </w:r>
      <w:r>
        <w:rPr>
          <w:rFonts w:hint="eastAsia" w:ascii="Times New Roman" w:hAnsi="Times New Roman" w:cs="Times New Roman"/>
          <w:color w:val="auto"/>
          <w:szCs w:val="32"/>
          <w:highlight w:val="none"/>
          <w:lang w:val="en-US" w:eastAsia="zh-CN"/>
        </w:rPr>
        <w:t>内容</w:t>
      </w:r>
      <w:r>
        <w:rPr>
          <w:rFonts w:hint="default" w:ascii="Times New Roman" w:hAnsi="Times New Roman" w:cs="Times New Roman"/>
          <w:color w:val="auto"/>
          <w:szCs w:val="32"/>
          <w:highlight w:val="none"/>
        </w:rPr>
        <w:t>挂钩。</w:t>
      </w:r>
      <w:r>
        <w:rPr>
          <w:rFonts w:hint="default" w:ascii="Times New Roman" w:hAnsi="Times New Roman" w:cs="Times New Roman"/>
          <w:color w:val="auto"/>
          <w:szCs w:val="32"/>
          <w:highlight w:val="none"/>
          <w:lang w:val="en-US" w:eastAsia="zh-CN"/>
        </w:rPr>
        <w:t>在2022年4月12日付聘请专家开展安全生产督导检查劳务费0.175万元，付绵竹市局考察我区安全生产调研费0.55万元，付办公用品费用0.8万元，购买森防物资2.32万元，付印刷资料宣传费2.3万元，付办公耗材费0.94万元。</w:t>
      </w:r>
    </w:p>
    <w:bookmarkEnd w:id="13"/>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表1-3 项目资金使用情况</w:t>
      </w:r>
    </w:p>
    <w:p>
      <w:pPr>
        <w:spacing w:line="580" w:lineRule="exact"/>
        <w:ind w:firstLine="482"/>
        <w:jc w:val="right"/>
        <w:rPr>
          <w:rFonts w:hint="default" w:ascii="Times New Roman" w:hAnsi="Times New Roman" w:cs="Times New Roman"/>
          <w:b/>
          <w:bCs/>
          <w:color w:val="auto"/>
          <w:sz w:val="24"/>
          <w:highlight w:val="none"/>
        </w:rPr>
      </w:pPr>
      <w:r>
        <w:rPr>
          <w:rFonts w:hint="default" w:ascii="Times New Roman" w:hAnsi="Times New Roman" w:cs="Times New Roman"/>
          <w:b/>
          <w:bCs/>
          <w:color w:val="auto"/>
          <w:sz w:val="24"/>
          <w:highlight w:val="none"/>
        </w:rPr>
        <w:t>单位：</w:t>
      </w:r>
      <w:r>
        <w:rPr>
          <w:rFonts w:hint="default" w:ascii="Times New Roman" w:hAnsi="Times New Roman" w:cs="Times New Roman"/>
          <w:b/>
          <w:bCs/>
          <w:color w:val="auto"/>
          <w:sz w:val="24"/>
          <w:highlight w:val="none"/>
          <w:lang w:val="en-US" w:eastAsia="zh-CN"/>
        </w:rPr>
        <w:t>万</w:t>
      </w:r>
      <w:r>
        <w:rPr>
          <w:rFonts w:hint="default" w:ascii="Times New Roman" w:hAnsi="Times New Roman" w:cs="Times New Roman"/>
          <w:b/>
          <w:bCs/>
          <w:color w:val="auto"/>
          <w:sz w:val="24"/>
          <w:highlight w:val="none"/>
        </w:rPr>
        <w:t>元</w:t>
      </w:r>
    </w:p>
    <w:tbl>
      <w:tblPr>
        <w:tblStyle w:val="15"/>
        <w:tblW w:w="5295" w:type="pct"/>
        <w:tblInd w:w="-273" w:type="dxa"/>
        <w:tblLayout w:type="fixed"/>
        <w:tblCellMar>
          <w:top w:w="0" w:type="dxa"/>
          <w:left w:w="108" w:type="dxa"/>
          <w:bottom w:w="0" w:type="dxa"/>
          <w:right w:w="108" w:type="dxa"/>
        </w:tblCellMar>
      </w:tblPr>
      <w:tblGrid>
        <w:gridCol w:w="727"/>
        <w:gridCol w:w="1390"/>
        <w:gridCol w:w="2710"/>
        <w:gridCol w:w="1355"/>
        <w:gridCol w:w="3415"/>
      </w:tblGrid>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bookmarkStart w:id="14" w:name="_Hlk118752618"/>
            <w:r>
              <w:rPr>
                <w:rFonts w:hint="default" w:ascii="Times New Roman" w:hAnsi="Times New Roman" w:cs="Times New Roman"/>
                <w:b/>
                <w:bCs/>
                <w:color w:val="auto"/>
                <w:kern w:val="0"/>
                <w:sz w:val="24"/>
                <w:highlight w:val="none"/>
                <w:lang w:bidi="ar"/>
              </w:rPr>
              <w:t>序号</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支出日期</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支出方向</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金额</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b/>
                <w:bCs/>
                <w:color w:val="auto"/>
                <w:sz w:val="24"/>
                <w:highlight w:val="none"/>
                <w:lang w:val="en-US" w:eastAsia="zh-CN"/>
              </w:rPr>
            </w:pPr>
            <w:r>
              <w:rPr>
                <w:rFonts w:hint="default" w:ascii="Times New Roman" w:hAnsi="Times New Roman" w:cs="Times New Roman"/>
                <w:b/>
                <w:bCs/>
                <w:color w:val="auto"/>
                <w:sz w:val="24"/>
                <w:highlight w:val="none"/>
                <w:lang w:val="en-US" w:eastAsia="zh-CN"/>
              </w:rPr>
              <w:t>收款人全称</w:t>
            </w:r>
          </w:p>
        </w:tc>
      </w:tr>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202</w:t>
            </w:r>
            <w:r>
              <w:rPr>
                <w:rFonts w:hint="default" w:ascii="Times New Roman" w:hAnsi="Times New Roman" w:cs="Times New Roman"/>
                <w:color w:val="auto"/>
                <w:kern w:val="0"/>
                <w:sz w:val="24"/>
                <w:highlight w:val="none"/>
                <w:lang w:val="en-US" w:eastAsia="zh-CN" w:bidi="ar"/>
              </w:rPr>
              <w:t>2</w:t>
            </w:r>
            <w:r>
              <w:rPr>
                <w:rFonts w:hint="default" w:ascii="Times New Roman" w:hAnsi="Times New Roman" w:cs="Times New Roman"/>
                <w:color w:val="auto"/>
                <w:kern w:val="0"/>
                <w:sz w:val="24"/>
                <w:highlight w:val="none"/>
                <w:lang w:bidi="ar"/>
              </w:rPr>
              <w:t>.</w:t>
            </w:r>
            <w:r>
              <w:rPr>
                <w:rFonts w:hint="default" w:ascii="Times New Roman" w:hAnsi="Times New Roman" w:cs="Times New Roman"/>
                <w:color w:val="auto"/>
                <w:kern w:val="0"/>
                <w:sz w:val="24"/>
                <w:highlight w:val="none"/>
                <w:lang w:val="en-US" w:eastAsia="zh-CN" w:bidi="ar"/>
              </w:rPr>
              <w:t>4.12</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val="en-US" w:eastAsia="zh-CN" w:bidi="ar"/>
              </w:rPr>
              <w:t>付聘请专家开展安全生产督导检查劳务费</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val="en-US" w:eastAsia="zh-CN" w:bidi="ar"/>
              </w:rPr>
              <w:t>0.175</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lang w:val="en-US"/>
              </w:rPr>
            </w:pPr>
            <w:r>
              <w:rPr>
                <w:rFonts w:hint="default" w:ascii="Times New Roman" w:hAnsi="Times New Roman" w:cs="Times New Roman"/>
                <w:color w:val="auto"/>
                <w:sz w:val="24"/>
                <w:szCs w:val="24"/>
                <w:highlight w:val="none"/>
                <w:lang w:val="en-US" w:eastAsia="zh-CN"/>
              </w:rPr>
              <w:t>安全生产督导检查劳务费</w:t>
            </w:r>
          </w:p>
        </w:tc>
      </w:tr>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bidi="ar"/>
              </w:rPr>
              <w:t>202</w:t>
            </w:r>
            <w:r>
              <w:rPr>
                <w:rFonts w:hint="default" w:ascii="Times New Roman" w:hAnsi="Times New Roman" w:cs="Times New Roman"/>
                <w:color w:val="auto"/>
                <w:kern w:val="0"/>
                <w:sz w:val="24"/>
                <w:highlight w:val="none"/>
                <w:lang w:val="en-US" w:eastAsia="zh-CN" w:bidi="ar"/>
              </w:rPr>
              <w:t>2</w:t>
            </w:r>
            <w:r>
              <w:rPr>
                <w:rFonts w:hint="default" w:ascii="Times New Roman" w:hAnsi="Times New Roman" w:cs="Times New Roman"/>
                <w:color w:val="auto"/>
                <w:kern w:val="0"/>
                <w:sz w:val="24"/>
                <w:highlight w:val="none"/>
                <w:lang w:bidi="ar"/>
              </w:rPr>
              <w:t>.</w:t>
            </w:r>
            <w:r>
              <w:rPr>
                <w:rFonts w:hint="default" w:ascii="Times New Roman" w:hAnsi="Times New Roman" w:cs="Times New Roman"/>
                <w:color w:val="auto"/>
                <w:kern w:val="0"/>
                <w:sz w:val="24"/>
                <w:highlight w:val="none"/>
                <w:lang w:val="en-US" w:eastAsia="zh-CN" w:bidi="ar"/>
              </w:rPr>
              <w:t>11.13</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val="en-US" w:eastAsia="zh-CN" w:bidi="ar"/>
              </w:rPr>
              <w:t>付安全监管执法能力提升服务项目款67%</w:t>
            </w:r>
            <w:r>
              <w:rPr>
                <w:rFonts w:hint="default" w:ascii="Times New Roman" w:hAnsi="Times New Roman" w:cs="Times New Roman"/>
                <w:color w:val="auto"/>
                <w:kern w:val="0"/>
                <w:sz w:val="24"/>
                <w:highlight w:val="none"/>
                <w:lang w:bidi="ar"/>
              </w:rPr>
              <w:t>费用</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sz w:val="24"/>
                <w:highlight w:val="none"/>
                <w:lang w:val="en-US" w:eastAsia="zh-CN"/>
              </w:rPr>
            </w:pPr>
            <w:r>
              <w:rPr>
                <w:rFonts w:hint="default" w:ascii="Times New Roman" w:hAnsi="Times New Roman" w:cs="Times New Roman"/>
                <w:color w:val="auto"/>
                <w:kern w:val="0"/>
                <w:sz w:val="24"/>
                <w:highlight w:val="none"/>
                <w:lang w:val="en-US" w:eastAsia="zh-CN" w:bidi="ar"/>
              </w:rPr>
              <w:t>0.55</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szCs w:val="24"/>
                <w:highlight w:val="none"/>
                <w:lang w:val="en-US" w:eastAsia="zh-CN"/>
              </w:rPr>
              <w:t>罗江区金面子酒家</w:t>
            </w:r>
          </w:p>
        </w:tc>
      </w:tr>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3</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2022.12.29</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付办公用品费用</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0.80</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罗江区众联商贸行</w:t>
            </w:r>
          </w:p>
        </w:tc>
      </w:tr>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4</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2022.12.29</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购买森防物资</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2.32</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德阳市区星晨建材经营部</w:t>
            </w:r>
          </w:p>
        </w:tc>
      </w:tr>
      <w:tr>
        <w:tblPrEx>
          <w:tblCellMar>
            <w:top w:w="0" w:type="dxa"/>
            <w:left w:w="108" w:type="dxa"/>
            <w:bottom w:w="0" w:type="dxa"/>
            <w:right w:w="108" w:type="dxa"/>
          </w:tblCellMar>
        </w:tblPrEx>
        <w:trPr>
          <w:trHeight w:val="300" w:hRule="atLeast"/>
        </w:trPr>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5</w:t>
            </w:r>
          </w:p>
        </w:tc>
        <w:tc>
          <w:tcPr>
            <w:tcW w:w="7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2022.12.29</w:t>
            </w:r>
          </w:p>
        </w:tc>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付办公耗材费</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default" w:ascii="Times New Roman" w:hAnsi="Times New Roman" w:cs="Times New Roman"/>
                <w:color w:val="auto"/>
                <w:kern w:val="0"/>
                <w:sz w:val="24"/>
                <w:highlight w:val="none"/>
                <w:lang w:val="en-US" w:eastAsia="zh-CN" w:bidi="ar"/>
              </w:rPr>
              <w:t>0.94</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罗江县中晶电脑经营部</w:t>
            </w:r>
          </w:p>
        </w:tc>
      </w:tr>
      <w:tr>
        <w:tblPrEx>
          <w:tblCellMar>
            <w:top w:w="0" w:type="dxa"/>
            <w:left w:w="108" w:type="dxa"/>
            <w:bottom w:w="0" w:type="dxa"/>
            <w:right w:w="108" w:type="dxa"/>
          </w:tblCellMar>
        </w:tblPrEx>
        <w:trPr>
          <w:trHeight w:val="300" w:hRule="atLeast"/>
        </w:trPr>
        <w:tc>
          <w:tcPr>
            <w:tcW w:w="251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cs="Times New Roman"/>
                <w:b/>
                <w:bCs/>
                <w:color w:val="auto"/>
                <w:sz w:val="24"/>
                <w:highlight w:val="none"/>
              </w:rPr>
            </w:pPr>
            <w:r>
              <w:rPr>
                <w:rFonts w:hint="default" w:ascii="Times New Roman" w:hAnsi="Times New Roman" w:cs="Times New Roman"/>
                <w:b/>
                <w:bCs/>
                <w:color w:val="auto"/>
                <w:kern w:val="0"/>
                <w:sz w:val="24"/>
                <w:highlight w:val="none"/>
                <w:lang w:bidi="ar"/>
              </w:rPr>
              <w:t>合计</w:t>
            </w:r>
          </w:p>
        </w:tc>
        <w:tc>
          <w:tcPr>
            <w:tcW w:w="70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textAlignment w:val="center"/>
              <w:rPr>
                <w:rFonts w:hint="default" w:ascii="Times New Roman" w:hAnsi="Times New Roman" w:eastAsia="仿宋_GB2312" w:cs="Times New Roman"/>
                <w:b/>
                <w:bCs/>
                <w:color w:val="auto"/>
                <w:sz w:val="24"/>
                <w:highlight w:val="none"/>
                <w:lang w:val="en-US" w:eastAsia="zh-CN"/>
              </w:rPr>
            </w:pPr>
            <w:r>
              <w:rPr>
                <w:rFonts w:hint="default" w:ascii="Times New Roman" w:hAnsi="Times New Roman" w:cs="Times New Roman"/>
                <w:b/>
                <w:bCs/>
                <w:color w:val="auto"/>
                <w:kern w:val="0"/>
                <w:sz w:val="24"/>
                <w:highlight w:val="none"/>
                <w:lang w:val="en-US" w:eastAsia="zh-CN" w:bidi="ar"/>
              </w:rPr>
              <w:t>7.09</w:t>
            </w:r>
          </w:p>
        </w:tc>
        <w:tc>
          <w:tcPr>
            <w:tcW w:w="17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360" w:lineRule="auto"/>
              <w:ind w:firstLine="0" w:firstLineChars="0"/>
              <w:jc w:val="center"/>
              <w:rPr>
                <w:rFonts w:hint="default" w:ascii="Times New Roman" w:hAnsi="Times New Roman" w:cs="Times New Roman"/>
                <w:b/>
                <w:bCs/>
                <w:color w:val="auto"/>
                <w:sz w:val="24"/>
                <w:highlight w:val="none"/>
              </w:rPr>
            </w:pPr>
          </w:p>
        </w:tc>
      </w:tr>
      <w:bookmarkEnd w:id="14"/>
    </w:tbl>
    <w:p>
      <w:pPr>
        <w:pStyle w:val="4"/>
        <w:spacing w:before="312" w:beforeLines="10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2.组织实施情况</w:t>
      </w:r>
    </w:p>
    <w:p>
      <w:pPr>
        <w:spacing w:line="580" w:lineRule="exact"/>
        <w:ind w:firstLine="640"/>
        <w:rPr>
          <w:rFonts w:hint="default" w:ascii="Times New Roman" w:hAnsi="Times New Roman" w:eastAsia="仿宋_GB2312" w:cs="Times New Roman"/>
          <w:color w:val="auto"/>
          <w:szCs w:val="32"/>
          <w:highlight w:val="green"/>
          <w:lang w:val="en-US" w:eastAsia="zh-CN"/>
        </w:rPr>
      </w:pPr>
      <w:r>
        <w:rPr>
          <w:rFonts w:hint="default" w:ascii="Times New Roman" w:hAnsi="Times New Roman" w:cs="Times New Roman"/>
          <w:color w:val="auto"/>
          <w:szCs w:val="32"/>
          <w:highlight w:val="none"/>
          <w:lang w:val="en-US" w:eastAsia="zh-CN"/>
        </w:rPr>
        <w:t>区应急局负责牵头组织编制全区综合应急防灾减灾预案和安全生产类、自然灾害类专项预案，综合协调应急预案衔接工作，组织开展预案演练。按照分级负责的原则，组织、指导自然灾害类应急救援救灾</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组织协调较大灾害应急救援工作，并按照权限作出决定</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承担全区应对较大及以上灾害指挥部工作，负责组织较大及以上灾害应急处置工作。组织编制全区综合防灾减灾规划，指导协调相关部门开展森林火灾、水旱灾害、地震和地质灾害等防治工作</w:t>
      </w:r>
      <w:r>
        <w:rPr>
          <w:rFonts w:hint="eastAsia" w:ascii="Times New Roman" w:hAnsi="Times New Roman" w:cs="Times New Roman"/>
          <w:color w:val="auto"/>
          <w:szCs w:val="32"/>
          <w:highlight w:val="none"/>
          <w:lang w:val="en-US" w:eastAsia="zh-CN"/>
        </w:rPr>
        <w:t>；</w:t>
      </w:r>
      <w:r>
        <w:rPr>
          <w:rFonts w:hint="default" w:ascii="Times New Roman" w:hAnsi="Times New Roman" w:cs="Times New Roman"/>
          <w:color w:val="auto"/>
          <w:szCs w:val="32"/>
          <w:highlight w:val="none"/>
          <w:lang w:val="en-US" w:eastAsia="zh-CN"/>
        </w:rPr>
        <w:t>会同区自然资源局、区住建局、区水利局、区气象局等有关部门建立统一的应急管理信息平台，建立监测预警和灾情报告制度，健全自然灾害信息资源获取和共享机制，依法统一发布灾情、发布森林火险信息。组织开展多灾种和灾害链综合监测预警，承担自然灾害综合风险评估工作。根据罗江区应急管理局提供的《2022年中期调整项目需求申报表</w:t>
      </w:r>
      <w:r>
        <w:rPr>
          <w:rFonts w:hint="eastAsia" w:ascii="Times New Roman" w:hAnsi="Times New Roman" w:cs="Times New Roman"/>
          <w:color w:val="auto"/>
          <w:szCs w:val="32"/>
          <w:highlight w:val="none"/>
          <w:lang w:val="en-US" w:eastAsia="zh-CN"/>
        </w:rPr>
        <w:t>》《</w:t>
      </w:r>
      <w:r>
        <w:rPr>
          <w:rFonts w:hint="eastAsia" w:ascii="仿宋_GB2312" w:hAnsi="仿宋_GB2312" w:cs="仿宋_GB2312"/>
          <w:color w:val="auto"/>
          <w:spacing w:val="-4"/>
          <w:sz w:val="32"/>
          <w:szCs w:val="32"/>
          <w:highlight w:val="none"/>
        </w:rPr>
        <w:t>德阳市罗江区人民政府办公室关于印发</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德阳市罗江区</w:t>
      </w:r>
      <w:r>
        <w:rPr>
          <w:rFonts w:hint="eastAsia" w:ascii="仿宋_GB2312" w:hAnsi="仿宋_GB2312" w:cs="仿宋_GB2312"/>
          <w:color w:val="auto"/>
          <w:spacing w:val="-4"/>
          <w:sz w:val="32"/>
          <w:szCs w:val="32"/>
          <w:highlight w:val="none"/>
          <w:lang w:eastAsia="zh-CN"/>
        </w:rPr>
        <w:t>2022年</w:t>
      </w:r>
      <w:r>
        <w:rPr>
          <w:rFonts w:hint="eastAsia" w:ascii="仿宋_GB2312" w:hAnsi="仿宋_GB2312" w:cs="仿宋_GB2312"/>
          <w:color w:val="auto"/>
          <w:spacing w:val="-4"/>
          <w:sz w:val="32"/>
          <w:szCs w:val="32"/>
          <w:highlight w:val="none"/>
        </w:rPr>
        <w:t>政府购买</w:t>
      </w:r>
      <w:r>
        <w:rPr>
          <w:rFonts w:hint="eastAsia" w:ascii="仿宋_GB2312" w:hAnsi="仿宋_GB2312" w:cs="仿宋_GB2312"/>
          <w:color w:val="auto"/>
          <w:spacing w:val="-4"/>
          <w:sz w:val="32"/>
          <w:szCs w:val="32"/>
          <w:highlight w:val="none"/>
          <w:lang w:eastAsia="zh-CN"/>
        </w:rPr>
        <w:t>安全生产专项经费</w:t>
      </w:r>
      <w:r>
        <w:rPr>
          <w:rFonts w:hint="eastAsia" w:ascii="仿宋_GB2312" w:hAnsi="仿宋_GB2312" w:cs="仿宋_GB2312"/>
          <w:color w:val="auto"/>
          <w:spacing w:val="-4"/>
          <w:sz w:val="32"/>
          <w:szCs w:val="32"/>
          <w:highlight w:val="none"/>
        </w:rPr>
        <w:t>实施方案</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的通知</w:t>
      </w:r>
      <w:r>
        <w:rPr>
          <w:rFonts w:hint="eastAsia" w:ascii="仿宋_GB2312" w:hAnsi="仿宋_GB2312" w:cs="仿宋_GB2312"/>
          <w:color w:val="auto"/>
          <w:spacing w:val="-4"/>
          <w:sz w:val="32"/>
          <w:szCs w:val="32"/>
          <w:highlight w:val="none"/>
          <w:lang w:eastAsia="zh-CN"/>
        </w:rPr>
        <w:t>》</w:t>
      </w:r>
      <w:r>
        <w:rPr>
          <w:rFonts w:hint="eastAsia" w:ascii="仿宋_GB2312" w:hAnsi="仿宋_GB2312" w:cs="仿宋_GB2312"/>
          <w:color w:val="auto"/>
          <w:spacing w:val="-4"/>
          <w:sz w:val="32"/>
          <w:szCs w:val="32"/>
          <w:highlight w:val="none"/>
        </w:rPr>
        <w:t>（</w:t>
      </w:r>
      <w:r>
        <w:rPr>
          <w:rFonts w:hint="eastAsia" w:ascii="仿宋_GB2312" w:hAnsi="仿宋_GB2312" w:cs="仿宋_GB2312"/>
          <w:color w:val="auto"/>
          <w:sz w:val="32"/>
          <w:szCs w:val="32"/>
          <w:highlight w:val="none"/>
        </w:rPr>
        <w:t>德市罗府办发〔2021〕22号）</w:t>
      </w:r>
      <w:r>
        <w:rPr>
          <w:rFonts w:hint="eastAsia" w:ascii="仿宋_GB2312" w:hAnsi="仿宋_GB2312" w:cs="仿宋_GB2312"/>
          <w:color w:val="auto"/>
          <w:sz w:val="32"/>
          <w:szCs w:val="32"/>
          <w:highlight w:val="none"/>
          <w:lang w:val="en-US" w:eastAsia="zh-CN"/>
        </w:rPr>
        <w:t>等文件</w:t>
      </w:r>
      <w:r>
        <w:rPr>
          <w:rFonts w:hint="default" w:ascii="Times New Roman" w:hAnsi="Times New Roman" w:cs="Times New Roman"/>
          <w:color w:val="auto"/>
          <w:szCs w:val="32"/>
          <w:highlight w:val="none"/>
          <w:lang w:val="en-US" w:eastAsia="zh-CN"/>
        </w:rPr>
        <w:t>，22年</w:t>
      </w:r>
      <w:r>
        <w:rPr>
          <w:rFonts w:hint="eastAsia" w:ascii="Times New Roman" w:hAnsi="Times New Roman" w:cs="Times New Roman"/>
          <w:color w:val="auto"/>
          <w:szCs w:val="32"/>
          <w:highlight w:val="none"/>
          <w:lang w:val="en-US" w:eastAsia="zh-CN"/>
        </w:rPr>
        <w:t>该项目主要开展的内容为聘请专家开展安全生产督导检查。</w:t>
      </w:r>
      <w:r>
        <w:rPr>
          <w:rFonts w:hint="default" w:ascii="Times New Roman" w:hAnsi="Times New Roman" w:cs="Times New Roman"/>
          <w:color w:val="auto"/>
          <w:szCs w:val="32"/>
          <w:highlight w:val="none"/>
        </w:rPr>
        <w:t>对所有生产经营企业开展安全生产执法、宣传、督查，印制安全生产宣传资料、开展安全生产培训等费用。配备综合行政执法人员制式服装</w:t>
      </w:r>
      <w:r>
        <w:rPr>
          <w:rFonts w:hint="eastAsia" w:ascii="Times New Roman" w:hAnsi="Times New Roman" w:cs="Times New Roman"/>
          <w:color w:val="auto"/>
          <w:szCs w:val="32"/>
          <w:highlight w:val="none"/>
          <w:lang w:val="en-US" w:eastAsia="zh-CN"/>
        </w:rPr>
        <w:t>等内容</w:t>
      </w:r>
      <w:r>
        <w:rPr>
          <w:rFonts w:hint="default" w:ascii="Times New Roman" w:hAnsi="Times New Roman" w:cs="Times New Roman"/>
          <w:color w:val="auto"/>
          <w:szCs w:val="32"/>
          <w:highlight w:val="none"/>
        </w:rPr>
        <w:t>。</w:t>
      </w:r>
    </w:p>
    <w:p>
      <w:pPr>
        <w:pStyle w:val="4"/>
        <w:spacing w:before="0" w:after="0" w:line="580" w:lineRule="exact"/>
        <w:ind w:firstLine="643"/>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3.完成情况</w:t>
      </w:r>
    </w:p>
    <w:p>
      <w:pPr>
        <w:spacing w:line="580" w:lineRule="exact"/>
        <w:ind w:firstLine="640"/>
        <w:rPr>
          <w:rFonts w:hint="default" w:ascii="Times New Roman" w:hAnsi="Times New Roman" w:cs="Times New Roman"/>
          <w:color w:val="auto"/>
          <w:szCs w:val="32"/>
          <w:highlight w:val="none"/>
        </w:rPr>
      </w:pPr>
      <w:bookmarkStart w:id="15" w:name="_Hlk118753369"/>
      <w:r>
        <w:rPr>
          <w:rFonts w:hint="default" w:ascii="Times New Roman" w:hAnsi="Times New Roman" w:cs="Times New Roman"/>
          <w:color w:val="auto"/>
          <w:szCs w:val="32"/>
          <w:highlight w:val="none"/>
        </w:rPr>
        <w:t>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202</w:t>
      </w:r>
      <w:r>
        <w:rPr>
          <w:rFonts w:hint="default" w:ascii="Times New Roman" w:hAnsi="Times New Roman" w:cs="Times New Roman"/>
          <w:color w:val="auto"/>
          <w:szCs w:val="32"/>
          <w:highlight w:val="none"/>
          <w:lang w:val="en-US" w:eastAsia="zh-CN"/>
        </w:rPr>
        <w:t>2</w:t>
      </w:r>
      <w:r>
        <w:rPr>
          <w:rFonts w:hint="eastAsia" w:ascii="Times New Roman" w:hAnsi="Times New Roman" w:cs="Times New Roman"/>
          <w:color w:val="auto"/>
          <w:szCs w:val="32"/>
          <w:highlight w:val="none"/>
          <w:lang w:eastAsia="zh-CN"/>
        </w:rPr>
        <w:t>“安全生产专项经费”项目</w:t>
      </w:r>
      <w:r>
        <w:rPr>
          <w:rFonts w:hint="default" w:ascii="Times New Roman" w:hAnsi="Times New Roman" w:cs="Times New Roman"/>
          <w:color w:val="auto"/>
          <w:szCs w:val="32"/>
          <w:highlight w:val="none"/>
        </w:rPr>
        <w:t>围绕</w:t>
      </w:r>
      <w:r>
        <w:rPr>
          <w:rFonts w:hint="default" w:ascii="Times New Roman" w:hAnsi="Times New Roman" w:cs="Times New Roman"/>
          <w:color w:val="auto"/>
          <w:szCs w:val="32"/>
          <w:highlight w:val="none"/>
          <w:lang w:val="en-US" w:eastAsia="zh-CN"/>
        </w:rPr>
        <w:t>促使安全监管执法能力提升，提高执法效率</w:t>
      </w:r>
      <w:r>
        <w:rPr>
          <w:rFonts w:hint="default" w:ascii="Times New Roman" w:hAnsi="Times New Roman" w:cs="Times New Roman"/>
          <w:color w:val="auto"/>
          <w:szCs w:val="32"/>
          <w:highlight w:val="none"/>
        </w:rPr>
        <w:t>。根据德阳市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提供的相关</w:t>
      </w:r>
      <w:r>
        <w:rPr>
          <w:rFonts w:hint="default" w:ascii="Times New Roman" w:hAnsi="Times New Roman" w:cs="Times New Roman"/>
          <w:color w:val="auto"/>
          <w:szCs w:val="32"/>
          <w:highlight w:val="none"/>
          <w:lang w:val="en-US" w:eastAsia="zh-CN"/>
        </w:rPr>
        <w:t>资料</w:t>
      </w:r>
      <w:r>
        <w:rPr>
          <w:rFonts w:hint="default" w:ascii="Times New Roman" w:hAnsi="Times New Roman" w:cs="Times New Roman"/>
          <w:color w:val="auto"/>
          <w:szCs w:val="32"/>
          <w:highlight w:val="none"/>
        </w:rPr>
        <w:t>，</w:t>
      </w:r>
      <w:r>
        <w:rPr>
          <w:rFonts w:hint="default" w:ascii="Times New Roman" w:hAnsi="Times New Roman" w:cs="Times New Roman"/>
          <w:color w:val="auto"/>
          <w:szCs w:val="32"/>
          <w:highlight w:val="none"/>
          <w:lang w:eastAsia="zh-CN"/>
        </w:rPr>
        <w:t>2022年</w:t>
      </w:r>
      <w:r>
        <w:rPr>
          <w:rFonts w:hint="default" w:ascii="Times New Roman" w:hAnsi="Times New Roman" w:cs="Times New Roman"/>
          <w:color w:val="auto"/>
          <w:szCs w:val="32"/>
          <w:highlight w:val="none"/>
          <w:lang w:val="en-US" w:eastAsia="zh-CN"/>
        </w:rPr>
        <w:t>罗江区应急管理局的</w:t>
      </w:r>
      <w:r>
        <w:rPr>
          <w:rFonts w:hint="default" w:ascii="Times New Roman" w:hAnsi="Times New Roman" w:cs="Times New Roman"/>
          <w:color w:val="auto"/>
          <w:szCs w:val="32"/>
          <w:highlight w:val="none"/>
          <w:lang w:eastAsia="zh-CN"/>
        </w:rPr>
        <w:t>安全生产专项经费</w:t>
      </w:r>
      <w:r>
        <w:rPr>
          <w:rFonts w:hint="default" w:ascii="Times New Roman" w:hAnsi="Times New Roman" w:cs="Times New Roman"/>
          <w:color w:val="auto"/>
          <w:szCs w:val="32"/>
          <w:highlight w:val="none"/>
          <w:lang w:val="en-US" w:eastAsia="zh-CN"/>
        </w:rPr>
        <w:t>主要支出方向为付聘请专家开展安全生产督导检查劳务费</w:t>
      </w:r>
      <w:r>
        <w:rPr>
          <w:rFonts w:hint="eastAsia" w:ascii="Times New Roman" w:hAnsi="Times New Roman" w:cs="Times New Roman"/>
          <w:color w:val="auto"/>
          <w:szCs w:val="32"/>
          <w:highlight w:val="none"/>
          <w:lang w:val="en-US" w:eastAsia="zh-CN"/>
        </w:rPr>
        <w:t>、付绵竹市局考察我区安全生产调研费、付办公用品费用、购买森防物资、付印刷资料宣传费及付办公耗材费等</w:t>
      </w:r>
      <w:r>
        <w:rPr>
          <w:rFonts w:hint="default" w:ascii="Times New Roman" w:hAnsi="Times New Roman" w:cs="Times New Roman"/>
          <w:color w:val="auto"/>
          <w:szCs w:val="32"/>
          <w:highlight w:val="none"/>
          <w:lang w:val="en-US" w:eastAsia="zh-CN"/>
        </w:rPr>
        <w:t>日常开展活动及购买物资</w:t>
      </w:r>
      <w:r>
        <w:rPr>
          <w:rFonts w:hint="eastAsia" w:ascii="Times New Roman" w:hAnsi="Times New Roman" w:cs="Times New Roman"/>
          <w:color w:val="auto"/>
          <w:szCs w:val="32"/>
          <w:highlight w:val="none"/>
          <w:lang w:val="en-US" w:eastAsia="zh-CN"/>
        </w:rPr>
        <w:t>的费用</w:t>
      </w:r>
      <w:r>
        <w:rPr>
          <w:rFonts w:hint="default" w:ascii="Times New Roman" w:hAnsi="Times New Roman" w:cs="Times New Roman"/>
          <w:color w:val="auto"/>
          <w:szCs w:val="32"/>
          <w:highlight w:val="none"/>
        </w:rPr>
        <w:t>。</w:t>
      </w:r>
    </w:p>
    <w:bookmarkEnd w:id="15"/>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16" w:name="_Toc5906"/>
      <w:bookmarkStart w:id="17" w:name="_Toc93"/>
      <w:r>
        <w:rPr>
          <w:rFonts w:hint="default" w:ascii="Times New Roman" w:hAnsi="Times New Roman" w:eastAsia="黑体" w:cs="Times New Roman"/>
          <w:b w:val="0"/>
          <w:bCs/>
          <w:color w:val="auto"/>
          <w:sz w:val="32"/>
          <w:szCs w:val="20"/>
          <w:highlight w:val="none"/>
        </w:rPr>
        <w:t>二、评价工作开展情况</w:t>
      </w:r>
      <w:bookmarkEnd w:id="16"/>
      <w:bookmarkEnd w:id="17"/>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18" w:name="_Toc25166"/>
      <w:bookmarkStart w:id="19" w:name="_Toc967"/>
      <w:r>
        <w:rPr>
          <w:rFonts w:hint="default" w:ascii="Times New Roman" w:hAnsi="Times New Roman" w:eastAsia="楷体_GB2312" w:cs="Times New Roman"/>
          <w:color w:val="auto"/>
          <w:sz w:val="32"/>
          <w:szCs w:val="32"/>
          <w:highlight w:val="none"/>
        </w:rPr>
        <w:t>（一）绩效评价的目的</w:t>
      </w:r>
      <w:bookmarkEnd w:id="18"/>
      <w:bookmarkEnd w:id="19"/>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本次以评价德阳市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安全生产专项经费</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项目产生的效果为导向，通过系统整理和分析项目的</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决策</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过程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产出</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效果</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等情况，对本项目的经济性、效率性、效益性和公平性进行客观、公正地测量、分析和评判。同时，梳理项目存在的主要问题，提出改善后继管理的建议，为优化财政支出管理，进一步完善和实施绩效目标制定、绩效动态跟踪、绩效评价、结果应用等全过程预算绩效管理提供决策依据，为下一步实施预算绩效管理奠定基础。具体目标如下：</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1.通过评价，了解德阳市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安全生产专项经费</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项目的基本状况，对项目的实施背景和目的、实施内容和现状、预算安排及使用情况深入调研和分析；</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2.通过评价，了解德阳市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“安全生产专项经费”项目</w:t>
      </w:r>
      <w:r>
        <w:rPr>
          <w:rFonts w:hint="default" w:ascii="Times New Roman" w:hAnsi="Times New Roman" w:cs="Times New Roman"/>
          <w:color w:val="auto"/>
          <w:highlight w:val="none"/>
        </w:rPr>
        <w:t>的实际完成情况，了解项目相关组织实施主体在实施过程中的履职情况，评估项目的整体绩效状况；</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3.通过评价，发掘德阳市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安全生产专项经费</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项目所产生的现实意义和实际价值，总结本项目对促进</w:t>
      </w:r>
      <w:r>
        <w:rPr>
          <w:rFonts w:hint="default" w:ascii="Times New Roman" w:hAnsi="Times New Roman" w:cs="Times New Roman"/>
          <w:color w:val="auto"/>
          <w:highlight w:val="none"/>
          <w:lang w:eastAsia="zh-CN"/>
        </w:rPr>
        <w:t>安全生产专项经费</w:t>
      </w:r>
      <w:r>
        <w:rPr>
          <w:rFonts w:hint="default" w:ascii="Times New Roman" w:hAnsi="Times New Roman" w:cs="Times New Roman"/>
          <w:color w:val="auto"/>
          <w:highlight w:val="none"/>
        </w:rPr>
        <w:t>发展的现实指导意义；</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4.通过评价，从</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全面预算绩效管理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的角度发现项目在决策、实施和管理过程中存在的问题，寻求解决方案，为进一步深化项目管理工作提供依据，促进德阳市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的管理水平，提高财政资金的使用效率和效果，推进预算绩效管理。</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20" w:name="_Toc29836"/>
      <w:bookmarkStart w:id="21" w:name="_Toc24581"/>
      <w:r>
        <w:rPr>
          <w:rFonts w:hint="default" w:ascii="Times New Roman" w:hAnsi="Times New Roman" w:eastAsia="楷体_GB2312" w:cs="Times New Roman"/>
          <w:color w:val="auto"/>
          <w:sz w:val="32"/>
          <w:szCs w:val="32"/>
          <w:highlight w:val="none"/>
        </w:rPr>
        <w:t>（二）评价的思路、原则、依据及方法</w:t>
      </w:r>
      <w:bookmarkEnd w:id="20"/>
      <w:bookmarkEnd w:id="21"/>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1.评价思路</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评价小组以既顾及全面，又突出重点作为本次绩效评价工作的总体思路开展绩效评价工作。通过分析德阳市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highlight w:val="none"/>
        </w:rPr>
        <w:t>等</w:t>
      </w:r>
      <w:r>
        <w:rPr>
          <w:rFonts w:hint="default" w:ascii="Times New Roman" w:hAnsi="Times New Roman" w:cs="Times New Roman"/>
          <w:color w:val="auto"/>
          <w:szCs w:val="32"/>
          <w:highlight w:val="none"/>
        </w:rPr>
        <w:t>组织实施主体提供的《2022年度区级财政项目资金计划申报表</w:t>
      </w:r>
      <w:r>
        <w:rPr>
          <w:rFonts w:hint="eastAsia" w:ascii="Times New Roman" w:hAnsi="Times New Roman" w:cs="Times New Roman"/>
          <w:color w:val="auto"/>
          <w:szCs w:val="32"/>
          <w:highlight w:val="none"/>
          <w:lang w:eastAsia="zh-CN"/>
        </w:rPr>
        <w:t>》《</w:t>
      </w:r>
      <w:r>
        <w:rPr>
          <w:rFonts w:hint="eastAsia" w:ascii="仿宋_GB2312" w:hAnsi="仿宋_GB2312" w:cs="仿宋_GB2312"/>
          <w:color w:val="auto"/>
          <w:spacing w:val="-4"/>
          <w:sz w:val="32"/>
          <w:szCs w:val="32"/>
          <w:highlight w:val="none"/>
        </w:rPr>
        <w:t>德阳市罗江区人民政府办公室关于印发</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德阳市罗江区</w:t>
      </w:r>
      <w:r>
        <w:rPr>
          <w:rFonts w:hint="eastAsia" w:ascii="仿宋_GB2312" w:hAnsi="仿宋_GB2312" w:cs="仿宋_GB2312"/>
          <w:color w:val="auto"/>
          <w:spacing w:val="-4"/>
          <w:sz w:val="32"/>
          <w:szCs w:val="32"/>
          <w:highlight w:val="none"/>
          <w:lang w:eastAsia="zh-CN"/>
        </w:rPr>
        <w:t>2022年</w:t>
      </w:r>
      <w:r>
        <w:rPr>
          <w:rFonts w:hint="eastAsia" w:ascii="仿宋_GB2312" w:hAnsi="仿宋_GB2312" w:cs="仿宋_GB2312"/>
          <w:color w:val="auto"/>
          <w:spacing w:val="-4"/>
          <w:sz w:val="32"/>
          <w:szCs w:val="32"/>
          <w:highlight w:val="none"/>
        </w:rPr>
        <w:t>政府购买</w:t>
      </w:r>
      <w:r>
        <w:rPr>
          <w:rFonts w:hint="eastAsia" w:ascii="仿宋_GB2312" w:hAnsi="仿宋_GB2312" w:cs="仿宋_GB2312"/>
          <w:color w:val="auto"/>
          <w:spacing w:val="-4"/>
          <w:sz w:val="32"/>
          <w:szCs w:val="32"/>
          <w:highlight w:val="none"/>
          <w:lang w:eastAsia="zh-CN"/>
        </w:rPr>
        <w:t>安全生产专项经费</w:t>
      </w:r>
      <w:r>
        <w:rPr>
          <w:rFonts w:hint="eastAsia" w:ascii="仿宋_GB2312" w:hAnsi="仿宋_GB2312" w:cs="仿宋_GB2312"/>
          <w:color w:val="auto"/>
          <w:spacing w:val="-4"/>
          <w:sz w:val="32"/>
          <w:szCs w:val="32"/>
          <w:highlight w:val="none"/>
        </w:rPr>
        <w:t>实施方案</w:t>
      </w:r>
      <w:r>
        <w:rPr>
          <w:rFonts w:hint="eastAsia" w:ascii="仿宋_GB2312" w:hAnsi="仿宋_GB2312" w:eastAsia="仿宋_GB2312" w:cs="仿宋_GB2312"/>
          <w:color w:val="auto"/>
          <w:spacing w:val="-4"/>
          <w:sz w:val="32"/>
          <w:szCs w:val="32"/>
          <w:highlight w:val="none"/>
        </w:rPr>
        <w:t>〉</w:t>
      </w:r>
      <w:r>
        <w:rPr>
          <w:rFonts w:hint="eastAsia" w:ascii="仿宋_GB2312" w:hAnsi="仿宋_GB2312" w:cs="仿宋_GB2312"/>
          <w:color w:val="auto"/>
          <w:spacing w:val="-4"/>
          <w:sz w:val="32"/>
          <w:szCs w:val="32"/>
          <w:highlight w:val="none"/>
        </w:rPr>
        <w:t>的通知</w:t>
      </w:r>
      <w:r>
        <w:rPr>
          <w:rFonts w:hint="eastAsia" w:ascii="仿宋_GB2312" w:hAnsi="仿宋_GB2312" w:cs="仿宋_GB2312"/>
          <w:color w:val="auto"/>
          <w:spacing w:val="-4"/>
          <w:sz w:val="32"/>
          <w:szCs w:val="32"/>
          <w:highlight w:val="none"/>
          <w:lang w:eastAsia="zh-CN"/>
        </w:rPr>
        <w:t>》</w:t>
      </w:r>
      <w:r>
        <w:rPr>
          <w:rFonts w:hint="eastAsia" w:ascii="仿宋_GB2312" w:hAnsi="仿宋_GB2312" w:cs="仿宋_GB2312"/>
          <w:color w:val="auto"/>
          <w:spacing w:val="-4"/>
          <w:sz w:val="32"/>
          <w:szCs w:val="32"/>
          <w:highlight w:val="none"/>
        </w:rPr>
        <w:t>（</w:t>
      </w:r>
      <w:r>
        <w:rPr>
          <w:rFonts w:hint="eastAsia" w:ascii="仿宋_GB2312" w:hAnsi="仿宋_GB2312" w:cs="仿宋_GB2312"/>
          <w:color w:val="auto"/>
          <w:sz w:val="32"/>
          <w:szCs w:val="32"/>
          <w:highlight w:val="none"/>
        </w:rPr>
        <w:t>德市罗府办发〔2021〕22号）</w:t>
      </w:r>
      <w:r>
        <w:rPr>
          <w:rFonts w:hint="eastAsia" w:ascii="仿宋_GB2312" w:hAnsi="仿宋_GB2312" w:cs="仿宋_GB2312"/>
          <w:color w:val="auto"/>
          <w:sz w:val="32"/>
          <w:szCs w:val="32"/>
          <w:highlight w:val="none"/>
          <w:lang w:val="en-US" w:eastAsia="zh-CN"/>
        </w:rPr>
        <w:t>等文件</w:t>
      </w:r>
      <w:r>
        <w:rPr>
          <w:rFonts w:hint="default" w:ascii="Times New Roman" w:hAnsi="Times New Roman" w:cs="Times New Roman"/>
          <w:color w:val="auto"/>
          <w:szCs w:val="32"/>
          <w:highlight w:val="none"/>
        </w:rPr>
        <w:t>等立项文件及资金使用明细、</w:t>
      </w:r>
      <w:r>
        <w:rPr>
          <w:rFonts w:hint="default" w:ascii="Times New Roman" w:hAnsi="Times New Roman" w:cs="Times New Roman"/>
          <w:color w:val="auto"/>
          <w:szCs w:val="32"/>
          <w:highlight w:val="none"/>
          <w:lang w:val="en-US" w:eastAsia="zh-CN"/>
        </w:rPr>
        <w:t>记账凭证</w:t>
      </w:r>
      <w:r>
        <w:rPr>
          <w:rFonts w:hint="default" w:ascii="Times New Roman" w:hAnsi="Times New Roman" w:cs="Times New Roman"/>
          <w:color w:val="auto"/>
          <w:szCs w:val="32"/>
          <w:highlight w:val="none"/>
        </w:rPr>
        <w:t>等资料，全面把握</w:t>
      </w:r>
      <w:r>
        <w:rPr>
          <w:rFonts w:hint="default" w:ascii="Times New Roman" w:hAnsi="Times New Roman" w:cs="Times New Roman"/>
          <w:color w:val="auto"/>
          <w:szCs w:val="32"/>
          <w:highlight w:val="none"/>
          <w:lang w:eastAsia="zh-CN"/>
        </w:rPr>
        <w:t>2022年</w:t>
      </w:r>
      <w:r>
        <w:rPr>
          <w:rFonts w:hint="eastAsia" w:ascii="Times New Roman" w:hAnsi="Times New Roman" w:cs="Times New Roman"/>
          <w:color w:val="auto"/>
          <w:szCs w:val="32"/>
          <w:highlight w:val="none"/>
          <w:lang w:eastAsia="zh-CN"/>
        </w:rPr>
        <w:t>“安全生产专项经费”项目</w:t>
      </w:r>
      <w:r>
        <w:rPr>
          <w:rFonts w:hint="default" w:ascii="Times New Roman" w:hAnsi="Times New Roman" w:cs="Times New Roman"/>
          <w:color w:val="auto"/>
          <w:szCs w:val="32"/>
          <w:highlight w:val="none"/>
        </w:rPr>
        <w:t>的总体目标及资金使用情况，全面了解项目的立项、预算申请与批复、组织实施、项目验收移交、决算、资金拨付、监督管理等工作流程。通过社会调研、访谈等途径获取</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安全生产专项经费</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项目的基础资料，综合使用政策研究、数据分析、归纳总结等方式，深挖项目中存在的问题，并提出切实可行的解决方案。</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2.评价原则</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（1）科学规范原则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szCs w:val="32"/>
          <w:highlight w:val="none"/>
        </w:rPr>
        <w:t>根据《关于全面实施预算绩效管理的意见》（中发〔2018〕</w:t>
      </w:r>
      <w:r>
        <w:rPr>
          <w:rFonts w:hint="default" w:ascii="Times New Roman" w:hAnsi="Times New Roman" w:cs="Times New Roman"/>
          <w:color w:val="auto"/>
          <w:highlight w:val="none"/>
        </w:rPr>
        <w:t>34号）、财政部《关于印发〈预算绩效评价共性指标体系框架〉的通知》（财预〔2013〕53号）及《项目支出绩效评价管理办法》（财预〔2020〕10号）、</w:t>
      </w:r>
      <w:r>
        <w:rPr>
          <w:rFonts w:hint="default" w:ascii="Times New Roman" w:hAnsi="Times New Roman" w:cs="Times New Roman"/>
          <w:color w:val="auto"/>
          <w:szCs w:val="32"/>
          <w:highlight w:val="none"/>
        </w:rPr>
        <w:t>《中共四川省委 四川省人民政府关于全面实施预算绩效管理的实施意见》（川委发〔2019〕8号）、《德阳市罗江区财政局关于开展</w:t>
      </w:r>
      <w:r>
        <w:rPr>
          <w:rFonts w:hint="eastAsia" w:ascii="Times New Roman" w:hAnsi="Times New Roman" w:cs="Times New Roman"/>
          <w:color w:val="auto"/>
          <w:szCs w:val="32"/>
          <w:highlight w:val="none"/>
          <w:lang w:eastAsia="zh-CN"/>
        </w:rPr>
        <w:t>2023年重点绩效评价</w:t>
      </w:r>
      <w:r>
        <w:rPr>
          <w:rFonts w:hint="default" w:ascii="Times New Roman" w:hAnsi="Times New Roman" w:cs="Times New Roman"/>
          <w:color w:val="auto"/>
          <w:szCs w:val="32"/>
          <w:highlight w:val="none"/>
        </w:rPr>
        <w:t>工作的通知》（</w:t>
      </w:r>
      <w:r>
        <w:rPr>
          <w:rFonts w:hint="default" w:ascii="Times New Roman" w:hAnsi="Times New Roman" w:cs="Times New Roman"/>
          <w:color w:val="auto"/>
          <w:szCs w:val="32"/>
          <w:highlight w:val="none"/>
          <w:lang w:eastAsia="zh-CN"/>
        </w:rPr>
        <w:t>德市罗财绩〔2023〕6号</w:t>
      </w:r>
      <w:r>
        <w:rPr>
          <w:rFonts w:hint="default" w:ascii="Times New Roman" w:hAnsi="Times New Roman" w:cs="Times New Roman"/>
          <w:color w:val="auto"/>
          <w:szCs w:val="32"/>
          <w:highlight w:val="none"/>
        </w:rPr>
        <w:t>）</w:t>
      </w:r>
      <w:r>
        <w:rPr>
          <w:rFonts w:hint="default" w:ascii="Times New Roman" w:hAnsi="Times New Roman" w:cs="Times New Roman"/>
          <w:color w:val="auto"/>
          <w:highlight w:val="none"/>
        </w:rPr>
        <w:t>中对项目支出绩效评价的相关要求，评价小组对收集到的数据进行整理，并对发现的问题及时处理，保证评价程序的科学性、规范性。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（2）公开公正原则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评价目标的设定、指标体系的设计、数据收集与填报、复核等所有环节，都必须保障评价过程的公开性、程序的规范性和合理性，评价小组应及时处理评价过程中发现的问题，以此保证评价结果的准确性和科学性。</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（3）独立客观原则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评价以数据为准绳，坚持评价的客观性。即由相关部门填报或提供数据，评价小组根据填报或提供的数据，在进行汇总、分析、评价的基础上独立开展绩效评价工作，得出评价结论，并形成评价报告。</w:t>
      </w:r>
    </w:p>
    <w:p>
      <w:pPr>
        <w:pStyle w:val="4"/>
        <w:spacing w:before="0" w:after="0" w:line="580" w:lineRule="exact"/>
        <w:ind w:firstLine="643"/>
        <w:rPr>
          <w:rFonts w:hint="default" w:ascii="Times New Roman" w:hAnsi="Times New Roman" w:cs="Times New Roman"/>
          <w:bCs/>
          <w:color w:val="auto"/>
          <w:szCs w:val="32"/>
          <w:highlight w:val="none"/>
        </w:rPr>
      </w:pPr>
      <w:r>
        <w:rPr>
          <w:rFonts w:hint="default" w:ascii="Times New Roman" w:hAnsi="Times New Roman" w:cs="Times New Roman"/>
          <w:bCs/>
          <w:color w:val="auto"/>
          <w:szCs w:val="32"/>
          <w:highlight w:val="none"/>
        </w:rPr>
        <w:t>3.评价依据及方法</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在绩效评价过程中，参照的评价依据包括但不限于：国家、省、市、区或县相关法律法规、方针政策、规章制度；国家、省、市、区或县各级政府制定的国民经济与社会发展规划；各级财政部门制定的绩效管理制度及工作规范；部门（单位）职能职责；中长期发展规划和年度工作计划；绩效目标等，具体如下：</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表2-1 项目支出绩效评价依据</w:t>
      </w:r>
    </w:p>
    <w:tbl>
      <w:tblPr>
        <w:tblStyle w:val="15"/>
        <w:tblW w:w="887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6"/>
        <w:gridCol w:w="578"/>
        <w:gridCol w:w="69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blHeader/>
        </w:trPr>
        <w:tc>
          <w:tcPr>
            <w:tcW w:w="1376"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类型</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序号</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b/>
                <w:color w:val="auto"/>
                <w:sz w:val="24"/>
                <w:highlight w:val="none"/>
              </w:rPr>
            </w:pPr>
            <w:r>
              <w:rPr>
                <w:rFonts w:hint="default" w:ascii="Times New Roman" w:hAnsi="Times New Roman" w:cs="Times New Roman"/>
                <w:b/>
                <w:color w:val="auto"/>
                <w:kern w:val="0"/>
                <w:sz w:val="24"/>
                <w:highlight w:val="none"/>
                <w:lang w:bidi="ar"/>
              </w:rPr>
              <w:t>文件名称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restart"/>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绩效管理类</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1</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《关于全面实施预算绩效管理的意见》（中发〔2018〕34号）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2</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《关于印发〈预算绩效评价共性指标体系框架〉的通知》（财预〔2013〕53号）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3</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《项目支出绩效评价管理办法》（财预〔2020〕10号）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4</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《中共四川省委 四川省人民政府关于全面实施预算绩效管理的实施意见》（川委发〔2019〕8号）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5</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sz w:val="24"/>
                <w:highlight w:val="none"/>
              </w:rPr>
              <w:t>《德阳市罗江区财政局关于开展</w:t>
            </w:r>
            <w:r>
              <w:rPr>
                <w:rFonts w:hint="default" w:ascii="Times New Roman" w:hAnsi="Times New Roman" w:cs="Times New Roman"/>
                <w:color w:val="auto"/>
                <w:sz w:val="24"/>
                <w:highlight w:val="none"/>
                <w:lang w:eastAsia="zh-CN"/>
              </w:rPr>
              <w:t>2023年重点绩效评价</w:t>
            </w:r>
            <w:r>
              <w:rPr>
                <w:rFonts w:hint="default" w:ascii="Times New Roman" w:hAnsi="Times New Roman" w:cs="Times New Roman"/>
                <w:color w:val="auto"/>
                <w:sz w:val="24"/>
                <w:highlight w:val="none"/>
              </w:rPr>
              <w:t>工作的通知》（</w:t>
            </w:r>
            <w:r>
              <w:rPr>
                <w:rFonts w:hint="default" w:ascii="Times New Roman" w:hAnsi="Times New Roman" w:cs="Times New Roman"/>
                <w:color w:val="auto"/>
                <w:sz w:val="24"/>
                <w:highlight w:val="none"/>
                <w:lang w:eastAsia="zh-CN"/>
              </w:rPr>
              <w:t>德市罗财绩〔2023〕6号</w:t>
            </w:r>
            <w:r>
              <w:rPr>
                <w:rFonts w:hint="default" w:ascii="Times New Roman" w:hAnsi="Times New Roman" w:cs="Times New Roman"/>
                <w:color w:val="auto"/>
                <w:sz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restart"/>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业务相关类</w:t>
            </w: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sz w:val="24"/>
                <w:highlight w:val="none"/>
              </w:rPr>
            </w:pPr>
            <w:r>
              <w:rPr>
                <w:rFonts w:hint="default" w:ascii="Times New Roman" w:hAnsi="Times New Roman" w:cs="Times New Roman"/>
                <w:color w:val="auto"/>
                <w:kern w:val="0"/>
                <w:sz w:val="24"/>
                <w:highlight w:val="none"/>
                <w:lang w:bidi="ar"/>
              </w:rPr>
              <w:t>6</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sz w:val="24"/>
                <w:highlight w:val="green"/>
              </w:rPr>
            </w:pPr>
            <w:r>
              <w:rPr>
                <w:rFonts w:hint="default" w:ascii="Times New Roman" w:hAnsi="Times New Roman" w:eastAsia="仿宋_GB2312" w:cs="Times New Roman"/>
                <w:color w:val="auto"/>
                <w:sz w:val="24"/>
                <w:szCs w:val="24"/>
                <w:highlight w:val="none"/>
                <w:lang w:val="en-US" w:eastAsia="zh-CN"/>
              </w:rPr>
              <w:t>《关于印发2011年安全生产宣传工作要点的通知》（安监总政法</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lang w:val="en-US" w:eastAsia="zh-CN"/>
              </w:rPr>
              <w:t>2011</w:t>
            </w:r>
            <w:r>
              <w:rPr>
                <w:rFonts w:hint="default" w:ascii="Times New Roman" w:hAnsi="Times New Roman" w:eastAsia="仿宋_GB2312" w:cs="Times New Roman"/>
                <w:color w:val="auto"/>
                <w:sz w:val="24"/>
                <w:szCs w:val="24"/>
                <w:highlight w:val="none"/>
              </w:rPr>
              <w:t>〕</w:t>
            </w:r>
            <w:r>
              <w:rPr>
                <w:rFonts w:hint="default" w:ascii="Times New Roman" w:hAnsi="Times New Roman" w:eastAsia="仿宋_GB2312" w:cs="Times New Roman"/>
                <w:color w:val="auto"/>
                <w:sz w:val="24"/>
                <w:szCs w:val="24"/>
                <w:highlight w:val="none"/>
                <w:lang w:val="en-US" w:eastAsia="zh-CN"/>
              </w:rPr>
              <w:t>29号文）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eastAsia" w:ascii="Times New Roman" w:hAnsi="Times New Roman" w:eastAsia="仿宋_GB2312"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7</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《中华人民共和国安全生产法》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default" w:ascii="Times New Roman" w:hAnsi="Times New Roman" w:cs="Times New Roman"/>
                <w:color w:val="auto"/>
                <w:kern w:val="0"/>
                <w:sz w:val="24"/>
                <w:highlight w:val="none"/>
                <w:lang w:val="en-US" w:eastAsia="zh-CN" w:bidi="ar"/>
              </w:rPr>
            </w:pPr>
            <w:r>
              <w:rPr>
                <w:rFonts w:hint="eastAsia" w:ascii="Times New Roman" w:hAnsi="Times New Roman" w:cs="Times New Roman"/>
                <w:color w:val="auto"/>
                <w:kern w:val="0"/>
                <w:sz w:val="24"/>
                <w:highlight w:val="none"/>
                <w:lang w:val="en-US" w:eastAsia="zh-CN" w:bidi="ar"/>
              </w:rPr>
              <w:t>8</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kern w:val="0"/>
                <w:sz w:val="24"/>
                <w:highlight w:val="none"/>
                <w:lang w:bidi="ar"/>
              </w:rPr>
            </w:pPr>
            <w:r>
              <w:rPr>
                <w:rFonts w:hint="default" w:ascii="Times New Roman" w:hAnsi="Times New Roman" w:cs="Times New Roman"/>
                <w:color w:val="auto"/>
                <w:kern w:val="0"/>
                <w:sz w:val="24"/>
                <w:highlight w:val="none"/>
                <w:lang w:bidi="ar"/>
              </w:rPr>
              <w:t>《德阳市罗江区人民政府办公室关于印发〈德阳市罗江区2022年政府购买安全生产专项经费实施方案〉的通知》（德市罗府办发〔2021〕22号）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blHeader/>
        </w:trPr>
        <w:tc>
          <w:tcPr>
            <w:tcW w:w="1376" w:type="dxa"/>
            <w:vMerge w:val="continue"/>
            <w:tcBorders>
              <w:tl2br w:val="nil"/>
              <w:tr2bl w:val="nil"/>
            </w:tcBorders>
            <w:shd w:val="clear" w:color="auto" w:fill="auto"/>
            <w:noWrap/>
            <w:tcMar>
              <w:top w:w="15" w:type="dxa"/>
              <w:left w:w="15" w:type="dxa"/>
              <w:right w:w="15" w:type="dxa"/>
            </w:tcMar>
            <w:vAlign w:val="center"/>
          </w:tcPr>
          <w:p>
            <w:pPr>
              <w:spacing w:line="360" w:lineRule="auto"/>
              <w:ind w:firstLine="0" w:firstLineChars="0"/>
              <w:jc w:val="center"/>
              <w:rPr>
                <w:rFonts w:hint="default" w:ascii="Times New Roman" w:hAnsi="Times New Roman" w:cs="Times New Roman"/>
                <w:color w:val="auto"/>
                <w:sz w:val="24"/>
                <w:highlight w:val="none"/>
              </w:rPr>
            </w:pPr>
          </w:p>
        </w:tc>
        <w:tc>
          <w:tcPr>
            <w:tcW w:w="578"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jc w:val="center"/>
              <w:textAlignment w:val="center"/>
              <w:rPr>
                <w:rFonts w:hint="eastAsia" w:ascii="Times New Roman" w:hAnsi="Times New Roman" w:eastAsia="仿宋_GB2312" w:cs="Times New Roman"/>
                <w:color w:val="auto"/>
                <w:kern w:val="0"/>
                <w:sz w:val="24"/>
                <w:highlight w:val="none"/>
                <w:lang w:eastAsia="zh-CN" w:bidi="ar"/>
              </w:rPr>
            </w:pPr>
            <w:r>
              <w:rPr>
                <w:rFonts w:hint="eastAsia" w:ascii="Times New Roman" w:hAnsi="Times New Roman" w:cs="Times New Roman"/>
                <w:color w:val="auto"/>
                <w:kern w:val="0"/>
                <w:sz w:val="24"/>
                <w:highlight w:val="none"/>
                <w:lang w:val="en-US" w:eastAsia="zh-CN" w:bidi="ar"/>
              </w:rPr>
              <w:t>9</w:t>
            </w:r>
          </w:p>
        </w:tc>
        <w:tc>
          <w:tcPr>
            <w:tcW w:w="6921" w:type="dxa"/>
            <w:tcBorders>
              <w:tl2br w:val="nil"/>
              <w:tr2bl w:val="nil"/>
            </w:tcBorders>
            <w:shd w:val="clear" w:color="auto" w:fill="auto"/>
            <w:noWrap/>
            <w:tcMar>
              <w:top w:w="15" w:type="dxa"/>
              <w:left w:w="15" w:type="dxa"/>
              <w:right w:w="15" w:type="dxa"/>
            </w:tcMar>
            <w:vAlign w:val="center"/>
          </w:tcPr>
          <w:p>
            <w:pPr>
              <w:widowControl/>
              <w:spacing w:line="360" w:lineRule="auto"/>
              <w:ind w:firstLine="0" w:firstLineChars="0"/>
              <w:textAlignment w:val="center"/>
              <w:rPr>
                <w:rFonts w:hint="default" w:ascii="Times New Roman" w:hAnsi="Times New Roman" w:cs="Times New Roman"/>
                <w:color w:val="auto"/>
                <w:kern w:val="0"/>
                <w:sz w:val="24"/>
                <w:highlight w:val="green"/>
                <w:lang w:bidi="ar"/>
              </w:rPr>
            </w:pPr>
            <w:r>
              <w:rPr>
                <w:rFonts w:hint="default" w:ascii="Times New Roman" w:hAnsi="Times New Roman" w:cs="Times New Roman"/>
                <w:color w:val="auto"/>
                <w:kern w:val="0"/>
                <w:sz w:val="24"/>
                <w:highlight w:val="none"/>
                <w:lang w:bidi="ar"/>
              </w:rPr>
              <w:t>《2022年度区级财政项目资金计划申报表》</w:t>
            </w:r>
          </w:p>
        </w:tc>
      </w:tr>
    </w:tbl>
    <w:p>
      <w:pPr>
        <w:spacing w:before="312" w:beforeLines="10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本项目采用的绩效评价方法主要包括文献研究法、目标评价法、抽样复核法、公众评判法、逻辑分析法等。</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22" w:name="_Toc22085"/>
      <w:bookmarkStart w:id="23" w:name="_Toc44"/>
      <w:r>
        <w:rPr>
          <w:rFonts w:hint="default" w:ascii="Times New Roman" w:hAnsi="Times New Roman" w:eastAsia="楷体_GB2312" w:cs="Times New Roman"/>
          <w:color w:val="auto"/>
          <w:sz w:val="32"/>
          <w:szCs w:val="32"/>
          <w:highlight w:val="none"/>
        </w:rPr>
        <w:t>（三）数据采集方法及过程</w:t>
      </w:r>
      <w:bookmarkEnd w:id="22"/>
      <w:bookmarkEnd w:id="23"/>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本次绩效评价工作需要的数据包括定性数据和定量数据两种类别，定性数据主要是通过实地考察、现场访谈、电话沟通等社会调查方式进行采集，定量数据主要通过项目单位和其他相关单位填报基础数据采集表的方式进行采集；此外，调查组对采集的数据进行了复核，确保数据的准确性。</w:t>
      </w:r>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24" w:name="_Toc31661"/>
      <w:bookmarkStart w:id="25" w:name="_Toc22344"/>
      <w:r>
        <w:rPr>
          <w:rFonts w:hint="default" w:ascii="Times New Roman" w:hAnsi="Times New Roman" w:eastAsia="楷体_GB2312" w:cs="Times New Roman"/>
          <w:color w:val="auto"/>
          <w:sz w:val="32"/>
          <w:szCs w:val="32"/>
          <w:highlight w:val="none"/>
        </w:rPr>
        <w:t>（四）绩效评价实施过程</w:t>
      </w:r>
      <w:bookmarkEnd w:id="24"/>
      <w:bookmarkEnd w:id="25"/>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highlight w:val="none"/>
        </w:rPr>
        <w:t>德阳市</w:t>
      </w:r>
      <w:r>
        <w:rPr>
          <w:rFonts w:hint="default" w:ascii="Times New Roman" w:hAnsi="Times New Roman" w:cs="Times New Roman"/>
          <w:color w:val="auto"/>
          <w:highlight w:val="none"/>
          <w:lang w:eastAsia="zh-CN"/>
        </w:rPr>
        <w:t>罗江区应急管理局</w:t>
      </w:r>
      <w:r>
        <w:rPr>
          <w:rFonts w:hint="default" w:ascii="Times New Roman" w:hAnsi="Times New Roman" w:cs="Times New Roman"/>
          <w:color w:val="auto"/>
          <w:highlight w:val="none"/>
        </w:rPr>
        <w:t>202</w:t>
      </w:r>
      <w:r>
        <w:rPr>
          <w:rFonts w:hint="default"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安全生产专项经费</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w:t>
      </w:r>
      <w:r>
        <w:rPr>
          <w:rFonts w:hint="default" w:ascii="Times New Roman" w:hAnsi="Times New Roman" w:cs="Times New Roman"/>
          <w:color w:val="auto"/>
          <w:szCs w:val="32"/>
          <w:highlight w:val="none"/>
        </w:rPr>
        <w:t>目绩效评价的具体实施程序如下：</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1.前期沟通与基础资料收集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成立绩效评价小组，搜集项目资料，全面了解项目基本情况，就项目内容和绩效评价中的关键问题同</w:t>
      </w:r>
      <w:r>
        <w:rPr>
          <w:rFonts w:hint="default" w:ascii="Times New Roman" w:hAnsi="Times New Roman" w:cs="Times New Roman"/>
          <w:color w:val="auto"/>
          <w:szCs w:val="32"/>
          <w:highlight w:val="none"/>
          <w:lang w:val="en-US" w:eastAsia="zh-CN"/>
        </w:rPr>
        <w:t>罗江</w:t>
      </w:r>
      <w:r>
        <w:rPr>
          <w:rFonts w:hint="default" w:ascii="Times New Roman" w:hAnsi="Times New Roman" w:cs="Times New Roman"/>
          <w:color w:val="auto"/>
          <w:szCs w:val="32"/>
          <w:highlight w:val="none"/>
        </w:rPr>
        <w:t>区财政局、德阳市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等部门进行初步沟通，完成项目基础资料收集，该阶段的实施时间为：202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17</w:t>
      </w:r>
      <w:r>
        <w:rPr>
          <w:rFonts w:hint="default" w:ascii="Times New Roman" w:hAnsi="Times New Roman" w:cs="Times New Roman"/>
          <w:color w:val="auto"/>
          <w:szCs w:val="32"/>
          <w:highlight w:val="none"/>
        </w:rPr>
        <w:t>日至20</w:t>
      </w:r>
      <w:r>
        <w:rPr>
          <w:rFonts w:hint="default" w:ascii="Times New Roman" w:hAnsi="Times New Roman" w:cs="Times New Roman"/>
          <w:color w:val="auto"/>
          <w:szCs w:val="32"/>
          <w:highlight w:val="none"/>
          <w:lang w:val="en-US" w:eastAsia="zh-CN"/>
        </w:rPr>
        <w:t>23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月21日。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2.评价方案设计阶段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评价小组根据前期调研材料梳理项目背景，同时根据项目特点及项目绩效目标有针对性的设计</w:t>
      </w:r>
      <w:r>
        <w:rPr>
          <w:rFonts w:hint="default" w:ascii="Times New Roman" w:hAnsi="Times New Roman" w:cs="Times New Roman"/>
          <w:color w:val="auto"/>
          <w:szCs w:val="32"/>
          <w:highlight w:val="none"/>
          <w:lang w:eastAsia="zh-Hans"/>
        </w:rPr>
        <w:t>了</w:t>
      </w:r>
      <w:r>
        <w:rPr>
          <w:rFonts w:hint="default" w:ascii="Times New Roman" w:hAnsi="Times New Roman" w:cs="Times New Roman"/>
          <w:color w:val="auto"/>
          <w:szCs w:val="32"/>
          <w:highlight w:val="none"/>
        </w:rPr>
        <w:t>评价指标体系、调查问卷、访谈提纲等，并确定科学、合理的评价方法和评价标准，设计绩效评价工作整体时间进度表。对项目执行过程中可能存在的问题进行预估，并细化评分标准和取证所需的材料。同时，作为受托方，我司建立了专门的质量控制部门，质控部门的质控师针对评价方案的可行性、全面性、简明性等提出了独立、客观、公正的评审意见。评价小组根据质控意见，对项目工作方案进行了调整和完善。该阶段的实施时间为：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月22日至202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25</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3.实地调研与数据分析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（1）开展社会调研及数据采集</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202</w:t>
      </w:r>
      <w:r>
        <w:rPr>
          <w:rFonts w:hint="default" w:ascii="Times New Roman" w:hAnsi="Times New Roman" w:cs="Times New Roman"/>
          <w:color w:val="auto"/>
          <w:szCs w:val="32"/>
          <w:highlight w:val="none"/>
          <w:lang w:val="en-US" w:eastAsia="zh-CN"/>
        </w:rPr>
        <w:t>2</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安全生产专项经费</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项目绩效评价实地调研阶段所涉及的部门有：德阳市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财务部门与业务部门，采取的主要调研手段是资料收集、现场核查、访谈和社会调查。该阶段的实施时间为：202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26</w:t>
      </w:r>
      <w:r>
        <w:rPr>
          <w:rFonts w:hint="default" w:ascii="Times New Roman" w:hAnsi="Times New Roman" w:cs="Times New Roman"/>
          <w:color w:val="auto"/>
          <w:szCs w:val="32"/>
          <w:highlight w:val="none"/>
        </w:rPr>
        <w:t>日至202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7</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31</w:t>
      </w:r>
      <w:r>
        <w:rPr>
          <w:rFonts w:hint="default" w:ascii="Times New Roman" w:hAnsi="Times New Roman" w:cs="Times New Roman"/>
          <w:color w:val="auto"/>
          <w:szCs w:val="32"/>
          <w:highlight w:val="none"/>
        </w:rPr>
        <w:t>日。</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（2）数据整理和分析</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评价小组对采集的数据进行了整理并剔除了部分错误数据，根据整理后的数据和一定的基准衡量指标开展数据分析工作，回答了关键评价问题，并对发现的问题进行了原因解释。该阶段的实施时间为</w:t>
      </w:r>
      <w:r>
        <w:rPr>
          <w:rFonts w:hint="default"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日至202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5</w:t>
      </w:r>
      <w:r>
        <w:rPr>
          <w:rFonts w:hint="default" w:ascii="Times New Roman" w:hAnsi="Times New Roman" w:cs="Times New Roman"/>
          <w:color w:val="auto"/>
          <w:szCs w:val="32"/>
          <w:highlight w:val="none"/>
        </w:rPr>
        <w:t>日。</w:t>
      </w:r>
    </w:p>
    <w:p>
      <w:pPr>
        <w:spacing w:line="580" w:lineRule="exact"/>
        <w:ind w:firstLine="643"/>
        <w:rPr>
          <w:rFonts w:hint="default" w:ascii="Times New Roman" w:hAnsi="Times New Roman" w:cs="Times New Roman"/>
          <w:b/>
          <w:bCs/>
          <w:color w:val="auto"/>
          <w:szCs w:val="32"/>
          <w:highlight w:val="none"/>
        </w:rPr>
      </w:pPr>
      <w:r>
        <w:rPr>
          <w:rFonts w:hint="default" w:ascii="Times New Roman" w:hAnsi="Times New Roman" w:cs="Times New Roman"/>
          <w:b/>
          <w:bCs/>
          <w:color w:val="auto"/>
          <w:szCs w:val="32"/>
          <w:highlight w:val="none"/>
        </w:rPr>
        <w:t>4.报告撰写阶段</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评价报告撰写工作的实施时间为：202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6</w:t>
      </w:r>
      <w:r>
        <w:rPr>
          <w:rFonts w:hint="default" w:ascii="Times New Roman" w:hAnsi="Times New Roman" w:cs="Times New Roman"/>
          <w:color w:val="auto"/>
          <w:szCs w:val="32"/>
          <w:highlight w:val="none"/>
        </w:rPr>
        <w:t>日至202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8</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1日。评价组依据制定的评价标准和评分规则，对项目进行了量化打分。依据评价结论和项目管理机制、项目实施过程及项目取得的成效，撰写绩效评价报告，总结经验、分析不足，并针对存在问题提出改进建议。在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日形成了审议稿。</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评价报告修改的实施时间为：202</w:t>
      </w:r>
      <w:r>
        <w:rPr>
          <w:rFonts w:hint="default" w:ascii="Times New Roman" w:hAnsi="Times New Roman" w:cs="Times New Roman"/>
          <w:color w:val="auto"/>
          <w:szCs w:val="32"/>
          <w:highlight w:val="none"/>
          <w:lang w:val="en-US" w:eastAsia="zh-CN"/>
        </w:rPr>
        <w:t>3</w:t>
      </w:r>
      <w:r>
        <w:rPr>
          <w:rFonts w:hint="default" w:ascii="Times New Roman" w:hAnsi="Times New Roman" w:cs="Times New Roman"/>
          <w:color w:val="auto"/>
          <w:szCs w:val="32"/>
          <w:highlight w:val="none"/>
        </w:rPr>
        <w:t>年</w:t>
      </w:r>
      <w:r>
        <w:rPr>
          <w:rFonts w:hint="default" w:ascii="Times New Roman" w:hAnsi="Times New Roman" w:cs="Times New Roman"/>
          <w:color w:val="auto"/>
          <w:szCs w:val="32"/>
          <w:highlight w:val="none"/>
          <w:lang w:val="en-US" w:eastAsia="zh-CN"/>
        </w:rPr>
        <w:t>9</w:t>
      </w:r>
      <w:r>
        <w:rPr>
          <w:rFonts w:hint="default" w:ascii="Times New Roman" w:hAnsi="Times New Roman" w:cs="Times New Roman"/>
          <w:color w:val="auto"/>
          <w:szCs w:val="32"/>
          <w:highlight w:val="none"/>
        </w:rPr>
        <w:t>月</w:t>
      </w:r>
      <w:r>
        <w:rPr>
          <w:rFonts w:hint="default" w:ascii="Times New Roman" w:hAnsi="Times New Roman" w:cs="Times New Roman"/>
          <w:color w:val="auto"/>
          <w:szCs w:val="32"/>
          <w:highlight w:val="none"/>
          <w:lang w:val="en-US" w:eastAsia="zh-CN"/>
        </w:rPr>
        <w:t>1</w:t>
      </w:r>
      <w:r>
        <w:rPr>
          <w:rFonts w:hint="default" w:ascii="Times New Roman" w:hAnsi="Times New Roman" w:cs="Times New Roman"/>
          <w:color w:val="auto"/>
          <w:szCs w:val="32"/>
          <w:highlight w:val="none"/>
        </w:rPr>
        <w:t>日</w:t>
      </w:r>
      <w:r>
        <w:rPr>
          <w:rFonts w:hint="default" w:ascii="Times New Roman" w:hAnsi="Times New Roman" w:cs="Times New Roman"/>
          <w:color w:val="auto"/>
          <w:szCs w:val="32"/>
          <w:highlight w:val="none"/>
          <w:lang w:eastAsia="zh-Hans"/>
        </w:rPr>
        <w:t>后</w:t>
      </w:r>
      <w:r>
        <w:rPr>
          <w:rFonts w:hint="default" w:ascii="Times New Roman" w:hAnsi="Times New Roman" w:cs="Times New Roman"/>
          <w:color w:val="auto"/>
          <w:szCs w:val="32"/>
          <w:highlight w:val="none"/>
        </w:rPr>
        <w:t>。我司质控师针对评价报告的可行性、全面性、简明性等提出了独立、客观、公正的评审意见。评价小组根据质控意见，对评价报告进行了修改和完善。</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26" w:name="_Toc23268"/>
      <w:bookmarkStart w:id="27" w:name="_Toc15803"/>
      <w:r>
        <w:rPr>
          <w:rFonts w:hint="default" w:ascii="Times New Roman" w:hAnsi="Times New Roman" w:eastAsia="黑体" w:cs="Times New Roman"/>
          <w:b w:val="0"/>
          <w:bCs/>
          <w:color w:val="auto"/>
          <w:sz w:val="32"/>
          <w:szCs w:val="20"/>
          <w:highlight w:val="none"/>
        </w:rPr>
        <w:t>三、评价结果与结论</w:t>
      </w:r>
      <w:bookmarkEnd w:id="26"/>
      <w:bookmarkEnd w:id="27"/>
    </w:p>
    <w:p>
      <w:pPr>
        <w:pStyle w:val="3"/>
        <w:spacing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28" w:name="_Toc27347"/>
      <w:bookmarkStart w:id="29" w:name="_Toc26194"/>
      <w:r>
        <w:rPr>
          <w:rFonts w:hint="default" w:ascii="Times New Roman" w:hAnsi="Times New Roman" w:eastAsia="楷体_GB2312" w:cs="Times New Roman"/>
          <w:color w:val="auto"/>
          <w:sz w:val="32"/>
          <w:szCs w:val="32"/>
          <w:highlight w:val="none"/>
        </w:rPr>
        <w:t>（一）评价得分与绩效等级</w:t>
      </w:r>
      <w:bookmarkEnd w:id="28"/>
      <w:bookmarkEnd w:id="29"/>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依据《项目支出绩效评价管理办法》（财预〔2020〕10号）提出的项目支出绩效评价框架体系，结合本项目的特点，评价小组设计研发了本项目的绩效评价指标体系（指标、评价要点、评分规则）。</w:t>
      </w:r>
    </w:p>
    <w:p>
      <w:pPr>
        <w:spacing w:line="580" w:lineRule="exact"/>
        <w:ind w:firstLine="640"/>
        <w:rPr>
          <w:rFonts w:hint="default" w:ascii="Times New Roman" w:hAnsi="Times New Roman" w:cs="Times New Roman"/>
          <w:bCs/>
          <w:color w:val="auto"/>
          <w:szCs w:val="32"/>
          <w:highlight w:val="none"/>
        </w:rPr>
      </w:pPr>
      <w:r>
        <w:rPr>
          <w:rFonts w:hint="default" w:ascii="Times New Roman" w:hAnsi="Times New Roman" w:cs="Times New Roman"/>
          <w:color w:val="auto"/>
          <w:szCs w:val="32"/>
          <w:highlight w:val="none"/>
        </w:rPr>
        <w:t>通过数据采集、问卷调查及访谈等方法，评价小组对德阳市</w:t>
      </w:r>
      <w:r>
        <w:rPr>
          <w:rFonts w:hint="default" w:ascii="Times New Roman" w:hAnsi="Times New Roman" w:cs="Times New Roman"/>
          <w:color w:val="auto"/>
          <w:szCs w:val="32"/>
          <w:highlight w:val="none"/>
          <w:lang w:eastAsia="zh-CN"/>
        </w:rPr>
        <w:t>罗江区应急管理局</w:t>
      </w:r>
      <w:r>
        <w:rPr>
          <w:rFonts w:hint="default" w:ascii="Times New Roman" w:hAnsi="Times New Roman" w:cs="Times New Roman"/>
          <w:color w:val="auto"/>
          <w:szCs w:val="32"/>
          <w:highlight w:val="none"/>
        </w:rPr>
        <w:t>202</w:t>
      </w:r>
      <w:r>
        <w:rPr>
          <w:rFonts w:hint="default" w:ascii="Times New Roman" w:hAnsi="Times New Roman" w:cs="Times New Roman"/>
          <w:color w:val="auto"/>
          <w:szCs w:val="32"/>
          <w:highlight w:val="none"/>
          <w:lang w:val="en-US" w:eastAsia="zh-CN"/>
        </w:rPr>
        <w:t>2</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lang w:eastAsia="zh-CN"/>
        </w:rPr>
        <w:t>安全生产专项经费</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项目进行客观公正的绩效评价，最终评分得分为</w:t>
      </w:r>
      <w:r>
        <w:rPr>
          <w:rFonts w:hint="eastAsia" w:ascii="Times New Roman" w:hAnsi="Times New Roman" w:cs="Times New Roman"/>
          <w:color w:val="auto"/>
          <w:szCs w:val="32"/>
          <w:highlight w:val="none"/>
          <w:lang w:val="en-US" w:eastAsia="zh-CN"/>
        </w:rPr>
        <w:t>85.21</w:t>
      </w:r>
      <w:r>
        <w:rPr>
          <w:rFonts w:hint="default" w:ascii="Times New Roman" w:hAnsi="Times New Roman" w:cs="Times New Roman"/>
          <w:color w:val="auto"/>
          <w:szCs w:val="32"/>
          <w:highlight w:val="none"/>
        </w:rPr>
        <w:t>分，根据《项目支</w:t>
      </w:r>
      <w:r>
        <w:rPr>
          <w:rFonts w:hint="default" w:ascii="Times New Roman" w:hAnsi="Times New Roman" w:cs="Times New Roman"/>
          <w:bCs/>
          <w:color w:val="auto"/>
          <w:szCs w:val="32"/>
          <w:highlight w:val="none"/>
        </w:rPr>
        <w:t>出绩效评价管理办法》（财预〔2020〕10号）提出的绩效评价等级相关规定，本项目的绩效评价结果定级为</w:t>
      </w:r>
      <w:r>
        <w:rPr>
          <w:rFonts w:hint="eastAsia" w:ascii="Times New Roman" w:hAnsi="Times New Roman" w:cs="Times New Roman"/>
          <w:bCs/>
          <w:color w:val="auto"/>
          <w:szCs w:val="32"/>
          <w:highlight w:val="none"/>
          <w:lang w:eastAsia="zh-CN"/>
        </w:rPr>
        <w:t>“</w:t>
      </w:r>
      <w:r>
        <w:rPr>
          <w:rFonts w:hint="eastAsia" w:ascii="Times New Roman" w:hAnsi="Times New Roman" w:cs="Times New Roman"/>
          <w:bCs/>
          <w:color w:val="auto"/>
          <w:szCs w:val="32"/>
          <w:highlight w:val="none"/>
          <w:lang w:val="en-US" w:eastAsia="zh-CN"/>
        </w:rPr>
        <w:t>良</w:t>
      </w:r>
      <w:r>
        <w:rPr>
          <w:rFonts w:hint="eastAsia" w:ascii="Times New Roman" w:hAnsi="Times New Roman" w:cs="Times New Roman"/>
          <w:bCs/>
          <w:color w:val="auto"/>
          <w:szCs w:val="32"/>
          <w:highlight w:val="none"/>
          <w:lang w:eastAsia="zh-CN"/>
        </w:rPr>
        <w:t>”</w:t>
      </w:r>
      <w:r>
        <w:rPr>
          <w:rFonts w:hint="default" w:ascii="Times New Roman" w:hAnsi="Times New Roman" w:cs="Times New Roman"/>
          <w:bCs/>
          <w:color w:val="auto"/>
          <w:szCs w:val="32"/>
          <w:highlight w:val="none"/>
        </w:rPr>
        <w:t>。</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其中，</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决策</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指标权重为1</w:t>
      </w:r>
      <w:r>
        <w:rPr>
          <w:rFonts w:hint="default" w:ascii="Times New Roman" w:hAnsi="Times New Roman" w:cs="Times New Roman"/>
          <w:color w:val="auto"/>
          <w:szCs w:val="32"/>
          <w:highlight w:val="none"/>
          <w:lang w:val="en-US" w:eastAsia="zh-CN"/>
        </w:rPr>
        <w:t>2</w:t>
      </w:r>
      <w:r>
        <w:rPr>
          <w:rFonts w:hint="default" w:ascii="Times New Roman" w:hAnsi="Times New Roman" w:cs="Times New Roman"/>
          <w:color w:val="auto"/>
          <w:szCs w:val="32"/>
          <w:highlight w:val="none"/>
        </w:rPr>
        <w:t>分，得分为</w:t>
      </w:r>
      <w:r>
        <w:rPr>
          <w:rFonts w:hint="default" w:ascii="Times New Roman" w:hAnsi="Times New Roman" w:cs="Times New Roman"/>
          <w:color w:val="auto"/>
          <w:szCs w:val="32"/>
          <w:highlight w:val="none"/>
          <w:lang w:val="en-US" w:eastAsia="zh-CN"/>
        </w:rPr>
        <w:t>9.5</w:t>
      </w:r>
      <w:r>
        <w:rPr>
          <w:rFonts w:hint="default" w:ascii="Times New Roman" w:hAnsi="Times New Roman" w:cs="Times New Roman"/>
          <w:color w:val="auto"/>
          <w:szCs w:val="32"/>
          <w:highlight w:val="none"/>
        </w:rPr>
        <w:t>分，得分率为</w:t>
      </w:r>
      <w:r>
        <w:rPr>
          <w:rFonts w:hint="default" w:ascii="Times New Roman" w:hAnsi="Times New Roman" w:cs="Times New Roman"/>
          <w:color w:val="auto"/>
          <w:szCs w:val="32"/>
          <w:highlight w:val="none"/>
          <w:lang w:val="en-US" w:eastAsia="zh-CN"/>
        </w:rPr>
        <w:t>79.17</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过程</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指标权重为18分，得分为</w:t>
      </w:r>
      <w:r>
        <w:rPr>
          <w:rFonts w:hint="default" w:ascii="Times New Roman" w:hAnsi="Times New Roman" w:cs="Times New Roman"/>
          <w:color w:val="auto"/>
          <w:szCs w:val="32"/>
          <w:highlight w:val="none"/>
          <w:lang w:val="en-US" w:eastAsia="zh-CN"/>
        </w:rPr>
        <w:t>12.71</w:t>
      </w:r>
      <w:r>
        <w:rPr>
          <w:rFonts w:hint="default" w:ascii="Times New Roman" w:hAnsi="Times New Roman" w:cs="Times New Roman"/>
          <w:color w:val="auto"/>
          <w:szCs w:val="32"/>
          <w:highlight w:val="none"/>
        </w:rPr>
        <w:t>分，得分率为</w:t>
      </w:r>
      <w:r>
        <w:rPr>
          <w:rFonts w:hint="default" w:ascii="Times New Roman" w:hAnsi="Times New Roman" w:cs="Times New Roman"/>
          <w:color w:val="auto"/>
          <w:szCs w:val="32"/>
          <w:highlight w:val="none"/>
          <w:lang w:val="en-US" w:eastAsia="zh-CN"/>
        </w:rPr>
        <w:t>70.61</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产出</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指标权重为20分，得分为</w:t>
      </w:r>
      <w:r>
        <w:rPr>
          <w:rFonts w:hint="default" w:ascii="Times New Roman" w:hAnsi="Times New Roman" w:cs="Times New Roman"/>
          <w:color w:val="auto"/>
          <w:szCs w:val="32"/>
          <w:highlight w:val="none"/>
          <w:lang w:val="en-US" w:eastAsia="zh-CN"/>
        </w:rPr>
        <w:t>18</w:t>
      </w:r>
      <w:r>
        <w:rPr>
          <w:rFonts w:hint="default" w:ascii="Times New Roman" w:hAnsi="Times New Roman" w:cs="Times New Roman"/>
          <w:color w:val="auto"/>
          <w:szCs w:val="32"/>
          <w:highlight w:val="none"/>
        </w:rPr>
        <w:t>分，得分率为</w:t>
      </w:r>
      <w:r>
        <w:rPr>
          <w:rFonts w:hint="default" w:ascii="Times New Roman" w:hAnsi="Times New Roman" w:cs="Times New Roman"/>
          <w:color w:val="auto"/>
          <w:szCs w:val="32"/>
          <w:highlight w:val="none"/>
          <w:lang w:val="en-US" w:eastAsia="zh-CN"/>
        </w:rPr>
        <w:t>90</w:t>
      </w:r>
      <w:r>
        <w:rPr>
          <w:rFonts w:hint="default" w:ascii="Times New Roman" w:hAnsi="Times New Roman" w:cs="Times New Roman"/>
          <w:color w:val="auto"/>
          <w:szCs w:val="32"/>
          <w:highlight w:val="none"/>
        </w:rPr>
        <w:t>%；</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效益</w:t>
      </w:r>
      <w:r>
        <w:rPr>
          <w:rFonts w:hint="eastAsia" w:ascii="Times New Roman" w:hAnsi="Times New Roman" w:cs="Times New Roman"/>
          <w:color w:val="auto"/>
          <w:szCs w:val="32"/>
          <w:highlight w:val="none"/>
          <w:lang w:eastAsia="zh-CN"/>
        </w:rPr>
        <w:t>”</w:t>
      </w:r>
      <w:r>
        <w:rPr>
          <w:rFonts w:hint="default" w:ascii="Times New Roman" w:hAnsi="Times New Roman" w:cs="Times New Roman"/>
          <w:color w:val="auto"/>
          <w:szCs w:val="32"/>
          <w:highlight w:val="none"/>
        </w:rPr>
        <w:t>指标权重为50分，得分为</w:t>
      </w:r>
      <w:r>
        <w:rPr>
          <w:rFonts w:hint="default" w:ascii="Times New Roman" w:hAnsi="Times New Roman" w:cs="Times New Roman"/>
          <w:color w:val="auto"/>
          <w:szCs w:val="32"/>
          <w:highlight w:val="none"/>
          <w:lang w:val="en-US" w:eastAsia="zh-CN"/>
        </w:rPr>
        <w:t>45</w:t>
      </w:r>
      <w:r>
        <w:rPr>
          <w:rFonts w:hint="default" w:ascii="Times New Roman" w:hAnsi="Times New Roman" w:cs="Times New Roman"/>
          <w:color w:val="auto"/>
          <w:szCs w:val="32"/>
          <w:highlight w:val="none"/>
        </w:rPr>
        <w:t>分，得分率为</w:t>
      </w:r>
      <w:r>
        <w:rPr>
          <w:rFonts w:hint="default" w:ascii="Times New Roman" w:hAnsi="Times New Roman" w:cs="Times New Roman"/>
          <w:color w:val="auto"/>
          <w:szCs w:val="32"/>
          <w:highlight w:val="none"/>
          <w:lang w:val="en-US" w:eastAsia="zh-CN"/>
        </w:rPr>
        <w:t>90</w:t>
      </w:r>
      <w:r>
        <w:rPr>
          <w:rFonts w:hint="default" w:ascii="Times New Roman" w:hAnsi="Times New Roman" w:cs="Times New Roman"/>
          <w:color w:val="auto"/>
          <w:szCs w:val="32"/>
          <w:highlight w:val="none"/>
        </w:rPr>
        <w:t>%。</w:t>
      </w:r>
    </w:p>
    <w:p>
      <w:pPr>
        <w:spacing w:line="580" w:lineRule="exact"/>
        <w:ind w:firstLine="0" w:firstLineChars="0"/>
        <w:jc w:val="center"/>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rPr>
        <w:t xml:space="preserve">表3-1 </w:t>
      </w:r>
      <w:r>
        <w:rPr>
          <w:rFonts w:hint="eastAsia" w:ascii="Times New Roman" w:hAnsi="Times New Roman" w:cs="Times New Roman"/>
          <w:b/>
          <w:bCs/>
          <w:color w:val="auto"/>
          <w:sz w:val="28"/>
          <w:szCs w:val="28"/>
          <w:highlight w:val="none"/>
          <w:lang w:eastAsia="zh-CN"/>
        </w:rPr>
        <w:t>“安全生产专项经费”项目</w:t>
      </w:r>
      <w:r>
        <w:rPr>
          <w:rFonts w:hint="default" w:ascii="Times New Roman" w:hAnsi="Times New Roman" w:cs="Times New Roman"/>
          <w:b/>
          <w:bCs/>
          <w:color w:val="auto"/>
          <w:sz w:val="28"/>
          <w:szCs w:val="28"/>
          <w:highlight w:val="none"/>
        </w:rPr>
        <w:t>202</w:t>
      </w:r>
      <w:r>
        <w:rPr>
          <w:rFonts w:hint="default" w:ascii="Times New Roman" w:hAnsi="Times New Roman" w:cs="Times New Roman"/>
          <w:b/>
          <w:bCs/>
          <w:color w:val="auto"/>
          <w:sz w:val="28"/>
          <w:szCs w:val="28"/>
          <w:highlight w:val="none"/>
          <w:lang w:val="en-US" w:eastAsia="zh-CN"/>
        </w:rPr>
        <w:t>2</w:t>
      </w:r>
      <w:r>
        <w:rPr>
          <w:rFonts w:hint="default" w:ascii="Times New Roman" w:hAnsi="Times New Roman" w:cs="Times New Roman"/>
          <w:b/>
          <w:bCs/>
          <w:color w:val="auto"/>
          <w:sz w:val="28"/>
          <w:szCs w:val="28"/>
          <w:highlight w:val="none"/>
        </w:rPr>
        <w:t>绩效评价得分情况</w:t>
      </w:r>
    </w:p>
    <w:tbl>
      <w:tblPr>
        <w:tblStyle w:val="15"/>
        <w:tblW w:w="8871" w:type="dxa"/>
        <w:jc w:val="center"/>
        <w:tblLayout w:type="fixed"/>
        <w:tblCellMar>
          <w:top w:w="0" w:type="dxa"/>
          <w:left w:w="0" w:type="dxa"/>
          <w:bottom w:w="0" w:type="dxa"/>
          <w:right w:w="0" w:type="dxa"/>
        </w:tblCellMar>
      </w:tblPr>
      <w:tblGrid>
        <w:gridCol w:w="2578"/>
        <w:gridCol w:w="2190"/>
        <w:gridCol w:w="2106"/>
        <w:gridCol w:w="1997"/>
      </w:tblGrid>
      <w:tr>
        <w:tblPrEx>
          <w:tblCellMar>
            <w:top w:w="0" w:type="dxa"/>
            <w:left w:w="0" w:type="dxa"/>
            <w:bottom w:w="0" w:type="dxa"/>
            <w:right w:w="0" w:type="dxa"/>
          </w:tblCellMar>
        </w:tblPrEx>
        <w:trPr>
          <w:trHeight w:val="280" w:hRule="atLeast"/>
          <w:tblHeader/>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一级指标</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权重</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b/>
                <w:bCs/>
                <w:color w:val="auto"/>
                <w:highlight w:val="none"/>
              </w:rPr>
            </w:pPr>
            <w:r>
              <w:rPr>
                <w:rFonts w:hint="default" w:ascii="Times New Roman" w:hAnsi="Times New Roman" w:cs="Times New Roman"/>
                <w:b/>
                <w:bCs/>
                <w:color w:val="auto"/>
                <w:highlight w:val="none"/>
              </w:rPr>
              <w:t>得分率</w:t>
            </w:r>
          </w:p>
        </w:tc>
      </w:tr>
      <w:tr>
        <w:tblPrEx>
          <w:tblCellMar>
            <w:top w:w="0" w:type="dxa"/>
            <w:left w:w="0" w:type="dxa"/>
            <w:bottom w:w="0" w:type="dxa"/>
            <w:right w:w="0" w:type="dxa"/>
          </w:tblCellMar>
        </w:tblPrEx>
        <w:trPr>
          <w:trHeight w:val="90"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lang w:eastAsia="zh-Hans"/>
              </w:rPr>
            </w:pPr>
            <w:r>
              <w:rPr>
                <w:rFonts w:hint="default" w:ascii="Times New Roman" w:hAnsi="Times New Roman" w:cs="Times New Roman"/>
                <w:color w:val="auto"/>
                <w:highlight w:val="none"/>
              </w:rPr>
              <w:t>决策</w:t>
            </w:r>
            <w:r>
              <w:rPr>
                <w:rFonts w:hint="default" w:ascii="Times New Roman" w:hAnsi="Times New Roman" w:cs="Times New Roman"/>
                <w:color w:val="auto"/>
                <w:highlight w:val="none"/>
                <w:lang w:eastAsia="zh-Hans"/>
              </w:rPr>
              <w:t>投入</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12.00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9.50</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79.17</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eastAsia="zh-Hans"/>
              </w:rPr>
              <w:t>过程</w:t>
            </w:r>
            <w:r>
              <w:rPr>
                <w:rFonts w:hint="default" w:ascii="Times New Roman" w:hAnsi="Times New Roman" w:cs="Times New Roman"/>
                <w:color w:val="auto"/>
                <w:highlight w:val="none"/>
              </w:rPr>
              <w:t>管理</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18.00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12.71</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70.61</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项目产出</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20.00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18.00</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90.00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项目效益</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50.00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45.00</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90.00</w:t>
            </w:r>
            <w:r>
              <w:rPr>
                <w:rFonts w:hint="default" w:ascii="Times New Roman" w:hAnsi="Times New Roman" w:cs="Times New Roman"/>
                <w:color w:val="auto"/>
                <w:highlight w:val="none"/>
              </w:rPr>
              <w:t>%</w:t>
            </w:r>
          </w:p>
        </w:tc>
      </w:tr>
      <w:tr>
        <w:tblPrEx>
          <w:tblCellMar>
            <w:top w:w="0" w:type="dxa"/>
            <w:left w:w="0" w:type="dxa"/>
            <w:bottom w:w="0" w:type="dxa"/>
            <w:right w:w="0" w:type="dxa"/>
          </w:tblCellMar>
        </w:tblPrEx>
        <w:trPr>
          <w:trHeight w:val="285" w:hRule="atLeast"/>
          <w:jc w:val="center"/>
        </w:trPr>
        <w:tc>
          <w:tcPr>
            <w:tcW w:w="25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rPr>
              <w:t>合计</w:t>
            </w:r>
          </w:p>
        </w:tc>
        <w:tc>
          <w:tcPr>
            <w:tcW w:w="21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100</w:t>
            </w:r>
            <w:r>
              <w:rPr>
                <w:rFonts w:hint="default" w:ascii="Times New Roman" w:hAnsi="Times New Roman" w:cs="Times New Roman"/>
                <w:color w:val="auto"/>
                <w:highlight w:val="none"/>
              </w:rPr>
              <w:t>.00</w:t>
            </w:r>
          </w:p>
        </w:tc>
        <w:tc>
          <w:tcPr>
            <w:tcW w:w="21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eastAsia="仿宋_GB2312" w:cs="Times New Roman"/>
                <w:color w:val="auto"/>
                <w:highlight w:val="none"/>
                <w:lang w:val="en-US" w:eastAsia="zh-CN"/>
              </w:rPr>
            </w:pPr>
            <w:r>
              <w:rPr>
                <w:rFonts w:hint="default" w:ascii="Times New Roman" w:hAnsi="Times New Roman" w:cs="Times New Roman"/>
                <w:color w:val="auto"/>
                <w:highlight w:val="none"/>
                <w:lang w:val="en-US" w:eastAsia="zh-CN"/>
              </w:rPr>
              <w:t>85.21</w:t>
            </w:r>
          </w:p>
        </w:tc>
        <w:tc>
          <w:tcPr>
            <w:tcW w:w="19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22"/>
              <w:spacing w:line="360" w:lineRule="auto"/>
              <w:rPr>
                <w:rFonts w:hint="default" w:ascii="Times New Roman" w:hAnsi="Times New Roman" w:cs="Times New Roman"/>
                <w:color w:val="auto"/>
                <w:highlight w:val="none"/>
              </w:rPr>
            </w:pPr>
            <w:r>
              <w:rPr>
                <w:rFonts w:hint="default" w:ascii="Times New Roman" w:hAnsi="Times New Roman" w:cs="Times New Roman"/>
                <w:color w:val="auto"/>
                <w:highlight w:val="none"/>
                <w:lang w:val="en-US" w:eastAsia="zh-CN"/>
              </w:rPr>
              <w:t>85.21</w:t>
            </w:r>
            <w:r>
              <w:rPr>
                <w:rFonts w:hint="default" w:ascii="Times New Roman" w:hAnsi="Times New Roman" w:cs="Times New Roman"/>
                <w:color w:val="auto"/>
                <w:highlight w:val="none"/>
              </w:rPr>
              <w:t>%</w:t>
            </w:r>
          </w:p>
        </w:tc>
      </w:tr>
    </w:tbl>
    <w:p>
      <w:pPr>
        <w:pStyle w:val="3"/>
        <w:spacing w:before="312" w:beforeLines="100" w:beforeAutospacing="0" w:afterAutospacing="0" w:line="580" w:lineRule="exact"/>
        <w:ind w:firstLine="643"/>
        <w:jc w:val="both"/>
        <w:rPr>
          <w:rFonts w:hint="default" w:ascii="Times New Roman" w:hAnsi="Times New Roman" w:eastAsia="楷体_GB2312" w:cs="Times New Roman"/>
          <w:color w:val="auto"/>
          <w:sz w:val="32"/>
          <w:szCs w:val="32"/>
          <w:highlight w:val="none"/>
        </w:rPr>
      </w:pPr>
      <w:bookmarkStart w:id="30" w:name="_Toc5879"/>
      <w:bookmarkStart w:id="31" w:name="_Toc17077"/>
      <w:r>
        <w:rPr>
          <w:rFonts w:hint="default" w:ascii="Times New Roman" w:hAnsi="Times New Roman" w:eastAsia="楷体_GB2312" w:cs="Times New Roman"/>
          <w:color w:val="auto"/>
          <w:sz w:val="32"/>
          <w:szCs w:val="32"/>
          <w:highlight w:val="none"/>
        </w:rPr>
        <w:t>（二）评价结论</w:t>
      </w:r>
      <w:bookmarkEnd w:id="30"/>
      <w:bookmarkEnd w:id="31"/>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从项目决策方面来看，</w:t>
      </w:r>
      <w:r>
        <w:rPr>
          <w:rFonts w:hint="default" w:ascii="Times New Roman" w:hAnsi="Times New Roman" w:cs="Times New Roman"/>
          <w:color w:val="auto"/>
          <w:highlight w:val="none"/>
          <w:lang w:val="en-US" w:eastAsia="zh-CN"/>
        </w:rPr>
        <w:t>根据</w:t>
      </w:r>
      <w:r>
        <w:rPr>
          <w:rFonts w:hint="default" w:ascii="Times New Roman" w:hAnsi="Times New Roman" w:eastAsia="仿宋_GB2312" w:cs="Times New Roman"/>
          <w:color w:val="auto"/>
          <w:sz w:val="32"/>
          <w:szCs w:val="32"/>
          <w:highlight w:val="none"/>
        </w:rPr>
        <w:t>《四川省财政厅四川省民政厅关于印发〈四川省政府购买</w:t>
      </w:r>
      <w:r>
        <w:rPr>
          <w:rFonts w:hint="default" w:ascii="Times New Roman" w:hAnsi="Times New Roman" w:eastAsia="仿宋_GB2312" w:cs="Times New Roman"/>
          <w:color w:val="auto"/>
          <w:sz w:val="32"/>
          <w:szCs w:val="32"/>
          <w:highlight w:val="none"/>
          <w:lang w:eastAsia="zh-CN"/>
        </w:rPr>
        <w:t>安全生产专项经费</w:t>
      </w:r>
      <w:r>
        <w:rPr>
          <w:rFonts w:hint="default" w:ascii="Times New Roman" w:hAnsi="Times New Roman" w:eastAsia="仿宋_GB2312" w:cs="Times New Roman"/>
          <w:color w:val="auto"/>
          <w:sz w:val="32"/>
          <w:szCs w:val="32"/>
          <w:highlight w:val="none"/>
        </w:rPr>
        <w:t>实施办法〉的通知》（川财社〔2014〕132号）</w:t>
      </w:r>
      <w:r>
        <w:rPr>
          <w:rFonts w:hint="default" w:ascii="Times New Roman" w:hAnsi="Times New Roman" w:cs="Times New Roman"/>
          <w:color w:val="auto"/>
          <w:szCs w:val="32"/>
          <w:highlight w:val="none"/>
        </w:rPr>
        <w:t>、</w:t>
      </w:r>
      <w:r>
        <w:rPr>
          <w:rFonts w:hint="default" w:ascii="Times New Roman" w:hAnsi="Times New Roman" w:eastAsia="仿宋_GB2312" w:cs="Times New Roman"/>
          <w:color w:val="auto"/>
          <w:sz w:val="32"/>
          <w:szCs w:val="32"/>
          <w:highlight w:val="none"/>
          <w:lang w:val="en-US" w:eastAsia="zh-CN"/>
        </w:rPr>
        <w:t>《关于印发2011年安全生产宣传工作要点的通知》（安监总政法</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2011</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29号文）</w:t>
      </w:r>
      <w:r>
        <w:rPr>
          <w:rFonts w:hint="eastAsia" w:ascii="Times New Roman" w:hAnsi="Times New Roman" w:cs="Times New Roman"/>
          <w:color w:val="auto"/>
          <w:sz w:val="32"/>
          <w:szCs w:val="32"/>
          <w:highlight w:val="none"/>
          <w:lang w:val="en-US" w:eastAsia="zh-CN"/>
        </w:rPr>
        <w:t>，</w:t>
      </w:r>
      <w:r>
        <w:rPr>
          <w:rFonts w:hint="default" w:ascii="Times New Roman" w:hAnsi="Times New Roman" w:cs="Times New Roman"/>
          <w:color w:val="auto"/>
          <w:highlight w:val="none"/>
          <w:lang w:eastAsia="zh-CN"/>
        </w:rPr>
        <w:t>2022年</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eastAsia="zh-CN"/>
        </w:rPr>
        <w:t>安全生产专项经费</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项目立项依据充分、立项过程规范，但绩效目标申报表</w:t>
      </w:r>
      <w:r>
        <w:rPr>
          <w:rFonts w:hint="default" w:ascii="Times New Roman" w:hAnsi="Times New Roman" w:cs="Times New Roman"/>
          <w:color w:val="auto"/>
          <w:highlight w:val="none"/>
          <w:lang w:val="en-US" w:eastAsia="zh-CN"/>
        </w:rPr>
        <w:t>编制不准确</w:t>
      </w:r>
      <w:r>
        <w:rPr>
          <w:rFonts w:hint="default" w:ascii="Times New Roman" w:hAnsi="Times New Roman" w:cs="Times New Roman"/>
          <w:color w:val="auto"/>
          <w:highlight w:val="none"/>
        </w:rPr>
        <w:t>，项目绩效目标填报不</w:t>
      </w:r>
      <w:r>
        <w:rPr>
          <w:rFonts w:hint="default" w:ascii="Times New Roman" w:hAnsi="Times New Roman" w:cs="Times New Roman"/>
          <w:color w:val="auto"/>
          <w:highlight w:val="none"/>
          <w:lang w:val="en-US" w:eastAsia="zh-CN"/>
        </w:rPr>
        <w:t>具体，质量较差</w:t>
      </w:r>
      <w:r>
        <w:rPr>
          <w:rFonts w:hint="default" w:ascii="Times New Roman" w:hAnsi="Times New Roman" w:cs="Times New Roman"/>
          <w:color w:val="auto"/>
          <w:highlight w:val="none"/>
        </w:rPr>
        <w:t>。</w:t>
      </w:r>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从资金投入管理方面来看</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罗江区应急管理局2022</w:t>
      </w:r>
      <w:r>
        <w:rPr>
          <w:rFonts w:hint="default" w:ascii="Times New Roman" w:hAnsi="Times New Roman" w:eastAsia="仿宋_GB2312" w:cs="Times New Roman"/>
          <w:color w:val="auto"/>
          <w:sz w:val="32"/>
          <w:szCs w:val="32"/>
          <w:highlight w:val="none"/>
          <w:lang w:eastAsia="zh-CN"/>
        </w:rPr>
        <w:t>年</w:t>
      </w:r>
      <w:r>
        <w:rPr>
          <w:rFonts w:hint="eastAsia"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安全生产专项资金项目</w:t>
      </w:r>
      <w:r>
        <w:rPr>
          <w:rFonts w:hint="eastAsia"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资金使用符合合同规定用途，成本控制有效</w:t>
      </w:r>
      <w:r>
        <w:rPr>
          <w:rFonts w:hint="default" w:ascii="Times New Roman" w:hAnsi="Times New Roman" w:cs="Times New Roman"/>
          <w:color w:val="auto"/>
          <w:sz w:val="32"/>
          <w:szCs w:val="32"/>
          <w:highlight w:val="none"/>
          <w:lang w:val="en-US" w:eastAsia="zh-CN"/>
        </w:rPr>
        <w:t>，但</w:t>
      </w:r>
      <w:r>
        <w:rPr>
          <w:rFonts w:hint="default" w:ascii="Times New Roman" w:hAnsi="Times New Roman" w:eastAsia="仿宋_GB2312" w:cs="Times New Roman"/>
          <w:color w:val="auto"/>
          <w:sz w:val="32"/>
          <w:szCs w:val="32"/>
          <w:highlight w:val="none"/>
          <w:vertAlign w:val="baseline"/>
          <w:lang w:val="en-US" w:eastAsia="zh-CN"/>
        </w:rPr>
        <w:t>该项目</w:t>
      </w:r>
      <w:r>
        <w:rPr>
          <w:rFonts w:hint="eastAsia" w:ascii="Times New Roman" w:hAnsi="Times New Roman" w:cs="Times New Roman"/>
          <w:color w:val="auto"/>
          <w:sz w:val="32"/>
          <w:szCs w:val="32"/>
          <w:highlight w:val="none"/>
          <w:vertAlign w:val="baseline"/>
          <w:lang w:val="en-US" w:eastAsia="zh-CN"/>
        </w:rPr>
        <w:t>预算执行</w:t>
      </w:r>
      <w:r>
        <w:rPr>
          <w:rFonts w:hint="default" w:ascii="Times New Roman" w:hAnsi="Times New Roman" w:eastAsia="仿宋_GB2312" w:cs="Times New Roman"/>
          <w:color w:val="auto"/>
          <w:sz w:val="32"/>
          <w:szCs w:val="32"/>
          <w:highlight w:val="none"/>
          <w:vertAlign w:val="baseline"/>
          <w:lang w:val="en-US" w:eastAsia="zh-CN"/>
        </w:rPr>
        <w:t>7.09万元，预算资金30万元，</w:t>
      </w:r>
      <w:r>
        <w:rPr>
          <w:rFonts w:hint="eastAsia" w:ascii="Times New Roman" w:hAnsi="Times New Roman" w:cs="Times New Roman"/>
          <w:color w:val="auto"/>
          <w:sz w:val="32"/>
          <w:szCs w:val="32"/>
          <w:highlight w:val="none"/>
          <w:vertAlign w:val="baseline"/>
          <w:lang w:val="en-US" w:eastAsia="zh-CN"/>
        </w:rPr>
        <w:t>预算执行率</w:t>
      </w:r>
      <w:r>
        <w:rPr>
          <w:rFonts w:hint="default" w:ascii="Times New Roman" w:hAnsi="Times New Roman" w:eastAsia="仿宋_GB2312" w:cs="Times New Roman"/>
          <w:color w:val="auto"/>
          <w:sz w:val="32"/>
          <w:szCs w:val="32"/>
          <w:highlight w:val="none"/>
          <w:vertAlign w:val="baseline"/>
          <w:lang w:val="en-US" w:eastAsia="zh-CN"/>
        </w:rPr>
        <w:t>为23.63%，</w:t>
      </w:r>
      <w:r>
        <w:rPr>
          <w:rFonts w:hint="eastAsia" w:ascii="Times New Roman" w:hAnsi="Times New Roman" w:cs="Times New Roman"/>
          <w:color w:val="auto"/>
          <w:sz w:val="32"/>
          <w:szCs w:val="32"/>
          <w:highlight w:val="none"/>
          <w:vertAlign w:val="baseline"/>
          <w:lang w:val="en-US" w:eastAsia="zh-CN"/>
        </w:rPr>
        <w:t>实际预算执行率低于</w:t>
      </w:r>
      <w:r>
        <w:rPr>
          <w:rFonts w:hint="default" w:ascii="Times New Roman" w:hAnsi="Times New Roman" w:cs="Times New Roman"/>
          <w:color w:val="auto"/>
          <w:sz w:val="32"/>
          <w:szCs w:val="32"/>
          <w:highlight w:val="none"/>
          <w:vertAlign w:val="baseline"/>
          <w:lang w:val="en-US" w:eastAsia="zh-CN"/>
        </w:rPr>
        <w:t>30%，</w:t>
      </w:r>
      <w:r>
        <w:rPr>
          <w:rFonts w:hint="eastAsia" w:ascii="Times New Roman" w:hAnsi="Times New Roman" w:cs="Times New Roman"/>
          <w:color w:val="auto"/>
          <w:sz w:val="32"/>
          <w:szCs w:val="32"/>
          <w:highlight w:val="none"/>
          <w:vertAlign w:val="baseline"/>
          <w:lang w:val="en-US" w:eastAsia="zh-CN"/>
        </w:rPr>
        <w:t>预算执行进度偏低</w:t>
      </w:r>
      <w:r>
        <w:rPr>
          <w:rFonts w:hint="default" w:ascii="Times New Roman" w:hAnsi="Times New Roman" w:eastAsia="仿宋_GB2312" w:cs="Times New Roman"/>
          <w:color w:val="auto"/>
          <w:sz w:val="32"/>
          <w:szCs w:val="32"/>
          <w:highlight w:val="none"/>
        </w:rPr>
        <w:t>。</w:t>
      </w:r>
    </w:p>
    <w:p>
      <w:pPr>
        <w:pStyle w:val="6"/>
        <w:spacing w:after="0"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从项目管理方面来看，</w:t>
      </w:r>
      <w:r>
        <w:rPr>
          <w:rFonts w:hint="default" w:ascii="Times New Roman" w:hAnsi="Times New Roman" w:cs="Times New Roman"/>
          <w:color w:val="auto"/>
          <w:highlight w:val="none"/>
          <w:lang w:val="en-US" w:eastAsia="zh-CN"/>
        </w:rPr>
        <w:t>内控制度建立健全，但没有</w:t>
      </w:r>
      <w:r>
        <w:rPr>
          <w:rFonts w:hint="default" w:ascii="Times New Roman" w:hAnsi="Times New Roman" w:cs="Times New Roman"/>
          <w:color w:val="auto"/>
          <w:highlight w:val="none"/>
        </w:rPr>
        <w:t>项目相关业务管理制度</w:t>
      </w:r>
      <w:r>
        <w:rPr>
          <w:rFonts w:hint="default"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未编制安全生产实施方案</w:t>
      </w:r>
      <w:r>
        <w:rPr>
          <w:rFonts w:hint="eastAsia" w:ascii="Times New Roman" w:hAnsi="Times New Roman" w:cs="Times New Roman"/>
          <w:color w:val="auto"/>
          <w:highlight w:val="none"/>
          <w:lang w:val="en-US" w:eastAsia="zh-CN"/>
        </w:rPr>
        <w:t>，</w:t>
      </w:r>
      <w:r>
        <w:rPr>
          <w:rFonts w:hint="default" w:ascii="Times New Roman" w:hAnsi="Times New Roman" w:cs="Times New Roman"/>
          <w:color w:val="auto"/>
          <w:highlight w:val="none"/>
          <w:lang w:val="en-US" w:eastAsia="zh-CN"/>
        </w:rPr>
        <w:t>合同等手续不完善</w:t>
      </w:r>
      <w:r>
        <w:rPr>
          <w:rFonts w:hint="default" w:ascii="Times New Roman" w:hAnsi="Times New Roman" w:cs="Times New Roman"/>
          <w:color w:val="auto"/>
          <w:highlight w:val="none"/>
        </w:rPr>
        <w:t>。</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highlight w:val="none"/>
        </w:rPr>
        <w:t>从产出和效果方面来看，项目完成及时。</w:t>
      </w:r>
      <w:r>
        <w:rPr>
          <w:rFonts w:hint="default" w:ascii="Times New Roman" w:hAnsi="Times New Roman" w:cs="Times New Roman"/>
          <w:color w:val="auto"/>
          <w:highlight w:val="none"/>
          <w:lang w:val="en-US" w:eastAsia="zh-CN"/>
        </w:rPr>
        <w:t>保质保量完成</w:t>
      </w:r>
      <w:r>
        <w:rPr>
          <w:rFonts w:hint="default" w:ascii="Times New Roman" w:hAnsi="Times New Roman" w:cs="Times New Roman"/>
          <w:color w:val="auto"/>
          <w:highlight w:val="none"/>
          <w:lang w:eastAsia="zh-CN"/>
        </w:rPr>
        <w:t>2022年安全生产专项经费</w:t>
      </w:r>
      <w:r>
        <w:rPr>
          <w:rFonts w:hint="default" w:ascii="Times New Roman" w:hAnsi="Times New Roman" w:cs="Times New Roman"/>
          <w:color w:val="auto"/>
          <w:highlight w:val="none"/>
        </w:rPr>
        <w:t>中</w:t>
      </w:r>
      <w:r>
        <w:rPr>
          <w:rFonts w:hint="default" w:ascii="Times New Roman" w:hAnsi="Times New Roman" w:cs="Times New Roman"/>
          <w:color w:val="auto"/>
          <w:szCs w:val="32"/>
          <w:highlight w:val="none"/>
          <w:lang w:val="en-US" w:eastAsia="zh-CN"/>
        </w:rPr>
        <w:t>开展安全生产督导检查、安全生产调研、购买森防物资</w:t>
      </w:r>
      <w:r>
        <w:rPr>
          <w:rFonts w:hint="eastAsia"/>
          <w:lang w:eastAsia="zh-CN"/>
        </w:rPr>
        <w:t>、印刷资料宣传</w:t>
      </w:r>
      <w:r>
        <w:rPr>
          <w:rFonts w:hint="eastAsia"/>
          <w:lang w:val="en-US" w:eastAsia="zh-CN"/>
        </w:rPr>
        <w:t>等工作任务，</w:t>
      </w:r>
      <w:r>
        <w:rPr>
          <w:rFonts w:hint="default" w:ascii="Times New Roman" w:hAnsi="Times New Roman" w:cs="Times New Roman"/>
          <w:color w:val="auto"/>
          <w:szCs w:val="32"/>
          <w:highlight w:val="none"/>
          <w:lang w:val="en-US" w:eastAsia="zh-CN"/>
        </w:rPr>
        <w:t>但未</w:t>
      </w:r>
      <w:r>
        <w:rPr>
          <w:rFonts w:hint="eastAsia" w:ascii="Times New Roman" w:hAnsi="Times New Roman" w:cs="Times New Roman"/>
          <w:color w:val="auto"/>
          <w:szCs w:val="32"/>
          <w:highlight w:val="none"/>
          <w:lang w:val="en-US" w:eastAsia="zh-CN"/>
        </w:rPr>
        <w:t>开展救援演练、展板制作等项目</w:t>
      </w:r>
      <w:r>
        <w:rPr>
          <w:rFonts w:hint="default" w:ascii="Times New Roman" w:hAnsi="Times New Roman" w:cs="Times New Roman"/>
          <w:color w:val="auto"/>
          <w:highlight w:val="none"/>
        </w:rPr>
        <w:t>。</w:t>
      </w:r>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32" w:name="_Toc11579"/>
      <w:bookmarkStart w:id="33" w:name="_Toc4281"/>
      <w:r>
        <w:rPr>
          <w:rFonts w:hint="default" w:ascii="Times New Roman" w:hAnsi="Times New Roman" w:eastAsia="黑体" w:cs="Times New Roman"/>
          <w:b w:val="0"/>
          <w:bCs/>
          <w:color w:val="auto"/>
          <w:sz w:val="32"/>
          <w:szCs w:val="20"/>
          <w:highlight w:val="none"/>
        </w:rPr>
        <w:t>四、问题及建议</w:t>
      </w:r>
      <w:bookmarkEnd w:id="32"/>
      <w:bookmarkEnd w:id="33"/>
    </w:p>
    <w:p>
      <w:pPr>
        <w:spacing w:line="580" w:lineRule="exact"/>
        <w:ind w:firstLine="643"/>
        <w:rPr>
          <w:rFonts w:hint="default" w:ascii="Times New Roman" w:hAnsi="Times New Roman" w:eastAsia="楷体_GB2312" w:cs="Times New Roman"/>
          <w:b/>
          <w:bCs/>
          <w:color w:val="auto"/>
          <w:szCs w:val="32"/>
          <w:highlight w:val="none"/>
        </w:rPr>
      </w:pPr>
      <w:bookmarkStart w:id="34" w:name="_Toc30141"/>
      <w:r>
        <w:rPr>
          <w:rFonts w:hint="default" w:ascii="Times New Roman" w:hAnsi="Times New Roman" w:eastAsia="楷体_GB2312" w:cs="Times New Roman"/>
          <w:b/>
          <w:bCs/>
          <w:color w:val="auto"/>
          <w:szCs w:val="32"/>
          <w:highlight w:val="none"/>
        </w:rPr>
        <w:t>（一）项目绩效目标</w:t>
      </w:r>
      <w:r>
        <w:rPr>
          <w:rFonts w:hint="default" w:ascii="Times New Roman" w:hAnsi="Times New Roman" w:eastAsia="楷体_GB2312" w:cs="Times New Roman"/>
          <w:b/>
          <w:bCs/>
          <w:color w:val="auto"/>
          <w:szCs w:val="32"/>
          <w:highlight w:val="none"/>
          <w:lang w:val="en-US" w:eastAsia="zh-CN"/>
        </w:rPr>
        <w:t>编制不准确</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评价小组根据被评价单位提供的相关资料发现，该项目</w:t>
      </w:r>
      <w:r>
        <w:rPr>
          <w:rFonts w:hint="default" w:ascii="Times New Roman" w:hAnsi="Times New Roman" w:cs="Times New Roman"/>
          <w:color w:val="auto"/>
          <w:highlight w:val="none"/>
          <w:lang w:eastAsia="zh-CN"/>
        </w:rPr>
        <w:t>2022年</w:t>
      </w:r>
      <w:r>
        <w:rPr>
          <w:rFonts w:hint="default" w:ascii="Times New Roman" w:hAnsi="Times New Roman" w:cs="Times New Roman"/>
          <w:color w:val="auto"/>
          <w:highlight w:val="none"/>
        </w:rPr>
        <w:t>在实施的过程中绩效目标表</w:t>
      </w:r>
      <w:r>
        <w:rPr>
          <w:rFonts w:hint="default" w:ascii="Times New Roman" w:hAnsi="Times New Roman" w:cs="Times New Roman"/>
          <w:color w:val="auto"/>
          <w:highlight w:val="none"/>
          <w:lang w:val="en-US" w:eastAsia="zh-CN"/>
        </w:rPr>
        <w:t>编制不准确</w:t>
      </w:r>
      <w:r>
        <w:rPr>
          <w:rFonts w:hint="default" w:ascii="Times New Roman" w:hAnsi="Times New Roman" w:cs="Times New Roman"/>
          <w:color w:val="auto"/>
          <w:highlight w:val="none"/>
        </w:rPr>
        <w:t>，</w:t>
      </w:r>
      <w:r>
        <w:rPr>
          <w:rFonts w:hint="default" w:ascii="Times New Roman" w:hAnsi="Times New Roman" w:cs="Times New Roman"/>
          <w:color w:val="auto"/>
          <w:highlight w:val="none"/>
          <w:lang w:val="en-US" w:eastAsia="zh-CN"/>
        </w:rPr>
        <w:t>不具体，</w:t>
      </w:r>
      <w:r>
        <w:rPr>
          <w:rFonts w:hint="default" w:ascii="Times New Roman" w:hAnsi="Times New Roman" w:cs="Times New Roman"/>
          <w:color w:val="auto"/>
          <w:highlight w:val="none"/>
        </w:rPr>
        <w:t>影响项目执行过程中的绩效目标</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监控</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实施和对该项目开展绩效评价工作的可控性，从而增大了项目管理风险，违背了</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花钱必有效</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的预算绩效管理原则。</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针对上述问题，建议被评价单位加强项目绩效目标表的填报</w:t>
      </w:r>
      <w:r>
        <w:rPr>
          <w:rFonts w:hint="default" w:ascii="Times New Roman" w:hAnsi="Times New Roman" w:cs="Times New Roman"/>
          <w:color w:val="auto"/>
          <w:highlight w:val="none"/>
          <w:lang w:val="en-US" w:eastAsia="zh-CN"/>
        </w:rPr>
        <w:t>质量</w:t>
      </w:r>
      <w:r>
        <w:rPr>
          <w:rFonts w:hint="default" w:ascii="Times New Roman" w:hAnsi="Times New Roman" w:cs="Times New Roman"/>
          <w:color w:val="auto"/>
          <w:highlight w:val="none"/>
        </w:rPr>
        <w:t>及目标</w:t>
      </w:r>
      <w:r>
        <w:rPr>
          <w:rFonts w:hint="default" w:ascii="Times New Roman" w:hAnsi="Times New Roman" w:cs="Times New Roman"/>
          <w:color w:val="auto"/>
          <w:highlight w:val="none"/>
          <w:lang w:val="en-US" w:eastAsia="zh-CN"/>
        </w:rPr>
        <w:t>准确性</w:t>
      </w:r>
      <w:r>
        <w:rPr>
          <w:rFonts w:hint="default" w:ascii="Times New Roman" w:hAnsi="Times New Roman" w:cs="Times New Roman"/>
          <w:color w:val="auto"/>
          <w:highlight w:val="none"/>
        </w:rPr>
        <w:t>的审核工作，同时需根据相关法律法规制定单位内部的《项目支出绩效管理办法》，业务股室配合财务股室做好项目的目标管理、事前评估、过程监控、绩效评价、结果应用等绩效管理过程。特别是在绩效目标申报时要求各业务股室申报的绩效目标要对申报项目的目的、范围、对象、产出、结果等要素进行概括性的文字描述；绩效指标内容健全，指标值清晰明确且可衡量，以此作为申报和审核预算的依据，为建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全过程</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预算绩效管理体系打下扎实的基础。</w:t>
      </w:r>
    </w:p>
    <w:p>
      <w:pPr>
        <w:spacing w:line="580" w:lineRule="exact"/>
        <w:ind w:firstLine="643"/>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w:t>
      </w:r>
      <w:r>
        <w:rPr>
          <w:rFonts w:hint="default" w:ascii="Times New Roman" w:hAnsi="Times New Roman" w:eastAsia="楷体_GB2312" w:cs="Times New Roman"/>
          <w:b/>
          <w:bCs/>
          <w:color w:val="auto"/>
          <w:szCs w:val="32"/>
          <w:highlight w:val="none"/>
          <w:lang w:val="en-US" w:eastAsia="zh-CN"/>
        </w:rPr>
        <w:t>二</w:t>
      </w:r>
      <w:r>
        <w:rPr>
          <w:rFonts w:hint="default" w:ascii="Times New Roman" w:hAnsi="Times New Roman" w:eastAsia="楷体_GB2312" w:cs="Times New Roman"/>
          <w:b/>
          <w:bCs/>
          <w:color w:val="auto"/>
          <w:szCs w:val="32"/>
          <w:highlight w:val="none"/>
        </w:rPr>
        <w:t>）</w:t>
      </w:r>
      <w:r>
        <w:rPr>
          <w:rFonts w:hint="eastAsia" w:ascii="Times New Roman" w:hAnsi="Times New Roman" w:eastAsia="楷体_GB2312" w:cs="Times New Roman"/>
          <w:b/>
          <w:bCs/>
          <w:color w:val="auto"/>
          <w:szCs w:val="32"/>
          <w:highlight w:val="none"/>
          <w:lang w:val="en-US" w:eastAsia="zh-CN"/>
        </w:rPr>
        <w:t>预算执行率偏低</w:t>
      </w:r>
    </w:p>
    <w:p>
      <w:pPr>
        <w:spacing w:line="580" w:lineRule="exact"/>
        <w:ind w:firstLine="640"/>
        <w:rPr>
          <w:rFonts w:hint="default" w:ascii="Times New Roman" w:hAnsi="Times New Roman" w:cs="Times New Roman"/>
          <w:color w:val="auto"/>
          <w:highlight w:val="none"/>
        </w:rPr>
      </w:pPr>
      <w:r>
        <w:rPr>
          <w:rFonts w:hint="default" w:ascii="Times New Roman" w:hAnsi="Times New Roman" w:cs="Times New Roman"/>
          <w:color w:val="auto"/>
          <w:highlight w:val="none"/>
        </w:rPr>
        <w:t>评价小组根据被评价单位提供的</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lang w:val="en-US" w:eastAsia="zh-CN"/>
        </w:rPr>
        <w:t>2022年度安全生产专项资金支出明细表</w:t>
      </w:r>
      <w:r>
        <w:rPr>
          <w:rFonts w:hint="eastAsia" w:ascii="Times New Roman" w:hAnsi="Times New Roman" w:cs="Times New Roman"/>
          <w:color w:val="auto"/>
          <w:highlight w:val="none"/>
          <w:lang w:eastAsia="zh-CN"/>
        </w:rPr>
        <w:t>”</w:t>
      </w:r>
      <w:r>
        <w:rPr>
          <w:rFonts w:hint="default" w:ascii="Times New Roman" w:hAnsi="Times New Roman" w:cs="Times New Roman"/>
          <w:color w:val="auto"/>
          <w:highlight w:val="none"/>
        </w:rPr>
        <w:t>项目资料发现，项目</w:t>
      </w:r>
      <w:r>
        <w:rPr>
          <w:rFonts w:hint="default" w:ascii="Times New Roman" w:hAnsi="Times New Roman" w:cs="Times New Roman"/>
          <w:color w:val="auto"/>
          <w:highlight w:val="none"/>
          <w:lang w:val="en-US" w:eastAsia="zh-CN"/>
        </w:rPr>
        <w:t>实际支出只有7.09万元，</w:t>
      </w:r>
      <w:r>
        <w:rPr>
          <w:rFonts w:hint="eastAsia" w:ascii="Times New Roman" w:hAnsi="Times New Roman" w:cs="Times New Roman"/>
          <w:color w:val="auto"/>
          <w:highlight w:val="none"/>
          <w:lang w:val="en-US" w:eastAsia="zh-CN"/>
        </w:rPr>
        <w:t>相对于</w:t>
      </w:r>
      <w:r>
        <w:rPr>
          <w:rFonts w:hint="default" w:ascii="Times New Roman" w:hAnsi="Times New Roman" w:cs="Times New Roman"/>
          <w:color w:val="auto"/>
          <w:highlight w:val="none"/>
          <w:lang w:val="en-US" w:eastAsia="zh-CN"/>
        </w:rPr>
        <w:t>预算资金30万元，预算执行率低于30%</w:t>
      </w:r>
      <w:r>
        <w:rPr>
          <w:rFonts w:hint="default" w:ascii="Times New Roman" w:hAnsi="Times New Roman" w:cs="Times New Roman"/>
          <w:color w:val="auto"/>
          <w:highlight w:val="none"/>
        </w:rPr>
        <w:t>。</w:t>
      </w:r>
    </w:p>
    <w:p>
      <w:pPr>
        <w:spacing w:line="580" w:lineRule="exact"/>
        <w:ind w:firstLine="643"/>
        <w:rPr>
          <w:rFonts w:hint="default" w:ascii="Times New Roman" w:hAnsi="Times New Roman" w:eastAsia="楷体_GB2312" w:cs="Times New Roman"/>
          <w:b/>
          <w:bCs/>
          <w:color w:val="auto"/>
          <w:szCs w:val="32"/>
          <w:highlight w:val="none"/>
          <w:lang w:val="en-US" w:eastAsia="zh-CN"/>
        </w:rPr>
      </w:pPr>
      <w:r>
        <w:rPr>
          <w:rFonts w:hint="default" w:ascii="Times New Roman" w:hAnsi="Times New Roman" w:eastAsia="楷体_GB2312" w:cs="Times New Roman"/>
          <w:b/>
          <w:bCs/>
          <w:color w:val="auto"/>
          <w:szCs w:val="32"/>
          <w:highlight w:val="none"/>
        </w:rPr>
        <w:t>（</w:t>
      </w:r>
      <w:r>
        <w:rPr>
          <w:rFonts w:hint="default" w:ascii="Times New Roman" w:hAnsi="Times New Roman" w:eastAsia="楷体_GB2312" w:cs="Times New Roman"/>
          <w:b/>
          <w:bCs/>
          <w:color w:val="auto"/>
          <w:szCs w:val="32"/>
          <w:highlight w:val="none"/>
          <w:lang w:val="en-US" w:eastAsia="zh-CN"/>
        </w:rPr>
        <w:t>三</w:t>
      </w:r>
      <w:r>
        <w:rPr>
          <w:rFonts w:hint="default" w:ascii="Times New Roman" w:hAnsi="Times New Roman" w:eastAsia="楷体_GB2312" w:cs="Times New Roman"/>
          <w:b/>
          <w:bCs/>
          <w:color w:val="auto"/>
          <w:szCs w:val="32"/>
          <w:highlight w:val="none"/>
        </w:rPr>
        <w:t>）</w:t>
      </w:r>
      <w:r>
        <w:rPr>
          <w:rFonts w:hint="default" w:ascii="Times New Roman" w:hAnsi="Times New Roman" w:eastAsia="楷体_GB2312" w:cs="Times New Roman"/>
          <w:b/>
          <w:bCs/>
          <w:color w:val="auto"/>
          <w:szCs w:val="32"/>
          <w:highlight w:val="none"/>
          <w:lang w:val="en-US" w:eastAsia="zh-CN"/>
        </w:rPr>
        <w:t>计划申报表列明的项目未全部完成</w:t>
      </w:r>
    </w:p>
    <w:p>
      <w:pPr>
        <w:spacing w:line="580" w:lineRule="exact"/>
        <w:ind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vertAlign w:val="baseline"/>
          <w:lang w:val="en-US" w:eastAsia="zh-CN"/>
        </w:rPr>
        <w:t>该项目2022年度区级财政项目资金计划申报表上列明全年任务为</w:t>
      </w:r>
      <w:r>
        <w:rPr>
          <w:rFonts w:hint="eastAsia" w:ascii="Times New Roman" w:hAnsi="Times New Roman" w:cs="Times New Roman"/>
          <w:color w:val="auto"/>
          <w:sz w:val="32"/>
          <w:szCs w:val="32"/>
          <w:highlight w:val="none"/>
          <w:vertAlign w:val="baseline"/>
          <w:lang w:val="en-US" w:eastAsia="zh-CN"/>
        </w:rPr>
        <w:t>“</w:t>
      </w:r>
      <w:r>
        <w:rPr>
          <w:rFonts w:hint="default" w:ascii="Times New Roman" w:hAnsi="Times New Roman" w:eastAsia="仿宋_GB2312" w:cs="Times New Roman"/>
          <w:color w:val="auto"/>
          <w:sz w:val="32"/>
          <w:szCs w:val="32"/>
          <w:highlight w:val="none"/>
          <w:vertAlign w:val="baseline"/>
          <w:lang w:val="en-US" w:eastAsia="zh-CN"/>
        </w:rPr>
        <w:t>对所有生产经营企业开展执法、宣传、督查；全年至少开展2次综合应急救援演练，开展演练相关宣传费用、展板制作费用、演练所需器材及耗材等费用支出</w:t>
      </w:r>
      <w:r>
        <w:rPr>
          <w:rFonts w:hint="eastAsia" w:ascii="Times New Roman" w:hAnsi="Times New Roman" w:cs="Times New Roman"/>
          <w:color w:val="auto"/>
          <w:sz w:val="32"/>
          <w:szCs w:val="32"/>
          <w:highlight w:val="none"/>
          <w:vertAlign w:val="baseline"/>
          <w:lang w:val="en-US" w:eastAsia="zh-CN"/>
        </w:rPr>
        <w:t>”</w:t>
      </w:r>
      <w:r>
        <w:rPr>
          <w:rFonts w:hint="default" w:ascii="Times New Roman" w:hAnsi="Times New Roman" w:eastAsia="仿宋_GB2312" w:cs="Times New Roman"/>
          <w:color w:val="auto"/>
          <w:sz w:val="32"/>
          <w:szCs w:val="32"/>
          <w:highlight w:val="none"/>
          <w:vertAlign w:val="baseline"/>
          <w:lang w:val="en-US" w:eastAsia="zh-CN"/>
        </w:rPr>
        <w:t>，而根据单位提供的2022年支付明细账，2022年实际只开展了宣传、督查等活动，并未开展综合应急救援演练，执法等活动。该指标实际完成率为60%</w:t>
      </w:r>
      <w:r>
        <w:rPr>
          <w:rFonts w:hint="default" w:ascii="Times New Roman" w:hAnsi="Times New Roman" w:cs="Times New Roman"/>
          <w:color w:val="auto"/>
          <w:sz w:val="32"/>
          <w:szCs w:val="32"/>
          <w:highlight w:val="none"/>
          <w:vertAlign w:val="baseline"/>
          <w:lang w:val="en-US" w:eastAsia="zh-CN"/>
        </w:rPr>
        <w:t>。</w:t>
      </w:r>
    </w:p>
    <w:p>
      <w:pPr>
        <w:snapToGrid w:val="0"/>
        <w:spacing w:line="580" w:lineRule="exact"/>
        <w:ind w:firstLine="0"/>
        <w:rPr>
          <w:rFonts w:hint="default" w:ascii="Times New Roman" w:hAnsi="Times New Roman" w:cs="Times New Roman"/>
          <w:color w:val="auto"/>
          <w:highlight w:val="none"/>
        </w:rPr>
      </w:pPr>
      <w:r>
        <w:rPr>
          <w:rFonts w:hint="default" w:ascii="Times New Roman" w:hAnsi="Times New Roman" w:cs="Times New Roman"/>
          <w:color w:val="auto"/>
          <w:highlight w:val="none"/>
        </w:rPr>
        <w:t>针对上述问题，建议被评价单位</w:t>
      </w:r>
      <w:r>
        <w:rPr>
          <w:rFonts w:hint="eastAsia" w:ascii="Times New Roman" w:hAnsi="Times New Roman" w:cs="Times New Roman"/>
          <w:color w:val="auto"/>
          <w:highlight w:val="none"/>
          <w:lang w:eastAsia="zh-CN"/>
        </w:rPr>
        <w:t>加大</w:t>
      </w:r>
      <w:r>
        <w:rPr>
          <w:rFonts w:hint="eastAsia" w:ascii="Times New Roman" w:hAnsi="Times New Roman" w:cs="Times New Roman"/>
          <w:color w:val="auto"/>
          <w:highlight w:val="none"/>
          <w:lang w:val="en-US" w:eastAsia="zh-CN"/>
        </w:rPr>
        <w:t>执行力度</w:t>
      </w:r>
      <w:r>
        <w:rPr>
          <w:rFonts w:hint="default" w:ascii="Times New Roman" w:hAnsi="Times New Roman" w:cs="Times New Roman"/>
          <w:color w:val="auto"/>
          <w:highlight w:val="none"/>
        </w:rPr>
        <w:t>，</w:t>
      </w:r>
      <w:r>
        <w:rPr>
          <w:rFonts w:hint="eastAsia" w:ascii="Times New Roman" w:hAnsi="Times New Roman" w:cs="Times New Roman"/>
          <w:color w:val="auto"/>
          <w:highlight w:val="none"/>
          <w:lang w:val="en-US" w:eastAsia="zh-CN"/>
        </w:rPr>
        <w:t>根据单位实际工作任务设置绩效目标，从而逐一完成绩效目标内容。</w:t>
      </w:r>
    </w:p>
    <w:p>
      <w:pPr>
        <w:numPr>
          <w:ilvl w:val="0"/>
          <w:numId w:val="0"/>
        </w:numPr>
        <w:snapToGrid w:val="0"/>
        <w:spacing w:line="580" w:lineRule="exact"/>
        <w:ind w:firstLine="643"/>
        <w:rPr>
          <w:rFonts w:hint="default" w:ascii="Times New Roman" w:hAnsi="Times New Roman" w:eastAsia="楷体" w:cs="Times New Roman"/>
          <w:b/>
          <w:bCs/>
          <w:color w:val="auto"/>
          <w:highlight w:val="none"/>
          <w:lang w:val="en-US" w:eastAsia="zh-CN"/>
        </w:rPr>
      </w:pPr>
      <w:r>
        <w:rPr>
          <w:rFonts w:hint="eastAsia" w:ascii="Times New Roman" w:hAnsi="Times New Roman" w:eastAsia="楷体" w:cs="Times New Roman"/>
          <w:b/>
          <w:bCs/>
          <w:color w:val="auto"/>
          <w:kern w:val="2"/>
          <w:sz w:val="32"/>
          <w:szCs w:val="24"/>
          <w:lang w:val="en-US" w:eastAsia="zh-CN" w:bidi="ar-SA"/>
        </w:rPr>
        <w:t>（四）</w:t>
      </w:r>
      <w:r>
        <w:rPr>
          <w:rFonts w:hint="default" w:ascii="Times New Roman" w:hAnsi="Times New Roman" w:eastAsia="楷体" w:cs="Times New Roman"/>
          <w:b/>
          <w:bCs/>
          <w:color w:val="auto"/>
          <w:highlight w:val="none"/>
          <w:lang w:val="en-US" w:eastAsia="zh-CN"/>
        </w:rPr>
        <w:t>项目未编制应急管理体系，风险管理措施</w:t>
      </w:r>
    </w:p>
    <w:bookmarkEnd w:id="34"/>
    <w:p>
      <w:pPr>
        <w:snapToGrid w:val="0"/>
        <w:spacing w:before="0" w:beforeAutospacing="0" w:after="0" w:afterAutospacing="0" w:line="580" w:lineRule="exact"/>
        <w:ind w:firstLine="0"/>
        <w:outlineLvl w:val="9"/>
        <w:rPr>
          <w:rFonts w:hint="default" w:ascii="Times New Roman" w:hAnsi="Times New Roman" w:cs="Times New Roman"/>
          <w:b w:val="0"/>
          <w:bCs/>
          <w:color w:val="auto"/>
          <w:sz w:val="32"/>
          <w:szCs w:val="32"/>
          <w:highlight w:val="none"/>
          <w:lang w:val="en-US" w:eastAsia="zh-CN"/>
        </w:rPr>
      </w:pPr>
      <w:bookmarkStart w:id="35" w:name="_Toc15245"/>
      <w:r>
        <w:rPr>
          <w:rFonts w:hint="default" w:ascii="Times New Roman" w:hAnsi="Times New Roman" w:eastAsia="仿宋_GB2312" w:cs="Times New Roman"/>
          <w:b w:val="0"/>
          <w:bCs/>
          <w:color w:val="auto"/>
          <w:sz w:val="32"/>
          <w:szCs w:val="32"/>
          <w:highlight w:val="none"/>
        </w:rPr>
        <w:t>评价小组根据被评价单位提供的相关资料发现，202</w:t>
      </w:r>
      <w:r>
        <w:rPr>
          <w:rFonts w:hint="default" w:ascii="Times New Roman" w:hAnsi="Times New Roman" w:cs="Times New Roman"/>
          <w:b w:val="0"/>
          <w:bCs/>
          <w:color w:val="auto"/>
          <w:sz w:val="32"/>
          <w:szCs w:val="32"/>
          <w:highlight w:val="none"/>
          <w:lang w:val="en-US" w:eastAsia="zh-CN"/>
        </w:rPr>
        <w:t>2年</w:t>
      </w:r>
      <w:r>
        <w:rPr>
          <w:rFonts w:hint="eastAsia" w:ascii="Times New Roman" w:hAnsi="Times New Roman" w:cs="Times New Roman"/>
          <w:b w:val="0"/>
          <w:bCs/>
          <w:color w:val="auto"/>
          <w:sz w:val="32"/>
          <w:szCs w:val="32"/>
          <w:highlight w:val="none"/>
          <w:lang w:eastAsia="zh-CN"/>
        </w:rPr>
        <w:t>“</w:t>
      </w:r>
      <w:r>
        <w:rPr>
          <w:rFonts w:hint="default" w:ascii="Times New Roman" w:hAnsi="Times New Roman" w:cs="Times New Roman"/>
          <w:b w:val="0"/>
          <w:bCs/>
          <w:color w:val="auto"/>
          <w:sz w:val="32"/>
          <w:szCs w:val="32"/>
          <w:highlight w:val="none"/>
          <w:lang w:val="en-US" w:eastAsia="zh-CN"/>
        </w:rPr>
        <w:t>安全生产专项资金</w:t>
      </w:r>
      <w:r>
        <w:rPr>
          <w:rFonts w:hint="eastAsia" w:ascii="Times New Roman" w:hAnsi="Times New Roman" w:cs="Times New Roman"/>
          <w:b w:val="0"/>
          <w:bCs/>
          <w:color w:val="auto"/>
          <w:sz w:val="32"/>
          <w:szCs w:val="32"/>
          <w:highlight w:val="none"/>
          <w:lang w:eastAsia="zh-CN"/>
        </w:rPr>
        <w:t>”</w:t>
      </w:r>
      <w:r>
        <w:rPr>
          <w:rFonts w:hint="default" w:ascii="Times New Roman" w:hAnsi="Times New Roman" w:cs="Times New Roman"/>
          <w:b w:val="0"/>
          <w:bCs/>
          <w:color w:val="auto"/>
          <w:sz w:val="32"/>
          <w:szCs w:val="32"/>
          <w:highlight w:val="none"/>
          <w:lang w:val="en-US" w:eastAsia="zh-CN"/>
        </w:rPr>
        <w:t>项目未编制应急管理体系，加大了项目的不可控性，增加了后期风险。</w:t>
      </w:r>
      <w:bookmarkEnd w:id="35"/>
    </w:p>
    <w:p>
      <w:pPr>
        <w:pStyle w:val="2"/>
        <w:spacing w:before="0" w:after="0" w:line="580" w:lineRule="exact"/>
        <w:ind w:firstLine="640"/>
        <w:rPr>
          <w:rFonts w:hint="default" w:ascii="Times New Roman" w:hAnsi="Times New Roman" w:eastAsia="黑体" w:cs="Times New Roman"/>
          <w:b w:val="0"/>
          <w:bCs/>
          <w:color w:val="auto"/>
          <w:sz w:val="32"/>
          <w:szCs w:val="20"/>
          <w:highlight w:val="none"/>
        </w:rPr>
      </w:pPr>
      <w:bookmarkStart w:id="36" w:name="_Toc8089"/>
      <w:bookmarkStart w:id="37" w:name="_Toc25"/>
      <w:r>
        <w:rPr>
          <w:rFonts w:hint="default" w:ascii="Times New Roman" w:hAnsi="Times New Roman" w:eastAsia="黑体" w:cs="Times New Roman"/>
          <w:b w:val="0"/>
          <w:bCs/>
          <w:color w:val="auto"/>
          <w:sz w:val="32"/>
          <w:szCs w:val="20"/>
          <w:highlight w:val="none"/>
        </w:rPr>
        <w:t>五、其他需要说明的问题</w:t>
      </w:r>
      <w:bookmarkEnd w:id="36"/>
      <w:bookmarkEnd w:id="37"/>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t>我司作为专业的第三方预算绩效管理服务机构，严格遵守《中华人民共和国预算法》《中华人民共和国预算法实施条例》《中共中央 国务院关于全面实施预算绩效管理的意见》《关于委托第三方机构参与预算绩效管理的指导意见》等预算绩效管理法律法规和第三方评价（估）行业准则，始终秉承独立、客观、公正的立场开展评价（估）工作，实施了必要的评价（估）程序，获取了充分和恰当的证据，并对评价（估）发现的问题进行了充分披露，对评价（估）结果提供合理保证。根据上述法律法规及相关行业准则，被评价（估）部门（单位）对评价（估）过程中提交的材料和有关信息的真实性、完整性承担责任。</w:t>
      </w:r>
    </w:p>
    <w:p>
      <w:pPr>
        <w:spacing w:line="580" w:lineRule="exact"/>
        <w:ind w:firstLine="640"/>
        <w:rPr>
          <w:rFonts w:hint="default" w:ascii="Times New Roman" w:hAnsi="Times New Roman" w:cs="Times New Roman"/>
          <w:color w:val="auto"/>
          <w:szCs w:val="32"/>
          <w:highlight w:val="none"/>
        </w:rPr>
      </w:pPr>
      <w:r>
        <w:rPr>
          <w:rFonts w:hint="default" w:ascii="Times New Roman" w:hAnsi="Times New Roman" w:cs="Times New Roman"/>
          <w:color w:val="auto"/>
          <w:szCs w:val="32"/>
          <w:highlight w:val="none"/>
        </w:rPr>
        <w:br w:type="page"/>
      </w:r>
    </w:p>
    <w:p>
      <w:pPr>
        <w:pStyle w:val="2"/>
        <w:spacing w:before="0" w:after="0" w:line="580" w:lineRule="exact"/>
        <w:ind w:firstLine="0" w:firstLineChars="0"/>
        <w:rPr>
          <w:rFonts w:hint="default" w:ascii="Times New Roman" w:hAnsi="Times New Roman" w:cs="Times New Roman"/>
          <w:color w:val="auto"/>
          <w:szCs w:val="32"/>
          <w:highlight w:val="none"/>
        </w:rPr>
        <w:sectPr>
          <w:footerReference r:id="rId12" w:type="default"/>
          <w:pgSz w:w="11906" w:h="16838"/>
          <w:pgMar w:top="2098" w:right="1474" w:bottom="1928" w:left="1587" w:header="851" w:footer="992" w:gutter="0"/>
          <w:cols w:space="425" w:num="1"/>
          <w:docGrid w:type="lines" w:linePitch="312" w:charSpace="0"/>
        </w:sectPr>
      </w:pPr>
    </w:p>
    <w:p>
      <w:pPr>
        <w:pStyle w:val="2"/>
        <w:spacing w:before="0" w:after="0" w:line="580" w:lineRule="exact"/>
        <w:ind w:firstLine="0" w:firstLineChars="0"/>
        <w:rPr>
          <w:rFonts w:hint="default" w:ascii="Times New Roman" w:hAnsi="Times New Roman" w:eastAsia="黑体" w:cs="Times New Roman"/>
          <w:b w:val="0"/>
          <w:bCs/>
          <w:color w:val="auto"/>
          <w:sz w:val="32"/>
          <w:szCs w:val="20"/>
          <w:highlight w:val="none"/>
        </w:rPr>
      </w:pPr>
      <w:bookmarkStart w:id="38" w:name="_Toc6236"/>
      <w:bookmarkStart w:id="39" w:name="_Toc23157"/>
      <w:r>
        <w:rPr>
          <w:rFonts w:hint="default" w:ascii="Times New Roman" w:hAnsi="Times New Roman" w:eastAsia="黑体" w:cs="Times New Roman"/>
          <w:b w:val="0"/>
          <w:bCs/>
          <w:color w:val="auto"/>
          <w:sz w:val="32"/>
          <w:szCs w:val="20"/>
          <w:highlight w:val="none"/>
          <w:lang w:eastAsia="zh-Hans"/>
        </w:rPr>
        <w:t>附件</w:t>
      </w:r>
      <w:r>
        <w:rPr>
          <w:rFonts w:hint="default" w:ascii="Times New Roman" w:hAnsi="Times New Roman" w:eastAsia="黑体" w:cs="Times New Roman"/>
          <w:b w:val="0"/>
          <w:bCs/>
          <w:color w:val="auto"/>
          <w:sz w:val="32"/>
          <w:szCs w:val="20"/>
          <w:highlight w:val="none"/>
          <w:lang w:val="en-US" w:eastAsia="zh-CN"/>
        </w:rPr>
        <w:t xml:space="preserve"> </w:t>
      </w:r>
      <w:r>
        <w:rPr>
          <w:rFonts w:hint="default" w:ascii="Times New Roman" w:hAnsi="Times New Roman" w:eastAsia="黑体" w:cs="Times New Roman"/>
          <w:b w:val="0"/>
          <w:bCs/>
          <w:color w:val="auto"/>
          <w:sz w:val="32"/>
          <w:szCs w:val="20"/>
          <w:highlight w:val="none"/>
        </w:rPr>
        <w:t>项目支出绩效评价指标体系</w:t>
      </w:r>
      <w:bookmarkEnd w:id="38"/>
      <w:bookmarkEnd w:id="39"/>
    </w:p>
    <w:tbl>
      <w:tblPr>
        <w:tblStyle w:val="1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65"/>
        <w:gridCol w:w="1376"/>
        <w:gridCol w:w="1391"/>
        <w:gridCol w:w="1154"/>
        <w:gridCol w:w="1248"/>
        <w:gridCol w:w="2347"/>
        <w:gridCol w:w="4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 w:hRule="atLeast"/>
          <w:tblHeader/>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一级指标</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二级指标</w:t>
            </w:r>
          </w:p>
        </w:tc>
        <w:tc>
          <w:tcPr>
            <w:tcW w:w="53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三级指标</w:t>
            </w:r>
          </w:p>
        </w:tc>
        <w:tc>
          <w:tcPr>
            <w:tcW w:w="922" w:type="pct"/>
            <w:gridSpan w:val="2"/>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得分情况</w:t>
            </w:r>
          </w:p>
        </w:tc>
        <w:tc>
          <w:tcPr>
            <w:tcW w:w="901"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指标解释</w:t>
            </w:r>
          </w:p>
        </w:tc>
        <w:tc>
          <w:tcPr>
            <w:tcW w:w="1590"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评价要点与评分规则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9" w:hRule="atLeast"/>
          <w:tblHeader/>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534"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b/>
                <w:bCs/>
                <w:i w:val="0"/>
                <w:iCs w:val="0"/>
                <w:color w:val="auto"/>
                <w:sz w:val="24"/>
                <w:szCs w:val="24"/>
                <w:highlight w:val="none"/>
                <w:u w:val="none"/>
              </w:rPr>
            </w:pP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分值</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b/>
                <w:bCs/>
                <w:i w:val="0"/>
                <w:iCs w:val="0"/>
                <w:color w:val="auto"/>
                <w:sz w:val="24"/>
                <w:szCs w:val="24"/>
                <w:highlight w:val="none"/>
                <w:u w:val="none"/>
              </w:rPr>
            </w:pPr>
            <w:r>
              <w:rPr>
                <w:rFonts w:hint="default" w:ascii="Times New Roman" w:hAnsi="Times New Roman" w:eastAsia="仿宋_GB2312" w:cs="Times New Roman"/>
                <w:b/>
                <w:bCs/>
                <w:i w:val="0"/>
                <w:iCs w:val="0"/>
                <w:color w:val="auto"/>
                <w:kern w:val="0"/>
                <w:sz w:val="24"/>
                <w:szCs w:val="24"/>
                <w:highlight w:val="none"/>
                <w:u w:val="none"/>
                <w:lang w:val="en-US" w:eastAsia="zh-CN" w:bidi="ar"/>
              </w:rPr>
              <w:t>得分</w:t>
            </w:r>
          </w:p>
        </w:tc>
        <w:tc>
          <w:tcPr>
            <w:tcW w:w="901"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仿宋_GB2312" w:cs="Times New Roman"/>
                <w:b/>
                <w:bCs/>
                <w:i w:val="0"/>
                <w:iCs w:val="0"/>
                <w:color w:val="auto"/>
                <w:sz w:val="24"/>
                <w:szCs w:val="24"/>
                <w:highlight w:val="none"/>
                <w:u w:val="none"/>
              </w:rPr>
            </w:pPr>
          </w:p>
        </w:tc>
        <w:tc>
          <w:tcPr>
            <w:tcW w:w="1590"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left"/>
              <w:rPr>
                <w:rFonts w:hint="default" w:ascii="Times New Roman" w:hAnsi="Times New Roman" w:eastAsia="仿宋_GB2312" w:cs="Times New Roman"/>
                <w:b/>
                <w:bCs/>
                <w:i w:val="0"/>
                <w:iCs w:val="0"/>
                <w:color w:val="auto"/>
                <w:sz w:val="24"/>
                <w:szCs w:val="24"/>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决策</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A1</w:t>
            </w:r>
            <w:r>
              <w:rPr>
                <w:rFonts w:hint="default" w:ascii="Times New Roman" w:hAnsi="Times New Roman" w:eastAsia="仿宋_GB2312" w:cs="Times New Roman"/>
                <w:i w:val="0"/>
                <w:iCs w:val="0"/>
                <w:color w:val="auto"/>
                <w:kern w:val="0"/>
                <w:sz w:val="24"/>
                <w:szCs w:val="24"/>
                <w:highlight w:val="none"/>
                <w:u w:val="none"/>
                <w:lang w:val="en-US" w:eastAsia="zh-CN" w:bidi="ar"/>
              </w:rPr>
              <w:t>立项依据</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A11</w:t>
            </w:r>
            <w:r>
              <w:rPr>
                <w:rFonts w:hint="default" w:ascii="Times New Roman" w:hAnsi="Times New Roman" w:eastAsia="仿宋_GB2312" w:cs="Times New Roman"/>
                <w:i w:val="0"/>
                <w:iCs w:val="0"/>
                <w:color w:val="auto"/>
                <w:kern w:val="0"/>
                <w:sz w:val="24"/>
                <w:szCs w:val="24"/>
                <w:highlight w:val="none"/>
                <w:u w:val="none"/>
                <w:lang w:val="en-US" w:eastAsia="zh-CN" w:bidi="ar"/>
              </w:rPr>
              <w:t>立项依据充分性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项目立项是否符合法律法规、相关政策、发展规划以及部门职责，用以反映和考核项目立项依据情况。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①项目立项是否符合国家法律法规、国民经济发展规划和相关政策；</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②项目立项是否符合行业发展规划和政策要求；</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③项目立项是否与部门职责范围相符，属于部门履职所需；</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④项目是否属于公共财政支持范围，是否符合中央、地方事权支出责任划分原则；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⑤项目是否与相关部门同类项目或部门内部相关项目重复。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符合以上①—⑤得满分，否则不得分。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A12</w:t>
            </w:r>
            <w:r>
              <w:rPr>
                <w:rFonts w:hint="default" w:ascii="Times New Roman" w:hAnsi="Times New Roman" w:eastAsia="仿宋_GB2312" w:cs="Times New Roman"/>
                <w:i w:val="0"/>
                <w:iCs w:val="0"/>
                <w:color w:val="auto"/>
                <w:kern w:val="0"/>
                <w:sz w:val="24"/>
                <w:szCs w:val="24"/>
                <w:highlight w:val="none"/>
                <w:u w:val="none"/>
                <w:lang w:val="en-US" w:eastAsia="zh-CN" w:bidi="ar"/>
              </w:rPr>
              <w:t>立项程序规范性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项目申请、设立过程是否符合相关要求，用以反映和考核项目立项的规范情况。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①项目是否按照规定的程序申请设立；</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②审批文件、材料是否符合相关要求；</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③事前是否已经过必要的可行性研究、专家论证、风险评估、绩效评估、集体决策。</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A2</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A21</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绩效目标合理性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0.5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项目所设定的绩效目标是否依据充分，是否符合客观实际，用以反映和考核项目绩效目标与项目实施的相符情况。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①项目是否有绩效目标（如未设定预算绩效目标，也可考核其他工作任务目标）；</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②项目绩效目标与实际工作内容是否具有相关性；</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③项目预期产出效益和效果是否符合正常的业绩水平；</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④是否与预算确定的项目投资额或资金量相匹配。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符合以上①—④得满分，每缺失一项扣25%，直至扣除比例达到100%。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A22</w:t>
            </w:r>
            <w:r>
              <w:rPr>
                <w:rFonts w:hint="default" w:ascii="Times New Roman" w:hAnsi="Times New Roman" w:eastAsia="仿宋_GB2312" w:cs="Times New Roman"/>
                <w:i w:val="0"/>
                <w:iCs w:val="0"/>
                <w:color w:val="auto"/>
                <w:kern w:val="0"/>
                <w:sz w:val="24"/>
                <w:szCs w:val="24"/>
                <w:highlight w:val="none"/>
                <w:u w:val="none"/>
                <w:lang w:val="en-US" w:eastAsia="zh-CN" w:bidi="ar"/>
              </w:rPr>
              <w:t>绩效目标明确性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1</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依据绩效目标设定的绩效指标是否清晰、细化、可衡量等，用以反映和考核项目绩效目标的明细化情况。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①是否将项目绩效目标细化分解为具体的绩效指标；</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②是否通过清晰、可衡量的指标值予以体现；</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③是否与项目目标任务数或计划数相对应。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符合以上①—③得满分，每缺失一项扣除三分之一，直至扣除比例达到100%。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A3</w:t>
            </w:r>
            <w:r>
              <w:rPr>
                <w:rFonts w:hint="default" w:ascii="Times New Roman" w:hAnsi="Times New Roman" w:eastAsia="仿宋_GB2312" w:cs="Times New Roman"/>
                <w:i w:val="0"/>
                <w:iCs w:val="0"/>
                <w:color w:val="auto"/>
                <w:kern w:val="0"/>
                <w:sz w:val="24"/>
                <w:szCs w:val="24"/>
                <w:highlight w:val="none"/>
                <w:u w:val="none"/>
                <w:lang w:val="en-US" w:eastAsia="zh-CN" w:bidi="ar"/>
              </w:rPr>
              <w:t>资金投入</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A31</w:t>
            </w:r>
            <w:r>
              <w:rPr>
                <w:rFonts w:hint="default" w:ascii="Times New Roman" w:hAnsi="Times New Roman" w:eastAsia="仿宋_GB2312" w:cs="Times New Roman"/>
                <w:i w:val="0"/>
                <w:iCs w:val="0"/>
                <w:color w:val="auto"/>
                <w:kern w:val="0"/>
                <w:sz w:val="24"/>
                <w:szCs w:val="24"/>
                <w:highlight w:val="none"/>
                <w:u w:val="none"/>
                <w:lang w:val="en-US" w:eastAsia="zh-CN" w:bidi="ar"/>
              </w:rPr>
              <w:t>预算编制科学性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项目预算编制是否经过科学论证、有明确标准，资金额度与年度目标是否相适应，用以反映和考核项目预算编制的科学性、合理性情况。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①预算编制是否经过科学论证；</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②预算内容与项目内容是否匹配；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③预算额度测算依据是否充分，是否按照标准编制；</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④预算确定的项目投资额或资金量是否与工作任务相匹配。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符合以上①—④得满分，每缺失一项扣除25%，直至扣除比例达到100%。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A32</w:t>
            </w:r>
            <w:r>
              <w:rPr>
                <w:rFonts w:hint="default" w:ascii="Times New Roman" w:hAnsi="Times New Roman" w:eastAsia="仿宋_GB2312" w:cs="Times New Roman"/>
                <w:i w:val="0"/>
                <w:iCs w:val="0"/>
                <w:color w:val="auto"/>
                <w:kern w:val="0"/>
                <w:sz w:val="24"/>
                <w:szCs w:val="24"/>
                <w:highlight w:val="none"/>
                <w:u w:val="none"/>
                <w:lang w:val="en-US" w:eastAsia="zh-CN" w:bidi="ar"/>
              </w:rPr>
              <w:t>资金分配合理性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2</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cs="Times New Roman"/>
                <w:i w:val="0"/>
                <w:iCs w:val="0"/>
                <w:color w:val="auto"/>
                <w:sz w:val="24"/>
                <w:szCs w:val="24"/>
                <w:highlight w:val="none"/>
                <w:u w:val="none"/>
                <w:lang w:val="en-US" w:eastAsia="zh-CN"/>
              </w:rPr>
              <w:t>2</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项目预算资金分配是否有测算依据，与补助单位或地方实际是否相适应，用以反映和考核项目预算资金分配的科学性、合理性情况。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①预算资金分配依据是否充分；</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②资金分配额度是否合理，与项目单位或地方实际是否相适应。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符合以上①—②得满分，每缺失一项扣除50%，直至扣除比例达到100%。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过程</w:t>
            </w: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B1</w:t>
            </w:r>
            <w:r>
              <w:rPr>
                <w:rFonts w:hint="default" w:ascii="Times New Roman" w:hAnsi="Times New Roman" w:eastAsia="仿宋_GB2312" w:cs="Times New Roman"/>
                <w:i w:val="0"/>
                <w:iCs w:val="0"/>
                <w:color w:val="auto"/>
                <w:kern w:val="0"/>
                <w:sz w:val="24"/>
                <w:szCs w:val="24"/>
                <w:highlight w:val="none"/>
                <w:u w:val="none"/>
                <w:lang w:val="en-US" w:eastAsia="zh-CN" w:bidi="ar"/>
              </w:rPr>
              <w:t>资金管理</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B11</w:t>
            </w:r>
            <w:r>
              <w:rPr>
                <w:rFonts w:hint="default" w:ascii="Times New Roman" w:hAnsi="Times New Roman" w:eastAsia="仿宋_GB2312" w:cs="Times New Roman"/>
                <w:i w:val="0"/>
                <w:iCs w:val="0"/>
                <w:color w:val="auto"/>
                <w:kern w:val="0"/>
                <w:sz w:val="24"/>
                <w:szCs w:val="24"/>
                <w:highlight w:val="none"/>
                <w:u w:val="none"/>
                <w:lang w:val="en-US" w:eastAsia="zh-CN" w:bidi="ar"/>
              </w:rPr>
              <w:t>资金</w:t>
            </w:r>
            <w:r>
              <w:rPr>
                <w:rFonts w:hint="eastAsia" w:ascii="Times New Roman" w:hAnsi="Times New Roman" w:cs="Times New Roman"/>
                <w:i w:val="0"/>
                <w:iCs w:val="0"/>
                <w:color w:val="auto"/>
                <w:kern w:val="0"/>
                <w:sz w:val="24"/>
                <w:szCs w:val="24"/>
                <w:highlight w:val="none"/>
                <w:u w:val="none"/>
                <w:lang w:val="en-US" w:eastAsia="zh-CN" w:bidi="ar"/>
              </w:rPr>
              <w:t>执行</w:t>
            </w:r>
            <w:r>
              <w:rPr>
                <w:rFonts w:hint="default" w:ascii="Times New Roman" w:hAnsi="Times New Roman" w:eastAsia="仿宋_GB2312" w:cs="Times New Roman"/>
                <w:i w:val="0"/>
                <w:iCs w:val="0"/>
                <w:color w:val="auto"/>
                <w:kern w:val="0"/>
                <w:sz w:val="24"/>
                <w:szCs w:val="24"/>
                <w:highlight w:val="none"/>
                <w:u w:val="none"/>
                <w:lang w:val="en-US" w:eastAsia="zh-CN" w:bidi="ar"/>
              </w:rPr>
              <w:t>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eastAsia" w:ascii="Times New Roman" w:hAnsi="Times New Roman" w:cs="Times New Roman"/>
                <w:i w:val="0"/>
                <w:iCs w:val="0"/>
                <w:color w:val="auto"/>
                <w:sz w:val="24"/>
                <w:szCs w:val="24"/>
                <w:highlight w:val="none"/>
                <w:u w:val="none"/>
                <w:lang w:val="en-US" w:eastAsia="zh-CN"/>
              </w:rPr>
              <w:t>3</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实际</w:t>
            </w:r>
            <w:r>
              <w:rPr>
                <w:rFonts w:hint="eastAsia" w:ascii="Times New Roman" w:hAnsi="Times New Roman" w:cs="Times New Roman"/>
                <w:i w:val="0"/>
                <w:iCs w:val="0"/>
                <w:color w:val="auto"/>
                <w:kern w:val="0"/>
                <w:sz w:val="24"/>
                <w:szCs w:val="24"/>
                <w:highlight w:val="none"/>
                <w:u w:val="none"/>
                <w:lang w:val="en-US" w:eastAsia="zh-CN" w:bidi="ar"/>
              </w:rPr>
              <w:t>到位</w:t>
            </w:r>
            <w:r>
              <w:rPr>
                <w:rFonts w:hint="default" w:ascii="Times New Roman" w:hAnsi="Times New Roman" w:eastAsia="仿宋_GB2312" w:cs="Times New Roman"/>
                <w:i w:val="0"/>
                <w:iCs w:val="0"/>
                <w:color w:val="auto"/>
                <w:kern w:val="0"/>
                <w:sz w:val="24"/>
                <w:szCs w:val="24"/>
                <w:highlight w:val="none"/>
                <w:u w:val="none"/>
                <w:lang w:val="en-US" w:eastAsia="zh-CN" w:bidi="ar"/>
              </w:rPr>
              <w:t>资金与预算资金的比率，用以反映和考核资金</w:t>
            </w:r>
            <w:r>
              <w:rPr>
                <w:rFonts w:hint="eastAsia" w:ascii="Times New Roman" w:hAnsi="Times New Roman" w:cs="Times New Roman"/>
                <w:i w:val="0"/>
                <w:iCs w:val="0"/>
                <w:color w:val="auto"/>
                <w:kern w:val="0"/>
                <w:sz w:val="24"/>
                <w:szCs w:val="24"/>
                <w:highlight w:val="none"/>
                <w:u w:val="none"/>
                <w:lang w:val="en-US" w:eastAsia="zh-CN" w:bidi="ar"/>
              </w:rPr>
              <w:t>到位</w:t>
            </w:r>
            <w:r>
              <w:rPr>
                <w:rFonts w:hint="default" w:ascii="Times New Roman" w:hAnsi="Times New Roman" w:eastAsia="仿宋_GB2312" w:cs="Times New Roman"/>
                <w:i w:val="0"/>
                <w:iCs w:val="0"/>
                <w:color w:val="auto"/>
                <w:kern w:val="0"/>
                <w:sz w:val="24"/>
                <w:szCs w:val="24"/>
                <w:highlight w:val="none"/>
                <w:u w:val="none"/>
                <w:lang w:val="en-US" w:eastAsia="zh-CN" w:bidi="ar"/>
              </w:rPr>
              <w:t>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资金</w:t>
            </w:r>
            <w:r>
              <w:rPr>
                <w:rFonts w:hint="eastAsia" w:ascii="Times New Roman" w:hAnsi="Times New Roman" w:cs="Times New Roman"/>
                <w:i w:val="0"/>
                <w:iCs w:val="0"/>
                <w:color w:val="auto"/>
                <w:kern w:val="0"/>
                <w:sz w:val="24"/>
                <w:szCs w:val="24"/>
                <w:highlight w:val="none"/>
                <w:u w:val="none"/>
                <w:lang w:val="en-US" w:eastAsia="zh-CN" w:bidi="ar"/>
              </w:rPr>
              <w:t>执行</w:t>
            </w:r>
            <w:r>
              <w:rPr>
                <w:rFonts w:hint="default" w:ascii="Times New Roman" w:hAnsi="Times New Roman" w:eastAsia="仿宋_GB2312" w:cs="Times New Roman"/>
                <w:i w:val="0"/>
                <w:iCs w:val="0"/>
                <w:color w:val="auto"/>
                <w:kern w:val="0"/>
                <w:sz w:val="24"/>
                <w:szCs w:val="24"/>
                <w:highlight w:val="none"/>
                <w:u w:val="none"/>
                <w:lang w:val="en-US" w:eastAsia="zh-CN" w:bidi="ar"/>
              </w:rPr>
              <w:t>率=（实际</w:t>
            </w:r>
            <w:r>
              <w:rPr>
                <w:rFonts w:hint="eastAsia" w:ascii="Times New Roman" w:hAnsi="Times New Roman" w:cs="Times New Roman"/>
                <w:i w:val="0"/>
                <w:iCs w:val="0"/>
                <w:color w:val="auto"/>
                <w:kern w:val="0"/>
                <w:sz w:val="24"/>
                <w:szCs w:val="24"/>
                <w:highlight w:val="none"/>
                <w:u w:val="none"/>
                <w:lang w:val="en-US" w:eastAsia="zh-CN" w:bidi="ar"/>
              </w:rPr>
              <w:t>到位</w:t>
            </w:r>
            <w:r>
              <w:rPr>
                <w:rFonts w:hint="default" w:ascii="Times New Roman" w:hAnsi="Times New Roman" w:eastAsia="仿宋_GB2312" w:cs="Times New Roman"/>
                <w:i w:val="0"/>
                <w:iCs w:val="0"/>
                <w:color w:val="auto"/>
                <w:kern w:val="0"/>
                <w:sz w:val="24"/>
                <w:szCs w:val="24"/>
                <w:highlight w:val="none"/>
                <w:u w:val="none"/>
                <w:lang w:val="en-US" w:eastAsia="zh-CN" w:bidi="ar"/>
              </w:rPr>
              <w:t>资金/预算资金）×100%。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实际</w:t>
            </w:r>
            <w:r>
              <w:rPr>
                <w:rFonts w:hint="eastAsia" w:ascii="Times New Roman" w:hAnsi="Times New Roman" w:cs="Times New Roman"/>
                <w:i w:val="0"/>
                <w:iCs w:val="0"/>
                <w:color w:val="auto"/>
                <w:kern w:val="0"/>
                <w:sz w:val="24"/>
                <w:szCs w:val="24"/>
                <w:highlight w:val="none"/>
                <w:u w:val="none"/>
                <w:lang w:val="en-US" w:eastAsia="zh-CN" w:bidi="ar"/>
              </w:rPr>
              <w:t>到位</w:t>
            </w:r>
            <w:r>
              <w:rPr>
                <w:rFonts w:hint="default" w:ascii="Times New Roman" w:hAnsi="Times New Roman" w:eastAsia="仿宋_GB2312" w:cs="Times New Roman"/>
                <w:i w:val="0"/>
                <w:iCs w:val="0"/>
                <w:color w:val="auto"/>
                <w:kern w:val="0"/>
                <w:sz w:val="24"/>
                <w:szCs w:val="24"/>
                <w:highlight w:val="none"/>
                <w:u w:val="none"/>
                <w:lang w:val="en-US" w:eastAsia="zh-CN" w:bidi="ar"/>
              </w:rPr>
              <w:t>资金：一定时期（本年度或项目期）内落实到具体项目的资金。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预算资金：一定时期（本年度或项目期）内预算安排到具体项目的资金。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得分=资金</w:t>
            </w:r>
            <w:r>
              <w:rPr>
                <w:rFonts w:hint="eastAsia" w:ascii="Times New Roman" w:hAnsi="Times New Roman" w:cs="Times New Roman"/>
                <w:i w:val="0"/>
                <w:iCs w:val="0"/>
                <w:color w:val="auto"/>
                <w:kern w:val="0"/>
                <w:sz w:val="24"/>
                <w:szCs w:val="24"/>
                <w:highlight w:val="none"/>
                <w:u w:val="none"/>
                <w:lang w:val="en-US" w:eastAsia="zh-CN" w:bidi="ar"/>
              </w:rPr>
              <w:t>到位</w:t>
            </w:r>
            <w:r>
              <w:rPr>
                <w:rFonts w:hint="default" w:ascii="Times New Roman" w:hAnsi="Times New Roman" w:eastAsia="仿宋_GB2312" w:cs="Times New Roman"/>
                <w:i w:val="0"/>
                <w:iCs w:val="0"/>
                <w:color w:val="auto"/>
                <w:kern w:val="0"/>
                <w:sz w:val="24"/>
                <w:szCs w:val="24"/>
                <w:highlight w:val="none"/>
                <w:u w:val="none"/>
                <w:lang w:val="en-US" w:eastAsia="zh-CN" w:bidi="ar"/>
              </w:rPr>
              <w:t>率×本指标分值</w:t>
            </w:r>
            <w:r>
              <w:rPr>
                <w:rFonts w:hint="eastAsia" w:ascii="Times New Roman" w:hAnsi="Times New Roman" w:cs="Times New Roman"/>
                <w:i w:val="0"/>
                <w:iCs w:val="0"/>
                <w:color w:val="auto"/>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B12</w:t>
            </w:r>
            <w:r>
              <w:rPr>
                <w:rFonts w:hint="default" w:ascii="Times New Roman" w:hAnsi="Times New Roman" w:eastAsia="仿宋_GB2312" w:cs="Times New Roman"/>
                <w:i w:val="0"/>
                <w:iCs w:val="0"/>
                <w:color w:val="auto"/>
                <w:kern w:val="0"/>
                <w:sz w:val="24"/>
                <w:szCs w:val="24"/>
                <w:highlight w:val="none"/>
                <w:u w:val="none"/>
                <w:lang w:val="en-US" w:eastAsia="zh-CN" w:bidi="ar"/>
              </w:rPr>
              <w:t>预算执行率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3</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eastAsia" w:ascii="Times New Roman" w:hAnsi="Times New Roman" w:cs="Times New Roman"/>
                <w:i w:val="0"/>
                <w:iCs w:val="0"/>
                <w:color w:val="auto"/>
                <w:kern w:val="0"/>
                <w:sz w:val="24"/>
                <w:szCs w:val="24"/>
                <w:highlight w:val="none"/>
                <w:u w:val="none"/>
                <w:lang w:val="en-US" w:eastAsia="zh-CN" w:bidi="ar"/>
              </w:rPr>
              <w:t>0.71</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项目预算资金是否按照计划执行，用以反映或考核项目预算执行情况，超预算执行不得分，若存在政策调整等因素可采用预算调整数。</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得分=分值×预算执行率</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预算执行率=（实际支出资金/实际到位资金）×100%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实际支出资金：一定时期（本年度或项目期）内项目实际拨付的资金</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得分=预算执行率×本指标分值，预算执行率〉100%不得分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21"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B13</w:t>
            </w:r>
            <w:r>
              <w:rPr>
                <w:rFonts w:hint="default" w:ascii="Times New Roman" w:hAnsi="Times New Roman" w:eastAsia="仿宋_GB2312" w:cs="Times New Roman"/>
                <w:i w:val="0"/>
                <w:iCs w:val="0"/>
                <w:color w:val="auto"/>
                <w:kern w:val="0"/>
                <w:sz w:val="24"/>
                <w:szCs w:val="24"/>
                <w:highlight w:val="none"/>
                <w:u w:val="none"/>
                <w:lang w:val="en-US" w:eastAsia="zh-CN" w:bidi="ar"/>
              </w:rPr>
              <w:t>资金使用合规性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项目资金使用是否符合相关的财务管理制度规定，用以反映和考核项目资金的规范运行情况。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①是否符合国家财经法规和财务管理制度以及有关专项资金管理办法的规定；</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②资金的拨付是否有完整的审批程序和手续；</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③是否符合项目预算批复或合同规定的用途；</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④是否存在截留、挤占、挪用、虚列支出等情况。</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符合以上①—④得满分，否则不得分。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B2</w:t>
            </w:r>
            <w:r>
              <w:rPr>
                <w:rFonts w:hint="default" w:ascii="Times New Roman" w:hAnsi="Times New Roman" w:eastAsia="仿宋_GB2312" w:cs="Times New Roman"/>
                <w:i w:val="0"/>
                <w:iCs w:val="0"/>
                <w:color w:val="auto"/>
                <w:kern w:val="0"/>
                <w:sz w:val="24"/>
                <w:szCs w:val="24"/>
                <w:highlight w:val="none"/>
                <w:u w:val="none"/>
                <w:lang w:val="en-US" w:eastAsia="zh-CN" w:bidi="ar"/>
              </w:rPr>
              <w:t>组织实施</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B21</w:t>
            </w:r>
            <w:r>
              <w:rPr>
                <w:rFonts w:hint="default" w:ascii="Times New Roman" w:hAnsi="Times New Roman" w:eastAsia="仿宋_GB2312" w:cs="Times New Roman"/>
                <w:i w:val="0"/>
                <w:iCs w:val="0"/>
                <w:color w:val="auto"/>
                <w:kern w:val="0"/>
                <w:sz w:val="24"/>
                <w:szCs w:val="24"/>
                <w:highlight w:val="none"/>
                <w:u w:val="none"/>
                <w:lang w:val="en-US" w:eastAsia="zh-CN" w:bidi="ar"/>
              </w:rPr>
              <w:t>管理制度健全性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项目实施单位的财务和业务管理制度是否健全，用以反映和考核财务和业务管理制度对项目顺利实施的保障情况。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①是否已制定或具有相应的财务和业务管理制度；</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②财务和业务管理制度是否合法、合规、完整。</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符合以上①—②得满分，每缺失一项扣除50%，直至扣除比例达到100%。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961"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B22</w:t>
            </w:r>
            <w:r>
              <w:rPr>
                <w:rFonts w:hint="default" w:ascii="Times New Roman" w:hAnsi="Times New Roman" w:eastAsia="仿宋_GB2312" w:cs="Times New Roman"/>
                <w:i w:val="0"/>
                <w:iCs w:val="0"/>
                <w:color w:val="auto"/>
                <w:kern w:val="0"/>
                <w:sz w:val="24"/>
                <w:szCs w:val="24"/>
                <w:highlight w:val="none"/>
                <w:u w:val="none"/>
                <w:lang w:val="en-US" w:eastAsia="zh-CN" w:bidi="ar"/>
              </w:rPr>
              <w:t>制度执行有效性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4</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1</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项目实施是否符合相关管理规定，用以反映和考核相关管理制度的有效执行情况。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①是否遵守相关法律法规和相关管理规定、项目调整及支出调整手续是否完备（如有调整）；</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②项目合同书、验收报告、技术鉴定等资料是否齐全并及时归档；</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③项目实施的人员条件、场地设备、信息支撑等是否落实到位。</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符合以上①—③得满分，每缺失一项扣除三分之一，直至扣除比例达到100%。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1"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产出</w:t>
            </w: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C1</w:t>
            </w:r>
            <w:r>
              <w:rPr>
                <w:rFonts w:hint="default" w:ascii="Times New Roman" w:hAnsi="Times New Roman" w:eastAsia="仿宋_GB2312" w:cs="Times New Roman"/>
                <w:i w:val="0"/>
                <w:iCs w:val="0"/>
                <w:color w:val="auto"/>
                <w:kern w:val="0"/>
                <w:sz w:val="24"/>
                <w:szCs w:val="24"/>
                <w:highlight w:val="none"/>
                <w:u w:val="none"/>
                <w:lang w:val="en-US" w:eastAsia="zh-CN" w:bidi="ar"/>
              </w:rPr>
              <w:t>产出数量</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C11实际完成率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cs="Times New Roman"/>
                <w:i w:val="0"/>
                <w:iCs w:val="0"/>
                <w:color w:val="auto"/>
                <w:sz w:val="24"/>
                <w:szCs w:val="24"/>
                <w:highlight w:val="none"/>
                <w:u w:val="none"/>
                <w:lang w:val="en-US" w:eastAsia="zh-CN"/>
              </w:rPr>
              <w:t>3</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项目实施的实际产出数与计划产出数的比率，用以反映和考核项目产出数量目标的实现程度。</w:t>
            </w:r>
            <w:r>
              <w:rPr>
                <w:rFonts w:hint="default" w:ascii="Times New Roman" w:hAnsi="Times New Roman" w:cs="Times New Roman"/>
                <w:i w:val="0"/>
                <w:iCs w:val="0"/>
                <w:color w:val="auto"/>
                <w:kern w:val="0"/>
                <w:sz w:val="24"/>
                <w:szCs w:val="24"/>
                <w:highlight w:val="none"/>
                <w:u w:val="none"/>
                <w:lang w:val="en-US" w:eastAsia="zh-CN" w:bidi="ar"/>
              </w:rPr>
              <w:t>此项主要考察开展安全生产执法、宣传、督查的计划次数与实际次数</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实际产出数：一定时期（本年度或项目期）内项目实际产出的产品或提供的服务数量。</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计划产出数：项目绩效目标确定的在一定时期（本年度或项目期）内计划产出的产品或提供的服务数量。</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得分=实际完成率×本指标分值，实际完成率≥100%得满分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C2</w:t>
            </w:r>
            <w:r>
              <w:rPr>
                <w:rFonts w:hint="default" w:ascii="Times New Roman" w:hAnsi="Times New Roman" w:eastAsia="仿宋_GB2312" w:cs="Times New Roman"/>
                <w:i w:val="0"/>
                <w:iCs w:val="0"/>
                <w:color w:val="auto"/>
                <w:kern w:val="0"/>
                <w:sz w:val="24"/>
                <w:szCs w:val="24"/>
                <w:highlight w:val="none"/>
                <w:u w:val="none"/>
                <w:lang w:val="en-US" w:eastAsia="zh-CN" w:bidi="ar"/>
              </w:rPr>
              <w:t>产出质量</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C21安全生产专项经费</w:t>
            </w:r>
            <w:r>
              <w:rPr>
                <w:rFonts w:hint="default" w:ascii="Times New Roman" w:hAnsi="Times New Roman" w:eastAsia="仿宋_GB2312" w:cs="Times New Roman"/>
                <w:i w:val="0"/>
                <w:iCs w:val="0"/>
                <w:color w:val="auto"/>
                <w:kern w:val="0"/>
                <w:sz w:val="24"/>
                <w:szCs w:val="24"/>
                <w:highlight w:val="none"/>
                <w:u w:val="none"/>
                <w:lang w:val="en-US" w:eastAsia="zh-CN" w:bidi="ar"/>
              </w:rPr>
              <w:t>质量达标率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项目完成的质量达标产出数与实际产出数的比率，用以反映和考核项目产出质量目标的实现程度。此指标主要考察</w:t>
            </w:r>
            <w:r>
              <w:rPr>
                <w:rFonts w:hint="default" w:ascii="Times New Roman" w:hAnsi="Times New Roman" w:cs="Times New Roman"/>
                <w:i w:val="0"/>
                <w:iCs w:val="0"/>
                <w:color w:val="auto"/>
                <w:kern w:val="0"/>
                <w:sz w:val="24"/>
                <w:szCs w:val="24"/>
                <w:highlight w:val="none"/>
                <w:u w:val="none"/>
                <w:lang w:val="en-US" w:eastAsia="zh-CN" w:bidi="ar"/>
              </w:rPr>
              <w:t>培训及督查的质量</w:t>
            </w:r>
            <w:r>
              <w:rPr>
                <w:rFonts w:hint="default" w:ascii="Times New Roman" w:hAnsi="Times New Roman" w:eastAsia="仿宋_GB2312" w:cs="Times New Roman"/>
                <w:i w:val="0"/>
                <w:iCs w:val="0"/>
                <w:color w:val="auto"/>
                <w:kern w:val="0"/>
                <w:sz w:val="24"/>
                <w:szCs w:val="24"/>
                <w:highlight w:val="none"/>
                <w:u w:val="none"/>
                <w:lang w:val="en-US" w:eastAsia="zh-CN" w:bidi="ar"/>
              </w:rPr>
              <w:t>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质量达标率=（质量达标产出数/实际产出数）×100%。</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质量达标产出数：一定时期（本年度或项目期）内实际达到既定质量标准的产品或服务数量。既定质量标准是指项目实施单位设立绩效目标时依据计划标准、行业标准、历史标准或其他标准而设定的绩效指标值。</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得分=质量达标率×本指标分值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C3</w:t>
            </w:r>
            <w:r>
              <w:rPr>
                <w:rFonts w:hint="default" w:ascii="Times New Roman" w:hAnsi="Times New Roman" w:eastAsia="仿宋_GB2312" w:cs="Times New Roman"/>
                <w:i w:val="0"/>
                <w:iCs w:val="0"/>
                <w:color w:val="auto"/>
                <w:kern w:val="0"/>
                <w:sz w:val="24"/>
                <w:szCs w:val="24"/>
                <w:highlight w:val="none"/>
                <w:u w:val="none"/>
                <w:lang w:val="en-US" w:eastAsia="zh-CN" w:bidi="ar"/>
              </w:rPr>
              <w:t>产出时效</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C31安全生产专项经费</w:t>
            </w:r>
            <w:r>
              <w:rPr>
                <w:rFonts w:hint="default" w:ascii="Times New Roman" w:hAnsi="Times New Roman" w:eastAsia="仿宋_GB2312" w:cs="Times New Roman"/>
                <w:i w:val="0"/>
                <w:iCs w:val="0"/>
                <w:color w:val="auto"/>
                <w:kern w:val="0"/>
                <w:sz w:val="24"/>
                <w:szCs w:val="24"/>
                <w:highlight w:val="none"/>
                <w:u w:val="none"/>
                <w:lang w:val="en-US" w:eastAsia="zh-CN" w:bidi="ar"/>
              </w:rPr>
              <w:t>项目完成及时性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项目实际完成时间与计划完成时间的比较，用以反映和考核项目产出时效目标的实现程度，各规定时间节点项目的完成情况。</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①资金拨付及时率=100%；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w:t>
            </w:r>
            <w:r>
              <w:rPr>
                <w:rFonts w:hint="default" w:ascii="Times New Roman" w:hAnsi="Times New Roman" w:cs="Times New Roman"/>
                <w:i w:val="0"/>
                <w:iCs w:val="0"/>
                <w:color w:val="auto"/>
                <w:kern w:val="0"/>
                <w:sz w:val="24"/>
                <w:szCs w:val="24"/>
                <w:highlight w:val="none"/>
                <w:u w:val="none"/>
                <w:lang w:val="en-US" w:eastAsia="zh-CN" w:bidi="ar"/>
              </w:rPr>
              <w:t>项目</w:t>
            </w:r>
            <w:r>
              <w:rPr>
                <w:rFonts w:hint="default" w:ascii="Times New Roman" w:hAnsi="Times New Roman" w:eastAsia="仿宋_GB2312" w:cs="Times New Roman"/>
                <w:i w:val="0"/>
                <w:iCs w:val="0"/>
                <w:color w:val="auto"/>
                <w:kern w:val="0"/>
                <w:sz w:val="24"/>
                <w:szCs w:val="24"/>
                <w:highlight w:val="none"/>
                <w:u w:val="none"/>
                <w:lang w:val="en-US" w:eastAsia="zh-CN" w:bidi="ar"/>
              </w:rPr>
              <w:t>完成及时率=100%；</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符合以上①—②得满分，每缺失一项扣除二分之一，直至扣除比例达到100%。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20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C4</w:t>
            </w:r>
            <w:r>
              <w:rPr>
                <w:rFonts w:hint="default" w:ascii="Times New Roman" w:hAnsi="Times New Roman" w:eastAsia="仿宋_GB2312" w:cs="Times New Roman"/>
                <w:i w:val="0"/>
                <w:iCs w:val="0"/>
                <w:color w:val="auto"/>
                <w:kern w:val="0"/>
                <w:sz w:val="24"/>
                <w:szCs w:val="24"/>
                <w:highlight w:val="none"/>
                <w:u w:val="none"/>
                <w:lang w:val="en-US" w:eastAsia="zh-CN" w:bidi="ar"/>
              </w:rPr>
              <w:t>产出成本</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C41</w:t>
            </w:r>
            <w:r>
              <w:rPr>
                <w:rFonts w:hint="default" w:ascii="Times New Roman" w:hAnsi="Times New Roman" w:eastAsia="仿宋_GB2312" w:cs="Times New Roman"/>
                <w:i w:val="0"/>
                <w:iCs w:val="0"/>
                <w:color w:val="auto"/>
                <w:kern w:val="0"/>
                <w:sz w:val="24"/>
                <w:szCs w:val="24"/>
                <w:highlight w:val="none"/>
                <w:u w:val="none"/>
                <w:lang w:val="en-US" w:eastAsia="zh-CN" w:bidi="ar"/>
              </w:rPr>
              <w:t>成本节约率</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完成项目计划工作目标的实际节约成本与计划成本的比率，用以反映和考核项目的成本节约程度。</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对项目成本的控制情况。</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eastAsia" w:ascii="Times New Roman" w:hAnsi="Times New Roman" w:cs="Times New Roman"/>
                <w:i w:val="0"/>
                <w:iCs w:val="0"/>
                <w:color w:val="auto"/>
                <w:kern w:val="0"/>
                <w:sz w:val="24"/>
                <w:szCs w:val="24"/>
                <w:highlight w:val="none"/>
                <w:u w:val="none"/>
                <w:lang w:val="en-US" w:eastAsia="zh-CN" w:bidi="ar"/>
              </w:rPr>
              <w:t>“安全生产专项经费”项目</w:t>
            </w:r>
            <w:r>
              <w:rPr>
                <w:rFonts w:hint="default" w:ascii="Times New Roman" w:hAnsi="Times New Roman" w:eastAsia="仿宋_GB2312" w:cs="Times New Roman"/>
                <w:i w:val="0"/>
                <w:iCs w:val="0"/>
                <w:color w:val="auto"/>
                <w:kern w:val="0"/>
                <w:sz w:val="24"/>
                <w:szCs w:val="24"/>
                <w:highlight w:val="none"/>
                <w:u w:val="none"/>
                <w:lang w:val="en-US" w:eastAsia="zh-CN" w:bidi="ar"/>
              </w:rPr>
              <w:t>支付标准均按照合同、文件规定执行得满分，否则不得分。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524" w:type="pct"/>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效益</w:t>
            </w: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D1</w:t>
            </w:r>
            <w:r>
              <w:rPr>
                <w:rFonts w:hint="default" w:ascii="Times New Roman" w:hAnsi="Times New Roman" w:eastAsia="仿宋_GB2312" w:cs="Times New Roman"/>
                <w:i w:val="0"/>
                <w:iCs w:val="0"/>
                <w:color w:val="auto"/>
                <w:kern w:val="0"/>
                <w:sz w:val="24"/>
                <w:szCs w:val="24"/>
                <w:highlight w:val="none"/>
                <w:u w:val="none"/>
                <w:lang w:val="en-US" w:eastAsia="zh-CN" w:bidi="ar"/>
              </w:rPr>
              <w:t>社会效益</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D11企业安全生产合规性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cs="Times New Roman"/>
                <w:i w:val="0"/>
                <w:iCs w:val="0"/>
                <w:color w:val="auto"/>
                <w:sz w:val="24"/>
                <w:szCs w:val="24"/>
                <w:highlight w:val="none"/>
                <w:u w:val="none"/>
                <w:lang w:val="en-US" w:eastAsia="zh-CN"/>
              </w:rPr>
              <w:t>30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30</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企业安全生产合规性主要评价该项目有没有提高安全生产能力，安全生产的标准</w:t>
            </w:r>
            <w:r>
              <w:rPr>
                <w:rFonts w:hint="default" w:ascii="Times New Roman" w:hAnsi="Times New Roman" w:eastAsia="仿宋_GB2312" w:cs="Times New Roman"/>
                <w:i w:val="0"/>
                <w:iCs w:val="0"/>
                <w:color w:val="auto"/>
                <w:kern w:val="0"/>
                <w:sz w:val="24"/>
                <w:szCs w:val="24"/>
                <w:highlight w:val="none"/>
                <w:u w:val="none"/>
                <w:lang w:val="en-US" w:eastAsia="zh-CN" w:bidi="ar"/>
              </w:rPr>
              <w:t>。</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①</w:t>
            </w:r>
            <w:r>
              <w:rPr>
                <w:rFonts w:hint="default" w:ascii="Times New Roman" w:hAnsi="Times New Roman" w:cs="Times New Roman"/>
                <w:i w:val="0"/>
                <w:iCs w:val="0"/>
                <w:color w:val="auto"/>
                <w:kern w:val="0"/>
                <w:sz w:val="24"/>
                <w:szCs w:val="24"/>
                <w:highlight w:val="none"/>
                <w:u w:val="none"/>
                <w:lang w:val="en-US" w:eastAsia="zh-CN" w:bidi="ar"/>
              </w:rPr>
              <w:t>安全管理体系建设</w:t>
            </w:r>
            <w:r>
              <w:rPr>
                <w:rFonts w:hint="default" w:ascii="Times New Roman" w:hAnsi="Times New Roman" w:eastAsia="仿宋_GB2312" w:cs="Times New Roman"/>
                <w:i w:val="0"/>
                <w:iCs w:val="0"/>
                <w:color w:val="auto"/>
                <w:kern w:val="0"/>
                <w:sz w:val="24"/>
                <w:szCs w:val="24"/>
                <w:highlight w:val="none"/>
                <w:u w:val="none"/>
                <w:lang w:val="en-US" w:eastAsia="zh-CN" w:bidi="ar"/>
              </w:rPr>
              <w:t>；</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②</w:t>
            </w:r>
            <w:r>
              <w:rPr>
                <w:rFonts w:hint="default" w:ascii="Times New Roman" w:hAnsi="Times New Roman" w:cs="Times New Roman"/>
                <w:i w:val="0"/>
                <w:iCs w:val="0"/>
                <w:color w:val="auto"/>
                <w:kern w:val="0"/>
                <w:sz w:val="24"/>
                <w:szCs w:val="24"/>
                <w:highlight w:val="none"/>
                <w:u w:val="none"/>
                <w:lang w:val="en-US" w:eastAsia="zh-CN" w:bidi="ar"/>
              </w:rPr>
              <w:t>应急预案制定与演练</w:t>
            </w:r>
            <w:r>
              <w:rPr>
                <w:rFonts w:hint="default" w:ascii="Times New Roman" w:hAnsi="Times New Roman" w:eastAsia="仿宋_GB2312" w:cs="Times New Roman"/>
                <w:i w:val="0"/>
                <w:iCs w:val="0"/>
                <w:color w:val="auto"/>
                <w:kern w:val="0"/>
                <w:sz w:val="24"/>
                <w:szCs w:val="24"/>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③</w:t>
            </w:r>
            <w:r>
              <w:rPr>
                <w:rFonts w:hint="default" w:ascii="Times New Roman" w:hAnsi="Times New Roman" w:cs="Times New Roman"/>
                <w:i w:val="0"/>
                <w:iCs w:val="0"/>
                <w:color w:val="auto"/>
                <w:kern w:val="0"/>
                <w:sz w:val="24"/>
                <w:szCs w:val="24"/>
                <w:highlight w:val="none"/>
                <w:u w:val="none"/>
                <w:lang w:val="en-US" w:eastAsia="zh-CN" w:bidi="ar"/>
              </w:rPr>
              <w:t>事故隐患排查整改。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全部符合以上①—③得满分，否则按比例得分。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D2</w:t>
            </w:r>
            <w:r>
              <w:rPr>
                <w:rFonts w:hint="default" w:ascii="Times New Roman" w:hAnsi="Times New Roman" w:eastAsia="仿宋_GB2312" w:cs="Times New Roman"/>
                <w:i w:val="0"/>
                <w:iCs w:val="0"/>
                <w:color w:val="auto"/>
                <w:kern w:val="0"/>
                <w:sz w:val="24"/>
                <w:szCs w:val="24"/>
                <w:highlight w:val="none"/>
                <w:u w:val="none"/>
                <w:lang w:val="en-US" w:eastAsia="zh-CN" w:bidi="ar"/>
              </w:rPr>
              <w:t>可持续影响指标</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D21应急演练方案可行性</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10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eastAsia="zh-CN"/>
              </w:rPr>
            </w:pPr>
            <w:r>
              <w:rPr>
                <w:rFonts w:hint="default" w:ascii="Times New Roman" w:hAnsi="Times New Roman" w:cs="Times New Roman"/>
                <w:i w:val="0"/>
                <w:iCs w:val="0"/>
                <w:color w:val="auto"/>
                <w:sz w:val="24"/>
                <w:szCs w:val="24"/>
                <w:highlight w:val="none"/>
                <w:u w:val="none"/>
                <w:lang w:val="en-US" w:eastAsia="zh-CN"/>
              </w:rPr>
              <w:t>5</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考察应急演练方案可行性</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cs="Times New Roman"/>
                <w:i w:val="0"/>
                <w:iCs w:val="0"/>
                <w:color w:val="auto"/>
                <w:kern w:val="0"/>
                <w:sz w:val="24"/>
                <w:szCs w:val="24"/>
                <w:highlight w:val="none"/>
                <w:u w:val="none"/>
                <w:lang w:val="en-US" w:eastAsia="zh-CN" w:bidi="ar"/>
              </w:rPr>
              <w:t>项目实施过程中是否制定了应急演练方案且可行</w:t>
            </w:r>
            <w:r>
              <w:rPr>
                <w:rFonts w:hint="default" w:ascii="Times New Roman" w:hAnsi="Times New Roman" w:eastAsia="仿宋_GB2312" w:cs="Times New Roman"/>
                <w:i w:val="0"/>
                <w:iCs w:val="0"/>
                <w:color w:val="auto"/>
                <w:kern w:val="0"/>
                <w:sz w:val="24"/>
                <w:szCs w:val="24"/>
                <w:highlight w:val="none"/>
                <w:u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kern w:val="0"/>
                <w:sz w:val="24"/>
                <w:szCs w:val="24"/>
                <w:highlight w:val="none"/>
                <w:u w:val="none"/>
                <w:lang w:val="en-US" w:eastAsia="zh-CN" w:bidi="ar"/>
              </w:rPr>
            </w:pP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p>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制定了应急演练方案，得5分；演练具有可行性</w:t>
            </w:r>
            <w:r>
              <w:rPr>
                <w:rFonts w:hint="default" w:ascii="Times New Roman" w:hAnsi="Times New Roman" w:eastAsia="仿宋_GB2312" w:cs="Times New Roman"/>
                <w:i w:val="0"/>
                <w:iCs w:val="0"/>
                <w:color w:val="auto"/>
                <w:kern w:val="0"/>
                <w:sz w:val="24"/>
                <w:szCs w:val="24"/>
                <w:highlight w:val="none"/>
                <w:u w:val="none"/>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02" w:hRule="atLeast"/>
        </w:trPr>
        <w:tc>
          <w:tcPr>
            <w:tcW w:w="524" w:type="pct"/>
            <w:vMerge w:val="continue"/>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default" w:ascii="Times New Roman" w:hAnsi="Times New Roman" w:eastAsia="仿宋_GB2312" w:cs="Times New Roman"/>
                <w:i w:val="0"/>
                <w:iCs w:val="0"/>
                <w:color w:val="auto"/>
                <w:sz w:val="24"/>
                <w:szCs w:val="24"/>
                <w:highlight w:val="none"/>
                <w:u w:val="none"/>
              </w:rPr>
            </w:pPr>
          </w:p>
        </w:tc>
        <w:tc>
          <w:tcPr>
            <w:tcW w:w="52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D3</w:t>
            </w:r>
            <w:r>
              <w:rPr>
                <w:rFonts w:hint="default" w:ascii="Times New Roman" w:hAnsi="Times New Roman" w:eastAsia="仿宋_GB2312" w:cs="Times New Roman"/>
                <w:i w:val="0"/>
                <w:iCs w:val="0"/>
                <w:color w:val="auto"/>
                <w:kern w:val="0"/>
                <w:sz w:val="24"/>
                <w:szCs w:val="24"/>
                <w:highlight w:val="none"/>
                <w:u w:val="none"/>
                <w:lang w:val="en-US" w:eastAsia="zh-CN" w:bidi="ar"/>
              </w:rPr>
              <w:t>满意度</w:t>
            </w:r>
          </w:p>
        </w:tc>
        <w:tc>
          <w:tcPr>
            <w:tcW w:w="534"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D31</w:t>
            </w:r>
            <w:r>
              <w:rPr>
                <w:rFonts w:hint="default" w:ascii="Times New Roman" w:hAnsi="Times New Roman" w:eastAsia="仿宋_GB2312" w:cs="Times New Roman"/>
                <w:i w:val="0"/>
                <w:iCs w:val="0"/>
                <w:color w:val="auto"/>
                <w:kern w:val="0"/>
                <w:sz w:val="24"/>
                <w:szCs w:val="24"/>
                <w:highlight w:val="none"/>
                <w:u w:val="none"/>
                <w:lang w:val="en-US" w:eastAsia="zh-CN" w:bidi="ar"/>
              </w:rPr>
              <w:t>服务对象满意度</w:t>
            </w:r>
          </w:p>
        </w:tc>
        <w:tc>
          <w:tcPr>
            <w:tcW w:w="443"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10</w:t>
            </w:r>
          </w:p>
        </w:tc>
        <w:tc>
          <w:tcPr>
            <w:tcW w:w="479"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lang w:val="en-US"/>
              </w:rPr>
            </w:pPr>
            <w:r>
              <w:rPr>
                <w:rFonts w:hint="default" w:ascii="Times New Roman" w:hAnsi="Times New Roman" w:cs="Times New Roman"/>
                <w:i w:val="0"/>
                <w:iCs w:val="0"/>
                <w:color w:val="auto"/>
                <w:kern w:val="0"/>
                <w:sz w:val="24"/>
                <w:szCs w:val="24"/>
                <w:highlight w:val="none"/>
                <w:u w:val="none"/>
                <w:lang w:val="en-US" w:eastAsia="zh-CN" w:bidi="ar"/>
              </w:rPr>
              <w:t>10</w:t>
            </w:r>
          </w:p>
        </w:tc>
        <w:tc>
          <w:tcPr>
            <w:tcW w:w="901"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受益对象对项目实施效果的满意程度。</w:t>
            </w:r>
          </w:p>
        </w:tc>
        <w:tc>
          <w:tcPr>
            <w:tcW w:w="1590"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评价要点：</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社会公众或服务对象是指因该项目实施而受到影响的部门（单位）、群体或个人。</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一般采取社会调查的方式。</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评分规则：</w:t>
            </w:r>
            <w:r>
              <w:rPr>
                <w:rFonts w:hint="default" w:ascii="Times New Roman" w:hAnsi="Times New Roman" w:eastAsia="仿宋_GB2312" w:cs="Times New Roman"/>
                <w:i w:val="0"/>
                <w:iCs w:val="0"/>
                <w:color w:val="auto"/>
                <w:kern w:val="0"/>
                <w:sz w:val="24"/>
                <w:szCs w:val="24"/>
                <w:highlight w:val="none"/>
                <w:u w:val="none"/>
                <w:lang w:val="en-US" w:eastAsia="zh-CN" w:bidi="ar"/>
              </w:rPr>
              <w:br w:type="textWrapping"/>
            </w:r>
            <w:r>
              <w:rPr>
                <w:rFonts w:hint="default" w:ascii="Times New Roman" w:hAnsi="Times New Roman" w:eastAsia="仿宋_GB2312" w:cs="Times New Roman"/>
                <w:i w:val="0"/>
                <w:iCs w:val="0"/>
                <w:color w:val="auto"/>
                <w:kern w:val="0"/>
                <w:sz w:val="24"/>
                <w:szCs w:val="24"/>
                <w:highlight w:val="none"/>
                <w:u w:val="none"/>
                <w:lang w:val="en-US" w:eastAsia="zh-CN" w:bidi="ar"/>
              </w:rPr>
              <w:t>得分=受益对象实际满意度×本指标分值。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586" w:type="pct"/>
            <w:gridSpan w:val="3"/>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eastAsia="仿宋_GB2312" w:cs="Times New Roman"/>
                <w:i w:val="0"/>
                <w:iCs w:val="0"/>
                <w:color w:val="auto"/>
                <w:kern w:val="0"/>
                <w:sz w:val="24"/>
                <w:szCs w:val="24"/>
                <w:highlight w:val="none"/>
                <w:u w:val="none"/>
                <w:lang w:val="en-US" w:eastAsia="zh-CN" w:bidi="ar"/>
              </w:rPr>
              <w:t>得分</w:t>
            </w:r>
          </w:p>
        </w:tc>
        <w:tc>
          <w:tcPr>
            <w:tcW w:w="3413" w:type="pct"/>
            <w:gridSpan w:val="4"/>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Times New Roman" w:hAnsi="Times New Roman" w:eastAsia="仿宋_GB2312" w:cs="Times New Roman"/>
                <w:i w:val="0"/>
                <w:iCs w:val="0"/>
                <w:color w:val="auto"/>
                <w:sz w:val="24"/>
                <w:szCs w:val="24"/>
                <w:highlight w:val="none"/>
                <w:u w:val="none"/>
              </w:rPr>
            </w:pPr>
            <w:r>
              <w:rPr>
                <w:rFonts w:hint="default" w:ascii="Times New Roman" w:hAnsi="Times New Roman" w:cs="Times New Roman"/>
                <w:i w:val="0"/>
                <w:iCs w:val="0"/>
                <w:color w:val="auto"/>
                <w:kern w:val="0"/>
                <w:sz w:val="24"/>
                <w:szCs w:val="24"/>
                <w:highlight w:val="none"/>
                <w:u w:val="none"/>
                <w:lang w:val="en-US" w:eastAsia="zh-CN" w:bidi="ar"/>
              </w:rPr>
              <w:t>85.21</w:t>
            </w:r>
            <w:r>
              <w:rPr>
                <w:rFonts w:hint="default" w:ascii="Times New Roman" w:hAnsi="Times New Roman" w:eastAsia="仿宋_GB2312" w:cs="Times New Roman"/>
                <w:i w:val="0"/>
                <w:iCs w:val="0"/>
                <w:color w:val="auto"/>
                <w:kern w:val="0"/>
                <w:sz w:val="24"/>
                <w:szCs w:val="24"/>
                <w:highlight w:val="none"/>
                <w:u w:val="none"/>
                <w:lang w:val="en-US" w:eastAsia="zh-CN" w:bidi="ar"/>
              </w:rPr>
              <w:t>分</w:t>
            </w:r>
          </w:p>
        </w:tc>
      </w:tr>
    </w:tbl>
    <w:p>
      <w:pPr>
        <w:ind w:firstLine="0" w:firstLineChars="0"/>
        <w:jc w:val="left"/>
        <w:rPr>
          <w:rFonts w:hint="default" w:ascii="Times New Roman" w:hAnsi="Times New Roman" w:cs="Times New Roman"/>
          <w:color w:val="auto"/>
          <w:szCs w:val="32"/>
          <w:highlight w:val="none"/>
          <w:lang w:eastAsia="zh-Hans"/>
        </w:rPr>
      </w:pPr>
    </w:p>
    <w:sectPr>
      <w:pgSz w:w="16838" w:h="11906" w:orient="landscape"/>
      <w:pgMar w:top="1587" w:right="2098" w:bottom="1474" w:left="192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ind w:firstLine="36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ind w:firstLine="360"/>
                    </w:pPr>
                    <w:r>
                      <w:rPr>
                        <w:rFonts w:hint="eastAsia"/>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eastAsia"/>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mMmQ1ZjgyYmQ5OTFiOTg2YTVkYTYwYmRmMDYzYmUifQ=="/>
  </w:docVars>
  <w:rsids>
    <w:rsidRoot w:val="38A0441F"/>
    <w:rsid w:val="00025F08"/>
    <w:rsid w:val="001939C0"/>
    <w:rsid w:val="001F04ED"/>
    <w:rsid w:val="002067A1"/>
    <w:rsid w:val="003F417C"/>
    <w:rsid w:val="003F6C4D"/>
    <w:rsid w:val="00446E0A"/>
    <w:rsid w:val="004A6056"/>
    <w:rsid w:val="00512CF9"/>
    <w:rsid w:val="005459FB"/>
    <w:rsid w:val="0056164D"/>
    <w:rsid w:val="00624DF7"/>
    <w:rsid w:val="00677F48"/>
    <w:rsid w:val="00732078"/>
    <w:rsid w:val="00862D32"/>
    <w:rsid w:val="00A95354"/>
    <w:rsid w:val="00B053A3"/>
    <w:rsid w:val="00B06E28"/>
    <w:rsid w:val="00D42B17"/>
    <w:rsid w:val="00ED199D"/>
    <w:rsid w:val="00F21B39"/>
    <w:rsid w:val="00FA0165"/>
    <w:rsid w:val="00FC140F"/>
    <w:rsid w:val="00FC1F10"/>
    <w:rsid w:val="01453A14"/>
    <w:rsid w:val="014A4B87"/>
    <w:rsid w:val="014D5684"/>
    <w:rsid w:val="01625E0F"/>
    <w:rsid w:val="01872C39"/>
    <w:rsid w:val="01E90844"/>
    <w:rsid w:val="02104022"/>
    <w:rsid w:val="02317AF5"/>
    <w:rsid w:val="02510A14"/>
    <w:rsid w:val="027A149C"/>
    <w:rsid w:val="02A5704E"/>
    <w:rsid w:val="02AB3D4B"/>
    <w:rsid w:val="02BF77F6"/>
    <w:rsid w:val="02DD1A2B"/>
    <w:rsid w:val="02E828A9"/>
    <w:rsid w:val="02F72D7B"/>
    <w:rsid w:val="031E62CB"/>
    <w:rsid w:val="03675EC4"/>
    <w:rsid w:val="03962305"/>
    <w:rsid w:val="03B31109"/>
    <w:rsid w:val="03B94246"/>
    <w:rsid w:val="03EB6747"/>
    <w:rsid w:val="041D2F46"/>
    <w:rsid w:val="04471852"/>
    <w:rsid w:val="04497378"/>
    <w:rsid w:val="044E498E"/>
    <w:rsid w:val="045521C0"/>
    <w:rsid w:val="045904CA"/>
    <w:rsid w:val="045F4DED"/>
    <w:rsid w:val="04732647"/>
    <w:rsid w:val="04BA1E24"/>
    <w:rsid w:val="04C91FEE"/>
    <w:rsid w:val="04D70E27"/>
    <w:rsid w:val="0529446F"/>
    <w:rsid w:val="052D4B75"/>
    <w:rsid w:val="052E656D"/>
    <w:rsid w:val="056621AB"/>
    <w:rsid w:val="05812B41"/>
    <w:rsid w:val="059565ED"/>
    <w:rsid w:val="05BE3D95"/>
    <w:rsid w:val="05DC209D"/>
    <w:rsid w:val="05DE61E6"/>
    <w:rsid w:val="05E53BD3"/>
    <w:rsid w:val="05F43BF1"/>
    <w:rsid w:val="06035C4C"/>
    <w:rsid w:val="060C2D53"/>
    <w:rsid w:val="06175254"/>
    <w:rsid w:val="0630287F"/>
    <w:rsid w:val="064E336B"/>
    <w:rsid w:val="06624721"/>
    <w:rsid w:val="06B31420"/>
    <w:rsid w:val="06D53B7B"/>
    <w:rsid w:val="06DD0B27"/>
    <w:rsid w:val="06E02FA9"/>
    <w:rsid w:val="072D2F81"/>
    <w:rsid w:val="07373DAC"/>
    <w:rsid w:val="075926ED"/>
    <w:rsid w:val="07630750"/>
    <w:rsid w:val="07754928"/>
    <w:rsid w:val="07A56FBB"/>
    <w:rsid w:val="07D16002"/>
    <w:rsid w:val="07D77390"/>
    <w:rsid w:val="07EC4BEA"/>
    <w:rsid w:val="07FE44A9"/>
    <w:rsid w:val="08071A24"/>
    <w:rsid w:val="08206641"/>
    <w:rsid w:val="084E7652"/>
    <w:rsid w:val="08B80F70"/>
    <w:rsid w:val="08D4742C"/>
    <w:rsid w:val="08D8516E"/>
    <w:rsid w:val="090A1B1B"/>
    <w:rsid w:val="09704228"/>
    <w:rsid w:val="09811471"/>
    <w:rsid w:val="09880942"/>
    <w:rsid w:val="09DA6CC4"/>
    <w:rsid w:val="09E36A5E"/>
    <w:rsid w:val="0A222F95"/>
    <w:rsid w:val="0A3C5BE5"/>
    <w:rsid w:val="0A850492"/>
    <w:rsid w:val="0AAC68B2"/>
    <w:rsid w:val="0AB6328D"/>
    <w:rsid w:val="0ABD4BDB"/>
    <w:rsid w:val="0ABF65E6"/>
    <w:rsid w:val="0B065FC2"/>
    <w:rsid w:val="0B64718D"/>
    <w:rsid w:val="0B702F0A"/>
    <w:rsid w:val="0B87749D"/>
    <w:rsid w:val="0B9F6EB1"/>
    <w:rsid w:val="0BB155F6"/>
    <w:rsid w:val="0BFF67B7"/>
    <w:rsid w:val="0C2D56FA"/>
    <w:rsid w:val="0C2F797E"/>
    <w:rsid w:val="0C605BA6"/>
    <w:rsid w:val="0C8C24F7"/>
    <w:rsid w:val="0C915D60"/>
    <w:rsid w:val="0CD51554"/>
    <w:rsid w:val="0D054058"/>
    <w:rsid w:val="0D0D74A0"/>
    <w:rsid w:val="0D0E1D57"/>
    <w:rsid w:val="0D2546FA"/>
    <w:rsid w:val="0D3B3F1D"/>
    <w:rsid w:val="0D5E0578"/>
    <w:rsid w:val="0D712581"/>
    <w:rsid w:val="0D7F3E0A"/>
    <w:rsid w:val="0DAF0B93"/>
    <w:rsid w:val="0DB5782C"/>
    <w:rsid w:val="0DB77A48"/>
    <w:rsid w:val="0E3E1F17"/>
    <w:rsid w:val="0E671DCD"/>
    <w:rsid w:val="0E6B5316"/>
    <w:rsid w:val="0EE83C31"/>
    <w:rsid w:val="0EF04975"/>
    <w:rsid w:val="0F2E02F6"/>
    <w:rsid w:val="0F393CD5"/>
    <w:rsid w:val="0F543075"/>
    <w:rsid w:val="0F8D56CF"/>
    <w:rsid w:val="0FBF059F"/>
    <w:rsid w:val="0FCE2E27"/>
    <w:rsid w:val="0FDE609B"/>
    <w:rsid w:val="0FEE34C9"/>
    <w:rsid w:val="0FF22FB9"/>
    <w:rsid w:val="102304C1"/>
    <w:rsid w:val="102D1075"/>
    <w:rsid w:val="10394744"/>
    <w:rsid w:val="105975FA"/>
    <w:rsid w:val="105C0433"/>
    <w:rsid w:val="10725EA8"/>
    <w:rsid w:val="108654B0"/>
    <w:rsid w:val="109E4EEF"/>
    <w:rsid w:val="10B1077E"/>
    <w:rsid w:val="10C81B63"/>
    <w:rsid w:val="10CF50A9"/>
    <w:rsid w:val="10FD2928"/>
    <w:rsid w:val="11032193"/>
    <w:rsid w:val="11553800"/>
    <w:rsid w:val="11665A0D"/>
    <w:rsid w:val="11845E93"/>
    <w:rsid w:val="118D088B"/>
    <w:rsid w:val="11CE29F4"/>
    <w:rsid w:val="11DA1F57"/>
    <w:rsid w:val="12470E04"/>
    <w:rsid w:val="125A3098"/>
    <w:rsid w:val="125D0492"/>
    <w:rsid w:val="12942106"/>
    <w:rsid w:val="12B02CB8"/>
    <w:rsid w:val="12D90460"/>
    <w:rsid w:val="135E372F"/>
    <w:rsid w:val="13DF1AA7"/>
    <w:rsid w:val="13E62E35"/>
    <w:rsid w:val="143D5AD8"/>
    <w:rsid w:val="14425B91"/>
    <w:rsid w:val="1448764C"/>
    <w:rsid w:val="1457163D"/>
    <w:rsid w:val="146354B5"/>
    <w:rsid w:val="146855F8"/>
    <w:rsid w:val="146B50E8"/>
    <w:rsid w:val="14731B70"/>
    <w:rsid w:val="147D6971"/>
    <w:rsid w:val="148E0DD7"/>
    <w:rsid w:val="14946808"/>
    <w:rsid w:val="14B20F69"/>
    <w:rsid w:val="14B86187"/>
    <w:rsid w:val="14FC3F92"/>
    <w:rsid w:val="15127C5A"/>
    <w:rsid w:val="154324D6"/>
    <w:rsid w:val="159F1B08"/>
    <w:rsid w:val="15B65053"/>
    <w:rsid w:val="15DB004C"/>
    <w:rsid w:val="15EE5FD1"/>
    <w:rsid w:val="15FF7553"/>
    <w:rsid w:val="1635775C"/>
    <w:rsid w:val="16666E63"/>
    <w:rsid w:val="166D0B08"/>
    <w:rsid w:val="167151B6"/>
    <w:rsid w:val="16DC407B"/>
    <w:rsid w:val="16FE3FF2"/>
    <w:rsid w:val="1752258F"/>
    <w:rsid w:val="176D73C9"/>
    <w:rsid w:val="177463B1"/>
    <w:rsid w:val="17AF79E2"/>
    <w:rsid w:val="17B9260F"/>
    <w:rsid w:val="17DD00AB"/>
    <w:rsid w:val="17F453F5"/>
    <w:rsid w:val="18006D71"/>
    <w:rsid w:val="181141F9"/>
    <w:rsid w:val="182A7068"/>
    <w:rsid w:val="18502F73"/>
    <w:rsid w:val="18F41B50"/>
    <w:rsid w:val="18FF4670"/>
    <w:rsid w:val="19053D5D"/>
    <w:rsid w:val="190D2C12"/>
    <w:rsid w:val="192D6E10"/>
    <w:rsid w:val="192F2B88"/>
    <w:rsid w:val="19314A21"/>
    <w:rsid w:val="19453258"/>
    <w:rsid w:val="19CF7199"/>
    <w:rsid w:val="1A2214B6"/>
    <w:rsid w:val="1A234D73"/>
    <w:rsid w:val="1A3F329F"/>
    <w:rsid w:val="1ACB0A96"/>
    <w:rsid w:val="1AE45BF4"/>
    <w:rsid w:val="1AE80DFD"/>
    <w:rsid w:val="1B1047E6"/>
    <w:rsid w:val="1B40570F"/>
    <w:rsid w:val="1B560DFA"/>
    <w:rsid w:val="1B6B24CD"/>
    <w:rsid w:val="1B6C00C4"/>
    <w:rsid w:val="1B80223C"/>
    <w:rsid w:val="1BAF48D6"/>
    <w:rsid w:val="1C1D4993"/>
    <w:rsid w:val="1C632F7D"/>
    <w:rsid w:val="1CD001DE"/>
    <w:rsid w:val="1CEE5C4F"/>
    <w:rsid w:val="1CFC5477"/>
    <w:rsid w:val="1CFF4A55"/>
    <w:rsid w:val="1D2E3157"/>
    <w:rsid w:val="1D497224"/>
    <w:rsid w:val="1D5232E9"/>
    <w:rsid w:val="1D885CAA"/>
    <w:rsid w:val="1DA26929"/>
    <w:rsid w:val="1DB21FDA"/>
    <w:rsid w:val="1DD109F2"/>
    <w:rsid w:val="1E097711"/>
    <w:rsid w:val="1E2D1660"/>
    <w:rsid w:val="1E311151"/>
    <w:rsid w:val="1E3A16D2"/>
    <w:rsid w:val="1E764DB5"/>
    <w:rsid w:val="1E806278"/>
    <w:rsid w:val="1EE44415"/>
    <w:rsid w:val="1EED151B"/>
    <w:rsid w:val="1EF503D0"/>
    <w:rsid w:val="1F680BA2"/>
    <w:rsid w:val="1F9A7B57"/>
    <w:rsid w:val="1FBA5176"/>
    <w:rsid w:val="1FD06747"/>
    <w:rsid w:val="1FE30EF6"/>
    <w:rsid w:val="1FE4757E"/>
    <w:rsid w:val="1FEE7012"/>
    <w:rsid w:val="200A3D0C"/>
    <w:rsid w:val="202618A2"/>
    <w:rsid w:val="21026DD4"/>
    <w:rsid w:val="21F32B95"/>
    <w:rsid w:val="222F717C"/>
    <w:rsid w:val="22CD26B5"/>
    <w:rsid w:val="22DA0829"/>
    <w:rsid w:val="22EF5136"/>
    <w:rsid w:val="23130E25"/>
    <w:rsid w:val="23360FB7"/>
    <w:rsid w:val="23492A98"/>
    <w:rsid w:val="234A05BF"/>
    <w:rsid w:val="235558E1"/>
    <w:rsid w:val="23621DAC"/>
    <w:rsid w:val="239006C7"/>
    <w:rsid w:val="23902475"/>
    <w:rsid w:val="2393640A"/>
    <w:rsid w:val="23B26890"/>
    <w:rsid w:val="23F46EA8"/>
    <w:rsid w:val="241C1F5B"/>
    <w:rsid w:val="24B46637"/>
    <w:rsid w:val="25207829"/>
    <w:rsid w:val="25585215"/>
    <w:rsid w:val="256170D1"/>
    <w:rsid w:val="259D70CC"/>
    <w:rsid w:val="25A641D2"/>
    <w:rsid w:val="265003B9"/>
    <w:rsid w:val="26560955"/>
    <w:rsid w:val="26914E82"/>
    <w:rsid w:val="26B2663E"/>
    <w:rsid w:val="26E31314"/>
    <w:rsid w:val="26FB67A0"/>
    <w:rsid w:val="27693B1B"/>
    <w:rsid w:val="27826579"/>
    <w:rsid w:val="2783419B"/>
    <w:rsid w:val="279D3B7E"/>
    <w:rsid w:val="280478D6"/>
    <w:rsid w:val="28333D17"/>
    <w:rsid w:val="28485A15"/>
    <w:rsid w:val="28940C5A"/>
    <w:rsid w:val="28A80261"/>
    <w:rsid w:val="28A97D86"/>
    <w:rsid w:val="28EA2628"/>
    <w:rsid w:val="29007DEF"/>
    <w:rsid w:val="29015BC3"/>
    <w:rsid w:val="291B4ED7"/>
    <w:rsid w:val="29673C78"/>
    <w:rsid w:val="296744B5"/>
    <w:rsid w:val="297307FF"/>
    <w:rsid w:val="298760C9"/>
    <w:rsid w:val="298C7B83"/>
    <w:rsid w:val="29AC7963"/>
    <w:rsid w:val="29FA2D3E"/>
    <w:rsid w:val="2A192C73"/>
    <w:rsid w:val="2A3E71D8"/>
    <w:rsid w:val="2A77613D"/>
    <w:rsid w:val="2A9A007E"/>
    <w:rsid w:val="2AA563F7"/>
    <w:rsid w:val="2ADE61BC"/>
    <w:rsid w:val="2B033E75"/>
    <w:rsid w:val="2B405627"/>
    <w:rsid w:val="2B560448"/>
    <w:rsid w:val="2B7F799F"/>
    <w:rsid w:val="2BAA7BDD"/>
    <w:rsid w:val="2BB130FB"/>
    <w:rsid w:val="2BCF28C4"/>
    <w:rsid w:val="2BD76164"/>
    <w:rsid w:val="2BDE50A3"/>
    <w:rsid w:val="2C355862"/>
    <w:rsid w:val="2CE2485A"/>
    <w:rsid w:val="2D26209C"/>
    <w:rsid w:val="2D571B78"/>
    <w:rsid w:val="2D817219"/>
    <w:rsid w:val="2DAA5BFB"/>
    <w:rsid w:val="2DAA6F64"/>
    <w:rsid w:val="2DE84EC2"/>
    <w:rsid w:val="2DEE2BBA"/>
    <w:rsid w:val="2E222864"/>
    <w:rsid w:val="2E7A444E"/>
    <w:rsid w:val="2E7C01C6"/>
    <w:rsid w:val="2E8E2E41"/>
    <w:rsid w:val="2EB37960"/>
    <w:rsid w:val="2EFF26DD"/>
    <w:rsid w:val="2F07679A"/>
    <w:rsid w:val="2F260132"/>
    <w:rsid w:val="2F4405B8"/>
    <w:rsid w:val="2F887BAD"/>
    <w:rsid w:val="2FA35971"/>
    <w:rsid w:val="2FB7522E"/>
    <w:rsid w:val="2FBBF6D5"/>
    <w:rsid w:val="2FD46D46"/>
    <w:rsid w:val="2FDE51CA"/>
    <w:rsid w:val="2FF24D7F"/>
    <w:rsid w:val="300F506A"/>
    <w:rsid w:val="304D1FBE"/>
    <w:rsid w:val="309A577E"/>
    <w:rsid w:val="31462D0D"/>
    <w:rsid w:val="316D63D2"/>
    <w:rsid w:val="31C003CA"/>
    <w:rsid w:val="31FE5396"/>
    <w:rsid w:val="320C360F"/>
    <w:rsid w:val="32912C9B"/>
    <w:rsid w:val="329207D5"/>
    <w:rsid w:val="32B51EF8"/>
    <w:rsid w:val="32E14A9C"/>
    <w:rsid w:val="33030EB6"/>
    <w:rsid w:val="330C4600"/>
    <w:rsid w:val="3334631B"/>
    <w:rsid w:val="33376E36"/>
    <w:rsid w:val="335671C9"/>
    <w:rsid w:val="33781580"/>
    <w:rsid w:val="337A0A4C"/>
    <w:rsid w:val="33A2110B"/>
    <w:rsid w:val="33D26ADA"/>
    <w:rsid w:val="341D5FA7"/>
    <w:rsid w:val="345117AD"/>
    <w:rsid w:val="345E036E"/>
    <w:rsid w:val="34757B91"/>
    <w:rsid w:val="348D698F"/>
    <w:rsid w:val="34AB2476"/>
    <w:rsid w:val="34C827B5"/>
    <w:rsid w:val="34CD495A"/>
    <w:rsid w:val="34CE1050"/>
    <w:rsid w:val="35091607"/>
    <w:rsid w:val="3522139B"/>
    <w:rsid w:val="358F4C83"/>
    <w:rsid w:val="35977693"/>
    <w:rsid w:val="359D0A22"/>
    <w:rsid w:val="35DC59EE"/>
    <w:rsid w:val="363C023B"/>
    <w:rsid w:val="36484E32"/>
    <w:rsid w:val="36730100"/>
    <w:rsid w:val="367767E4"/>
    <w:rsid w:val="367C7789"/>
    <w:rsid w:val="36E763F9"/>
    <w:rsid w:val="372413FB"/>
    <w:rsid w:val="374D6BA3"/>
    <w:rsid w:val="375A7135"/>
    <w:rsid w:val="377A54BF"/>
    <w:rsid w:val="379678D2"/>
    <w:rsid w:val="37A10C9D"/>
    <w:rsid w:val="37BC545F"/>
    <w:rsid w:val="37DC7F27"/>
    <w:rsid w:val="37E34B15"/>
    <w:rsid w:val="37F45271"/>
    <w:rsid w:val="38233460"/>
    <w:rsid w:val="382947EF"/>
    <w:rsid w:val="38380EFC"/>
    <w:rsid w:val="385E7224"/>
    <w:rsid w:val="38A0441F"/>
    <w:rsid w:val="38AE2389"/>
    <w:rsid w:val="38DE382B"/>
    <w:rsid w:val="390A2872"/>
    <w:rsid w:val="391A140B"/>
    <w:rsid w:val="393D49F6"/>
    <w:rsid w:val="394B7113"/>
    <w:rsid w:val="3A3E4582"/>
    <w:rsid w:val="3A6E44D3"/>
    <w:rsid w:val="3A854074"/>
    <w:rsid w:val="3A8B1589"/>
    <w:rsid w:val="3AA44B70"/>
    <w:rsid w:val="3B3D3053"/>
    <w:rsid w:val="3B5129DA"/>
    <w:rsid w:val="3B5D46E8"/>
    <w:rsid w:val="3B6010CB"/>
    <w:rsid w:val="3B7738BE"/>
    <w:rsid w:val="3B8F4D48"/>
    <w:rsid w:val="3BAC19BF"/>
    <w:rsid w:val="3BB645EB"/>
    <w:rsid w:val="3BCD02B3"/>
    <w:rsid w:val="3BEB5CE0"/>
    <w:rsid w:val="3C187054"/>
    <w:rsid w:val="3C432C9D"/>
    <w:rsid w:val="3C687FDC"/>
    <w:rsid w:val="3C7A7FA3"/>
    <w:rsid w:val="3C8D7A42"/>
    <w:rsid w:val="3CA60B04"/>
    <w:rsid w:val="3CBD0327"/>
    <w:rsid w:val="3CDE0DB4"/>
    <w:rsid w:val="3CE07B72"/>
    <w:rsid w:val="3D001FC2"/>
    <w:rsid w:val="3D082C3D"/>
    <w:rsid w:val="3D145A6E"/>
    <w:rsid w:val="3D2E2FD3"/>
    <w:rsid w:val="3D595B76"/>
    <w:rsid w:val="3D5C0FBB"/>
    <w:rsid w:val="3D606F05"/>
    <w:rsid w:val="3D8C7CFA"/>
    <w:rsid w:val="3DA54918"/>
    <w:rsid w:val="3DAC214A"/>
    <w:rsid w:val="3E3A59A8"/>
    <w:rsid w:val="3E3B4098"/>
    <w:rsid w:val="3E416D36"/>
    <w:rsid w:val="3E530817"/>
    <w:rsid w:val="3EA87834"/>
    <w:rsid w:val="3EEC4EF4"/>
    <w:rsid w:val="3F0703B3"/>
    <w:rsid w:val="3F1104B7"/>
    <w:rsid w:val="3F870779"/>
    <w:rsid w:val="3FC6F9D1"/>
    <w:rsid w:val="3FF3036A"/>
    <w:rsid w:val="4003781B"/>
    <w:rsid w:val="401144E6"/>
    <w:rsid w:val="40267F92"/>
    <w:rsid w:val="40301489"/>
    <w:rsid w:val="403F2E01"/>
    <w:rsid w:val="40490456"/>
    <w:rsid w:val="40D0614F"/>
    <w:rsid w:val="40ED0AAF"/>
    <w:rsid w:val="41387699"/>
    <w:rsid w:val="416E703D"/>
    <w:rsid w:val="419929E5"/>
    <w:rsid w:val="419C217F"/>
    <w:rsid w:val="419D0727"/>
    <w:rsid w:val="41B96BE3"/>
    <w:rsid w:val="41C77552"/>
    <w:rsid w:val="420267DC"/>
    <w:rsid w:val="4205655B"/>
    <w:rsid w:val="42100127"/>
    <w:rsid w:val="423E30C6"/>
    <w:rsid w:val="423F358D"/>
    <w:rsid w:val="424D3EFC"/>
    <w:rsid w:val="425C35D3"/>
    <w:rsid w:val="4263590C"/>
    <w:rsid w:val="42A4258A"/>
    <w:rsid w:val="42B13EBB"/>
    <w:rsid w:val="42B86E9B"/>
    <w:rsid w:val="42C341BE"/>
    <w:rsid w:val="42CB6BCE"/>
    <w:rsid w:val="42DF5E21"/>
    <w:rsid w:val="42EB600A"/>
    <w:rsid w:val="430856E9"/>
    <w:rsid w:val="434370AD"/>
    <w:rsid w:val="4346094B"/>
    <w:rsid w:val="43697B1B"/>
    <w:rsid w:val="43BA4171"/>
    <w:rsid w:val="43CB0F3F"/>
    <w:rsid w:val="43DE37F1"/>
    <w:rsid w:val="440B52C1"/>
    <w:rsid w:val="44117270"/>
    <w:rsid w:val="445767BC"/>
    <w:rsid w:val="44673810"/>
    <w:rsid w:val="447927CC"/>
    <w:rsid w:val="44A91191"/>
    <w:rsid w:val="44C61D43"/>
    <w:rsid w:val="4517259F"/>
    <w:rsid w:val="45341DA1"/>
    <w:rsid w:val="453C3FBA"/>
    <w:rsid w:val="456F0FD5"/>
    <w:rsid w:val="45EA7CB3"/>
    <w:rsid w:val="46160AA8"/>
    <w:rsid w:val="462A6302"/>
    <w:rsid w:val="466420CD"/>
    <w:rsid w:val="46BF6A4A"/>
    <w:rsid w:val="46EC69F4"/>
    <w:rsid w:val="47280A93"/>
    <w:rsid w:val="4731782F"/>
    <w:rsid w:val="47483F2A"/>
    <w:rsid w:val="479559FD"/>
    <w:rsid w:val="47A345BE"/>
    <w:rsid w:val="47B10A89"/>
    <w:rsid w:val="47BA287B"/>
    <w:rsid w:val="47CA6C43"/>
    <w:rsid w:val="47CC5653"/>
    <w:rsid w:val="482C0A84"/>
    <w:rsid w:val="482C45B3"/>
    <w:rsid w:val="483B39D9"/>
    <w:rsid w:val="483D056E"/>
    <w:rsid w:val="48877A3B"/>
    <w:rsid w:val="48914416"/>
    <w:rsid w:val="48BC5937"/>
    <w:rsid w:val="48D013E2"/>
    <w:rsid w:val="48D5454C"/>
    <w:rsid w:val="493E5754"/>
    <w:rsid w:val="497C50C6"/>
    <w:rsid w:val="497E0E3E"/>
    <w:rsid w:val="49831FB1"/>
    <w:rsid w:val="49B80B05"/>
    <w:rsid w:val="49B900C8"/>
    <w:rsid w:val="49CF51F6"/>
    <w:rsid w:val="4A0D1F25"/>
    <w:rsid w:val="4AA246B9"/>
    <w:rsid w:val="4AA34D5C"/>
    <w:rsid w:val="4AB32D6A"/>
    <w:rsid w:val="4AD63F70"/>
    <w:rsid w:val="4B014D99"/>
    <w:rsid w:val="4B070896"/>
    <w:rsid w:val="4B076C12"/>
    <w:rsid w:val="4B0A3602"/>
    <w:rsid w:val="4B166E55"/>
    <w:rsid w:val="4B1732F9"/>
    <w:rsid w:val="4B3A0D95"/>
    <w:rsid w:val="4B921EB8"/>
    <w:rsid w:val="4B9761E7"/>
    <w:rsid w:val="4BAF3531"/>
    <w:rsid w:val="4BBB64B3"/>
    <w:rsid w:val="4BC13264"/>
    <w:rsid w:val="4BCB5E91"/>
    <w:rsid w:val="4C1C66ED"/>
    <w:rsid w:val="4C334CC4"/>
    <w:rsid w:val="4C710FE5"/>
    <w:rsid w:val="4C7402D7"/>
    <w:rsid w:val="4C7958ED"/>
    <w:rsid w:val="4CB804FF"/>
    <w:rsid w:val="4D185106"/>
    <w:rsid w:val="4D1D271C"/>
    <w:rsid w:val="4D1F46E6"/>
    <w:rsid w:val="4D311E7A"/>
    <w:rsid w:val="4DBE5F60"/>
    <w:rsid w:val="4DD4416D"/>
    <w:rsid w:val="4E5A4077"/>
    <w:rsid w:val="4E612ADD"/>
    <w:rsid w:val="4E9D62FA"/>
    <w:rsid w:val="4ECF4AEB"/>
    <w:rsid w:val="4ECF5C98"/>
    <w:rsid w:val="4EEF00E8"/>
    <w:rsid w:val="4F165675"/>
    <w:rsid w:val="4F675ED1"/>
    <w:rsid w:val="4F836CDB"/>
    <w:rsid w:val="4FBB1ADF"/>
    <w:rsid w:val="4FDF015D"/>
    <w:rsid w:val="4FE237A9"/>
    <w:rsid w:val="50392BF9"/>
    <w:rsid w:val="50483F54"/>
    <w:rsid w:val="50597F0F"/>
    <w:rsid w:val="50760AC1"/>
    <w:rsid w:val="50836B9C"/>
    <w:rsid w:val="509937C7"/>
    <w:rsid w:val="50BE5ACF"/>
    <w:rsid w:val="50D61560"/>
    <w:rsid w:val="510559A1"/>
    <w:rsid w:val="51167BAE"/>
    <w:rsid w:val="5121205B"/>
    <w:rsid w:val="515C5590"/>
    <w:rsid w:val="516B4221"/>
    <w:rsid w:val="51F835E3"/>
    <w:rsid w:val="520914C1"/>
    <w:rsid w:val="5240260F"/>
    <w:rsid w:val="528A0854"/>
    <w:rsid w:val="52F45CCD"/>
    <w:rsid w:val="5314011E"/>
    <w:rsid w:val="53733096"/>
    <w:rsid w:val="537758D2"/>
    <w:rsid w:val="53803A05"/>
    <w:rsid w:val="53C102A5"/>
    <w:rsid w:val="53D02297"/>
    <w:rsid w:val="53D578AD"/>
    <w:rsid w:val="53E255A0"/>
    <w:rsid w:val="54843081"/>
    <w:rsid w:val="54882B71"/>
    <w:rsid w:val="54A05CAD"/>
    <w:rsid w:val="54D00E50"/>
    <w:rsid w:val="54E81862"/>
    <w:rsid w:val="54F975CB"/>
    <w:rsid w:val="550B72FE"/>
    <w:rsid w:val="55110DB9"/>
    <w:rsid w:val="55425416"/>
    <w:rsid w:val="55805F3E"/>
    <w:rsid w:val="559B4B26"/>
    <w:rsid w:val="55BB2FC2"/>
    <w:rsid w:val="55D02839"/>
    <w:rsid w:val="55DC3C29"/>
    <w:rsid w:val="55F66200"/>
    <w:rsid w:val="55FA274D"/>
    <w:rsid w:val="560B2A4D"/>
    <w:rsid w:val="5627460C"/>
    <w:rsid w:val="56467571"/>
    <w:rsid w:val="564C4333"/>
    <w:rsid w:val="566B743F"/>
    <w:rsid w:val="567F1D52"/>
    <w:rsid w:val="56BA6E6C"/>
    <w:rsid w:val="56D508E0"/>
    <w:rsid w:val="56EF512A"/>
    <w:rsid w:val="57502877"/>
    <w:rsid w:val="57813298"/>
    <w:rsid w:val="57A54323"/>
    <w:rsid w:val="57D1482F"/>
    <w:rsid w:val="57E512EE"/>
    <w:rsid w:val="57F549C2"/>
    <w:rsid w:val="57F77651"/>
    <w:rsid w:val="57FB5D50"/>
    <w:rsid w:val="582157B7"/>
    <w:rsid w:val="5838665C"/>
    <w:rsid w:val="585D4D2C"/>
    <w:rsid w:val="58BF0B2C"/>
    <w:rsid w:val="58DA7713"/>
    <w:rsid w:val="59407EBE"/>
    <w:rsid w:val="597638E0"/>
    <w:rsid w:val="599F591E"/>
    <w:rsid w:val="59CB77D5"/>
    <w:rsid w:val="5A1D5B0A"/>
    <w:rsid w:val="5A6C67C3"/>
    <w:rsid w:val="5AA71877"/>
    <w:rsid w:val="5AC2225A"/>
    <w:rsid w:val="5AEE4080"/>
    <w:rsid w:val="5B0B0058"/>
    <w:rsid w:val="5B15555B"/>
    <w:rsid w:val="5B484E08"/>
    <w:rsid w:val="5B6339F0"/>
    <w:rsid w:val="5B6D2AC1"/>
    <w:rsid w:val="5B7025B1"/>
    <w:rsid w:val="5BD01244"/>
    <w:rsid w:val="5C3458EC"/>
    <w:rsid w:val="5C7B120D"/>
    <w:rsid w:val="5C861BFC"/>
    <w:rsid w:val="5C9D73D6"/>
    <w:rsid w:val="5CAE15E3"/>
    <w:rsid w:val="5CF841BF"/>
    <w:rsid w:val="5D177F46"/>
    <w:rsid w:val="5D2E6280"/>
    <w:rsid w:val="5D3E1BE0"/>
    <w:rsid w:val="5D572685"/>
    <w:rsid w:val="5DDC3F2E"/>
    <w:rsid w:val="5DDC5CDC"/>
    <w:rsid w:val="5DF07A69"/>
    <w:rsid w:val="5DF11787"/>
    <w:rsid w:val="5E1119BA"/>
    <w:rsid w:val="5E1B4A56"/>
    <w:rsid w:val="5E282CCF"/>
    <w:rsid w:val="5EE16643"/>
    <w:rsid w:val="5F455458"/>
    <w:rsid w:val="5F4E2C09"/>
    <w:rsid w:val="5F5F495E"/>
    <w:rsid w:val="5F5F5255"/>
    <w:rsid w:val="5FB24510"/>
    <w:rsid w:val="5FBF28D6"/>
    <w:rsid w:val="5FC5111D"/>
    <w:rsid w:val="5FE5356E"/>
    <w:rsid w:val="5FE86BBA"/>
    <w:rsid w:val="6042276E"/>
    <w:rsid w:val="606E1F64"/>
    <w:rsid w:val="60952A2A"/>
    <w:rsid w:val="609C7697"/>
    <w:rsid w:val="609D2268"/>
    <w:rsid w:val="60A96349"/>
    <w:rsid w:val="60D333C6"/>
    <w:rsid w:val="60F32EED"/>
    <w:rsid w:val="613F21CB"/>
    <w:rsid w:val="616E0123"/>
    <w:rsid w:val="618D159C"/>
    <w:rsid w:val="61941E9B"/>
    <w:rsid w:val="61AC31BB"/>
    <w:rsid w:val="61B03707"/>
    <w:rsid w:val="61E723CC"/>
    <w:rsid w:val="6200602F"/>
    <w:rsid w:val="6220263B"/>
    <w:rsid w:val="627B5AC3"/>
    <w:rsid w:val="62960B4F"/>
    <w:rsid w:val="62AC6B3E"/>
    <w:rsid w:val="631D53F1"/>
    <w:rsid w:val="63207328"/>
    <w:rsid w:val="635A392B"/>
    <w:rsid w:val="636361C7"/>
    <w:rsid w:val="636429FB"/>
    <w:rsid w:val="638257FD"/>
    <w:rsid w:val="63C45248"/>
    <w:rsid w:val="6429154F"/>
    <w:rsid w:val="64704F2F"/>
    <w:rsid w:val="647C3D75"/>
    <w:rsid w:val="64C32714"/>
    <w:rsid w:val="64D26384"/>
    <w:rsid w:val="64F10A1F"/>
    <w:rsid w:val="64FE478A"/>
    <w:rsid w:val="65640A4B"/>
    <w:rsid w:val="65840754"/>
    <w:rsid w:val="659C3396"/>
    <w:rsid w:val="65A417D5"/>
    <w:rsid w:val="65A92947"/>
    <w:rsid w:val="65B028E4"/>
    <w:rsid w:val="65B7623D"/>
    <w:rsid w:val="65E120E1"/>
    <w:rsid w:val="65EE2A50"/>
    <w:rsid w:val="66106E6A"/>
    <w:rsid w:val="661F0E5C"/>
    <w:rsid w:val="66216982"/>
    <w:rsid w:val="664F1741"/>
    <w:rsid w:val="66B06154"/>
    <w:rsid w:val="67065B78"/>
    <w:rsid w:val="67140294"/>
    <w:rsid w:val="672E4C9B"/>
    <w:rsid w:val="672F3320"/>
    <w:rsid w:val="674E19F8"/>
    <w:rsid w:val="67A94E81"/>
    <w:rsid w:val="67BB4BB4"/>
    <w:rsid w:val="67BF5409"/>
    <w:rsid w:val="681D56CA"/>
    <w:rsid w:val="689F1109"/>
    <w:rsid w:val="68BE670A"/>
    <w:rsid w:val="68CD1043"/>
    <w:rsid w:val="68E272A3"/>
    <w:rsid w:val="69074555"/>
    <w:rsid w:val="690D143F"/>
    <w:rsid w:val="693C18B7"/>
    <w:rsid w:val="69630078"/>
    <w:rsid w:val="69847953"/>
    <w:rsid w:val="699B6A4B"/>
    <w:rsid w:val="69EA352F"/>
    <w:rsid w:val="6A0B5689"/>
    <w:rsid w:val="6A4B7B8E"/>
    <w:rsid w:val="6A584EBD"/>
    <w:rsid w:val="6A587545"/>
    <w:rsid w:val="6A724822"/>
    <w:rsid w:val="6A776590"/>
    <w:rsid w:val="6A801F2F"/>
    <w:rsid w:val="6AC03E80"/>
    <w:rsid w:val="6AEF704E"/>
    <w:rsid w:val="6B014FD4"/>
    <w:rsid w:val="6B4F3682"/>
    <w:rsid w:val="6B511AB7"/>
    <w:rsid w:val="6B724FED"/>
    <w:rsid w:val="6C262F44"/>
    <w:rsid w:val="6C3B64D5"/>
    <w:rsid w:val="6C655E7F"/>
    <w:rsid w:val="6C7812C6"/>
    <w:rsid w:val="6C986B23"/>
    <w:rsid w:val="6CA441EA"/>
    <w:rsid w:val="6CB73B9C"/>
    <w:rsid w:val="6CEF1588"/>
    <w:rsid w:val="6CFF7742"/>
    <w:rsid w:val="6D5238C5"/>
    <w:rsid w:val="6D567859"/>
    <w:rsid w:val="6D634EBD"/>
    <w:rsid w:val="6DF66946"/>
    <w:rsid w:val="6E105C5A"/>
    <w:rsid w:val="6E146DCC"/>
    <w:rsid w:val="6E162B44"/>
    <w:rsid w:val="6E1F7C4B"/>
    <w:rsid w:val="6E202E98"/>
    <w:rsid w:val="6E307ACE"/>
    <w:rsid w:val="6E445903"/>
    <w:rsid w:val="6E4679B2"/>
    <w:rsid w:val="6ED07197"/>
    <w:rsid w:val="6EE3511C"/>
    <w:rsid w:val="6EE82732"/>
    <w:rsid w:val="6EED74BB"/>
    <w:rsid w:val="6F060E0B"/>
    <w:rsid w:val="6F084B83"/>
    <w:rsid w:val="6F12155D"/>
    <w:rsid w:val="6F551CA8"/>
    <w:rsid w:val="6F593630"/>
    <w:rsid w:val="6F6B5112"/>
    <w:rsid w:val="6F716EF3"/>
    <w:rsid w:val="6F7E6BF3"/>
    <w:rsid w:val="6FD34659"/>
    <w:rsid w:val="6FE87D88"/>
    <w:rsid w:val="70455C08"/>
    <w:rsid w:val="70530F9F"/>
    <w:rsid w:val="70822713"/>
    <w:rsid w:val="70CA381A"/>
    <w:rsid w:val="7104581E"/>
    <w:rsid w:val="713954C7"/>
    <w:rsid w:val="714107D9"/>
    <w:rsid w:val="71600CA6"/>
    <w:rsid w:val="7164006A"/>
    <w:rsid w:val="71681909"/>
    <w:rsid w:val="71B52674"/>
    <w:rsid w:val="7284105E"/>
    <w:rsid w:val="72954E7C"/>
    <w:rsid w:val="72EC0317"/>
    <w:rsid w:val="730D6C0C"/>
    <w:rsid w:val="734E1DE3"/>
    <w:rsid w:val="73977728"/>
    <w:rsid w:val="73D003E4"/>
    <w:rsid w:val="73FA6782"/>
    <w:rsid w:val="74247434"/>
    <w:rsid w:val="74297058"/>
    <w:rsid w:val="7443040B"/>
    <w:rsid w:val="7451187B"/>
    <w:rsid w:val="74B67236"/>
    <w:rsid w:val="75077BE7"/>
    <w:rsid w:val="75194C26"/>
    <w:rsid w:val="752E10BB"/>
    <w:rsid w:val="7538043B"/>
    <w:rsid w:val="753D30AC"/>
    <w:rsid w:val="754601B3"/>
    <w:rsid w:val="757D16FB"/>
    <w:rsid w:val="75AB270C"/>
    <w:rsid w:val="75CC5BB0"/>
    <w:rsid w:val="75D03CA2"/>
    <w:rsid w:val="75DE5C35"/>
    <w:rsid w:val="75ED6880"/>
    <w:rsid w:val="76544B51"/>
    <w:rsid w:val="767E6D8B"/>
    <w:rsid w:val="76ED6462"/>
    <w:rsid w:val="770B3462"/>
    <w:rsid w:val="77155CEF"/>
    <w:rsid w:val="77333B90"/>
    <w:rsid w:val="777A05E8"/>
    <w:rsid w:val="77B533CE"/>
    <w:rsid w:val="77F3CAD0"/>
    <w:rsid w:val="77F71C38"/>
    <w:rsid w:val="78061E7B"/>
    <w:rsid w:val="783E1615"/>
    <w:rsid w:val="7879264D"/>
    <w:rsid w:val="789620BC"/>
    <w:rsid w:val="78B751FD"/>
    <w:rsid w:val="78D635FC"/>
    <w:rsid w:val="78DD4CC5"/>
    <w:rsid w:val="78E201F2"/>
    <w:rsid w:val="78EC72C3"/>
    <w:rsid w:val="78F16688"/>
    <w:rsid w:val="79224A93"/>
    <w:rsid w:val="796055BB"/>
    <w:rsid w:val="79766B8D"/>
    <w:rsid w:val="797F5A41"/>
    <w:rsid w:val="79C97604"/>
    <w:rsid w:val="79F006ED"/>
    <w:rsid w:val="79F67CFB"/>
    <w:rsid w:val="7A49604F"/>
    <w:rsid w:val="7A5C2227"/>
    <w:rsid w:val="7A68752D"/>
    <w:rsid w:val="7A7E03EF"/>
    <w:rsid w:val="7A7F1A71"/>
    <w:rsid w:val="7A8822B1"/>
    <w:rsid w:val="7A9104BC"/>
    <w:rsid w:val="7A9136B4"/>
    <w:rsid w:val="7A946CB6"/>
    <w:rsid w:val="7A9E639B"/>
    <w:rsid w:val="7AA60AE2"/>
    <w:rsid w:val="7AA84591"/>
    <w:rsid w:val="7AE5221C"/>
    <w:rsid w:val="7B566C76"/>
    <w:rsid w:val="7B826CB7"/>
    <w:rsid w:val="7BA82B2F"/>
    <w:rsid w:val="7BB92BB3"/>
    <w:rsid w:val="7BDE4042"/>
    <w:rsid w:val="7C2418CA"/>
    <w:rsid w:val="7C2B0102"/>
    <w:rsid w:val="7C48457A"/>
    <w:rsid w:val="7C55055D"/>
    <w:rsid w:val="7C55517F"/>
    <w:rsid w:val="7C837AA0"/>
    <w:rsid w:val="7C9B5288"/>
    <w:rsid w:val="7CCE2760"/>
    <w:rsid w:val="7CFD5C72"/>
    <w:rsid w:val="7D4A280A"/>
    <w:rsid w:val="7D4F6073"/>
    <w:rsid w:val="7D5B3903"/>
    <w:rsid w:val="7D634DF9"/>
    <w:rsid w:val="7D7653AD"/>
    <w:rsid w:val="7D8A07A5"/>
    <w:rsid w:val="7D9B4E14"/>
    <w:rsid w:val="7DE053D9"/>
    <w:rsid w:val="7E3F1C43"/>
    <w:rsid w:val="7E431733"/>
    <w:rsid w:val="7E5F04D8"/>
    <w:rsid w:val="7E7A2CF8"/>
    <w:rsid w:val="7E7F64E4"/>
    <w:rsid w:val="7EEC0AC6"/>
    <w:rsid w:val="7F1B620C"/>
    <w:rsid w:val="7F2C21C7"/>
    <w:rsid w:val="7F710522"/>
    <w:rsid w:val="7FB5CD73"/>
    <w:rsid w:val="7FBFF021"/>
    <w:rsid w:val="7FF54CAF"/>
    <w:rsid w:val="B9FF31D1"/>
    <w:rsid w:val="BBEDAFB5"/>
    <w:rsid w:val="BFA7D3BB"/>
    <w:rsid w:val="BFDF6CB4"/>
    <w:rsid w:val="D84D813D"/>
    <w:rsid w:val="DF3B8546"/>
    <w:rsid w:val="EE77B394"/>
    <w:rsid w:val="EFFF32E5"/>
    <w:rsid w:val="FBFB0B87"/>
    <w:rsid w:val="FCBB4C1F"/>
    <w:rsid w:val="FEDFD328"/>
    <w:rsid w:val="FEDFDC13"/>
    <w:rsid w:val="FF7D7F45"/>
    <w:rsid w:val="FFFDE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0" w:firstLineChars="200"/>
      <w:jc w:val="both"/>
    </w:pPr>
    <w:rPr>
      <w:rFonts w:eastAsia="仿宋_GB2312" w:asciiTheme="minorHAnsi" w:hAnsiTheme="minorHAnsi" w:cstheme="minorBidi"/>
      <w:kern w:val="2"/>
      <w:sz w:val="32"/>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0"/>
    <w:pPr>
      <w:keepNext/>
      <w:keepLines/>
      <w:spacing w:before="260" w:after="260" w:line="413" w:lineRule="auto"/>
      <w:outlineLvl w:val="2"/>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ody Text Indent"/>
    <w:basedOn w:val="1"/>
    <w:next w:val="8"/>
    <w:qFormat/>
    <w:uiPriority w:val="99"/>
    <w:pPr>
      <w:ind w:left="420" w:leftChars="200"/>
    </w:pPr>
  </w:style>
  <w:style w:type="paragraph" w:styleId="8">
    <w:name w:val="Body Text First Indent 2"/>
    <w:basedOn w:val="7"/>
    <w:next w:val="1"/>
    <w:qFormat/>
    <w:uiPriority w:val="99"/>
    <w:pPr>
      <w:ind w:firstLine="420"/>
    </w:pPr>
  </w:style>
  <w:style w:type="paragraph" w:styleId="9">
    <w:name w:val="Plain Text"/>
    <w:basedOn w:val="1"/>
    <w:qFormat/>
    <w:uiPriority w:val="0"/>
    <w:rPr>
      <w:rFonts w:ascii="宋体" w:hAnsi="Courier New"/>
      <w:szCs w:val="21"/>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footnote text"/>
    <w:basedOn w:val="1"/>
    <w:qFormat/>
    <w:uiPriority w:val="0"/>
    <w:pPr>
      <w:snapToGrid w:val="0"/>
      <w:jc w:val="left"/>
    </w:pPr>
    <w:rPr>
      <w:sz w:val="18"/>
    </w:rPr>
  </w:style>
  <w:style w:type="paragraph" w:styleId="14">
    <w:name w:val="toc 2"/>
    <w:basedOn w:val="1"/>
    <w:next w:val="1"/>
    <w:qFormat/>
    <w:uiPriority w:val="0"/>
    <w:pPr>
      <w:ind w:left="420" w:leftChars="200"/>
    </w:p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qFormat/>
    <w:uiPriority w:val="0"/>
    <w:rPr>
      <w:color w:val="0000FF"/>
      <w:u w:val="single"/>
    </w:rPr>
  </w:style>
  <w:style w:type="character" w:styleId="19">
    <w:name w:val="footnote reference"/>
    <w:basedOn w:val="17"/>
    <w:qFormat/>
    <w:uiPriority w:val="0"/>
    <w:rPr>
      <w:vertAlign w:val="superscript"/>
    </w:rPr>
  </w:style>
  <w:style w:type="paragraph" w:customStyle="1" w:styleId="20">
    <w:name w:val="WPSOffice手动目录 1"/>
    <w:qFormat/>
    <w:uiPriority w:val="0"/>
    <w:rPr>
      <w:rFonts w:ascii="Times New Roman" w:hAnsi="Times New Roman" w:eastAsia="宋体" w:cs="Times New Roman"/>
      <w:lang w:val="en-US" w:eastAsia="zh-CN" w:bidi="ar-SA"/>
    </w:rPr>
  </w:style>
  <w:style w:type="paragraph" w:customStyle="1" w:styleId="2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2">
    <w:name w:val="表格样式"/>
    <w:basedOn w:val="1"/>
    <w:qFormat/>
    <w:uiPriority w:val="0"/>
    <w:pPr>
      <w:ind w:firstLine="0" w:firstLineChars="0"/>
      <w:jc w:val="center"/>
    </w:pPr>
    <w:rPr>
      <w:sz w:val="24"/>
    </w:rPr>
  </w:style>
  <w:style w:type="paragraph" w:customStyle="1" w:styleId="23">
    <w:name w:val="闻政附件一级标题"/>
    <w:basedOn w:val="1"/>
    <w:next w:val="24"/>
    <w:qFormat/>
    <w:uiPriority w:val="6"/>
    <w:pPr>
      <w:spacing w:before="120" w:after="60" w:line="500" w:lineRule="exact"/>
      <w:ind w:firstLine="200"/>
      <w:jc w:val="left"/>
    </w:pPr>
    <w:rPr>
      <w:rFonts w:ascii="Times New Roman" w:hAnsi="Times New Roman" w:cs="宋体"/>
      <w:b/>
      <w:kern w:val="0"/>
      <w:sz w:val="28"/>
      <w:szCs w:val="28"/>
      <w:lang w:val="zh-CN"/>
    </w:rPr>
  </w:style>
  <w:style w:type="paragraph" w:customStyle="1" w:styleId="24">
    <w:name w:val="闻政附件正文"/>
    <w:basedOn w:val="1"/>
    <w:qFormat/>
    <w:uiPriority w:val="6"/>
    <w:pPr>
      <w:spacing w:line="500" w:lineRule="exact"/>
      <w:ind w:firstLine="200"/>
    </w:pPr>
    <w:rPr>
      <w:rFonts w:ascii="Times New Roman" w:hAnsi="Times New Roman" w:cs="Times New Roman"/>
      <w:kern w:val="0"/>
      <w:sz w:val="24"/>
      <w:szCs w:val="28"/>
      <w:lang w:val="zh-CN"/>
    </w:rPr>
  </w:style>
  <w:style w:type="character" w:customStyle="1" w:styleId="25">
    <w:name w:val="font31"/>
    <w:basedOn w:val="17"/>
    <w:qFormat/>
    <w:uiPriority w:val="0"/>
    <w:rPr>
      <w:rFonts w:hint="eastAsia" w:ascii="宋体" w:hAnsi="宋体" w:eastAsia="宋体" w:cs="宋体"/>
      <w:color w:val="000000"/>
      <w:sz w:val="20"/>
      <w:szCs w:val="20"/>
      <w:u w:val="none"/>
    </w:rPr>
  </w:style>
  <w:style w:type="character" w:customStyle="1" w:styleId="26">
    <w:name w:val="font51"/>
    <w:basedOn w:val="17"/>
    <w:qFormat/>
    <w:uiPriority w:val="0"/>
    <w:rPr>
      <w:rFonts w:hint="eastAsia" w:ascii="仿宋_GB2312" w:eastAsia="仿宋_GB2312" w:cs="仿宋_GB2312"/>
      <w:color w:val="000000"/>
      <w:sz w:val="20"/>
      <w:szCs w:val="20"/>
      <w:u w:val="none"/>
    </w:rPr>
  </w:style>
  <w:style w:type="character" w:customStyle="1" w:styleId="27">
    <w:name w:val="font01"/>
    <w:basedOn w:val="17"/>
    <w:qFormat/>
    <w:uiPriority w:val="0"/>
    <w:rPr>
      <w:rFonts w:hint="eastAsia" w:ascii="仿宋_GB2312" w:eastAsia="仿宋_GB2312" w:cs="仿宋_GB2312"/>
      <w:color w:val="000000"/>
      <w:sz w:val="20"/>
      <w:szCs w:val="20"/>
      <w:u w:val="none"/>
    </w:rPr>
  </w:style>
  <w:style w:type="character" w:customStyle="1" w:styleId="28">
    <w:name w:val="font41"/>
    <w:basedOn w:val="17"/>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17742</Words>
  <Characters>18626</Characters>
  <Lines>81</Lines>
  <Paragraphs>23</Paragraphs>
  <TotalTime>0</TotalTime>
  <ScaleCrop>false</ScaleCrop>
  <LinksUpToDate>false</LinksUpToDate>
  <CharactersWithSpaces>18701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2020-08-22T07:14:00Z</dcterms:created>
  <dc:creator>TuTu-Mason</dc:creator>
  <cp:lastModifiedBy>归零GEB</cp:lastModifiedBy>
  <dcterms:modified xsi:type="dcterms:W3CDTF">2023-11-27T07:05:02Z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3CFDB3294ED00708EF9DC2625090D1C7</vt:lpwstr>
  </property>
</Properties>
</file>