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auto"/>
          <w:sz w:val="52"/>
          <w:szCs w:val="52"/>
          <w:highlight w:val="none"/>
        </w:rPr>
      </w:pPr>
    </w:p>
    <w:p>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jc w:val="center"/>
        <w:textAlignment w:val="auto"/>
        <w:rPr>
          <w:rFonts w:hint="default" w:ascii="Times New Roman" w:hAnsi="Times New Roman" w:eastAsia="楷体_GB2312" w:cs="Times New Roman"/>
          <w:b/>
          <w:bCs/>
          <w:color w:val="auto"/>
          <w:sz w:val="52"/>
          <w:szCs w:val="52"/>
          <w:highlight w:val="none"/>
          <w:lang w:eastAsia="zh-CN"/>
        </w:rPr>
      </w:pPr>
      <w:r>
        <w:rPr>
          <w:rFonts w:hint="default" w:ascii="Times New Roman" w:hAnsi="Times New Roman" w:eastAsia="楷体_GB2312" w:cs="Times New Roman"/>
          <w:b/>
          <w:bCs/>
          <w:color w:val="auto"/>
          <w:sz w:val="52"/>
          <w:szCs w:val="52"/>
          <w:highlight w:val="none"/>
          <w:lang w:eastAsia="zh-CN"/>
        </w:rPr>
        <w:t>20</w:t>
      </w:r>
      <w:r>
        <w:rPr>
          <w:rFonts w:hint="default" w:ascii="Times New Roman" w:hAnsi="Times New Roman" w:eastAsia="楷体_GB2312" w:cs="Times New Roman"/>
          <w:b/>
          <w:bCs/>
          <w:color w:val="auto"/>
          <w:sz w:val="52"/>
          <w:szCs w:val="52"/>
          <w:highlight w:val="none"/>
          <w:lang w:val="en-US" w:eastAsia="zh-CN"/>
        </w:rPr>
        <w:t>2</w:t>
      </w:r>
      <w:r>
        <w:rPr>
          <w:rFonts w:hint="eastAsia" w:ascii="Times New Roman" w:hAnsi="Times New Roman" w:eastAsia="楷体_GB2312" w:cs="Times New Roman"/>
          <w:b/>
          <w:bCs/>
          <w:color w:val="auto"/>
          <w:sz w:val="52"/>
          <w:szCs w:val="52"/>
          <w:highlight w:val="none"/>
          <w:lang w:val="en-US" w:eastAsia="zh-CN"/>
        </w:rPr>
        <w:t>2</w:t>
      </w:r>
      <w:r>
        <w:rPr>
          <w:rFonts w:hint="default" w:ascii="Times New Roman" w:hAnsi="Times New Roman" w:eastAsia="楷体_GB2312" w:cs="Times New Roman"/>
          <w:b/>
          <w:bCs/>
          <w:color w:val="auto"/>
          <w:sz w:val="52"/>
          <w:szCs w:val="52"/>
          <w:highlight w:val="none"/>
          <w:lang w:eastAsia="zh-CN"/>
        </w:rPr>
        <w:t>年</w:t>
      </w:r>
      <w:r>
        <w:rPr>
          <w:rFonts w:hint="eastAsia" w:ascii="Times New Roman" w:hAnsi="Times New Roman" w:eastAsia="楷体_GB2312" w:cs="Times New Roman"/>
          <w:b/>
          <w:bCs/>
          <w:color w:val="auto"/>
          <w:sz w:val="52"/>
          <w:szCs w:val="52"/>
          <w:highlight w:val="none"/>
          <w:lang w:val="en-US" w:eastAsia="zh-CN"/>
        </w:rPr>
        <w:t>度</w:t>
      </w:r>
      <w:r>
        <w:rPr>
          <w:rFonts w:hint="default" w:ascii="Times New Roman" w:hAnsi="Times New Roman" w:eastAsia="楷体_GB2312" w:cs="Times New Roman"/>
          <w:b/>
          <w:bCs/>
          <w:color w:val="auto"/>
          <w:sz w:val="52"/>
          <w:szCs w:val="52"/>
          <w:highlight w:val="none"/>
          <w:lang w:eastAsia="zh-CN"/>
        </w:rPr>
        <w:t>德阳市罗江区</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jc w:val="center"/>
        <w:textAlignment w:val="auto"/>
        <w:rPr>
          <w:rFonts w:hint="default" w:ascii="Times New Roman" w:hAnsi="Times New Roman" w:eastAsia="楷体_GB2312" w:cs="Times New Roman"/>
          <w:b/>
          <w:bCs/>
          <w:color w:val="auto"/>
          <w:sz w:val="56"/>
          <w:szCs w:val="56"/>
          <w:highlight w:val="none"/>
        </w:rPr>
      </w:pPr>
      <w:r>
        <w:rPr>
          <w:rFonts w:hint="default" w:ascii="Times New Roman" w:hAnsi="Times New Roman" w:eastAsia="楷体_GB2312" w:cs="Times New Roman"/>
          <w:b/>
          <w:bCs/>
          <w:color w:val="auto"/>
          <w:sz w:val="56"/>
          <w:szCs w:val="56"/>
          <w:highlight w:val="none"/>
        </w:rPr>
        <w:t>财政项目支出绩效评价报告</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auto"/>
          <w:sz w:val="52"/>
          <w:szCs w:val="52"/>
          <w:highlight w:val="none"/>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auto"/>
          <w:sz w:val="52"/>
          <w:szCs w:val="52"/>
          <w:highlight w:val="none"/>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auto"/>
          <w:sz w:val="52"/>
          <w:szCs w:val="52"/>
          <w:highlight w:val="none"/>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auto"/>
          <w:sz w:val="52"/>
          <w:szCs w:val="52"/>
          <w:highlight w:val="none"/>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auto"/>
          <w:sz w:val="52"/>
          <w:szCs w:val="52"/>
          <w:highlight w:val="none"/>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auto"/>
          <w:sz w:val="52"/>
          <w:szCs w:val="52"/>
          <w:highlight w:val="none"/>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auto"/>
          <w:sz w:val="52"/>
          <w:szCs w:val="52"/>
          <w:highlight w:val="none"/>
        </w:rPr>
      </w:pP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default" w:ascii="Times New Roman" w:hAnsi="Times New Roman" w:eastAsia="楷体_GB2312" w:cs="Times New Roman"/>
          <w:b/>
          <w:bCs/>
          <w:color w:val="auto"/>
          <w:szCs w:val="32"/>
          <w:highlight w:val="none"/>
          <w:lang w:eastAsia="zh-CN"/>
        </w:rPr>
      </w:pPr>
      <w:r>
        <w:rPr>
          <w:rFonts w:hint="default" w:ascii="Times New Roman" w:hAnsi="Times New Roman" w:eastAsia="楷体_GB2312" w:cs="Times New Roman"/>
          <w:b/>
          <w:bCs/>
          <w:color w:val="auto"/>
          <w:szCs w:val="32"/>
          <w:highlight w:val="none"/>
        </w:rPr>
        <w:t>项目名称：</w:t>
      </w:r>
      <w:r>
        <w:rPr>
          <w:rFonts w:hint="default" w:ascii="Times New Roman" w:hAnsi="Times New Roman" w:eastAsia="楷体_GB2312" w:cs="Times New Roman"/>
          <w:b/>
          <w:bCs/>
          <w:color w:val="auto"/>
          <w:szCs w:val="32"/>
          <w:highlight w:val="none"/>
          <w:lang w:eastAsia="zh-CN"/>
        </w:rPr>
        <w:t>超标稻谷费用项目</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default" w:ascii="Times New Roman" w:hAnsi="Times New Roman" w:eastAsia="楷体_GB2312" w:cs="Times New Roman"/>
          <w:b/>
          <w:bCs/>
          <w:color w:val="auto"/>
          <w:szCs w:val="32"/>
          <w:highlight w:val="none"/>
          <w:lang w:val="en-US" w:eastAsia="zh-CN"/>
        </w:rPr>
      </w:pPr>
      <w:r>
        <w:rPr>
          <w:rFonts w:hint="default" w:ascii="Times New Roman" w:hAnsi="Times New Roman" w:eastAsia="楷体_GB2312" w:cs="Times New Roman"/>
          <w:b/>
          <w:bCs/>
          <w:color w:val="auto"/>
          <w:szCs w:val="32"/>
          <w:highlight w:val="none"/>
        </w:rPr>
        <w:t>项目单位：</w:t>
      </w:r>
      <w:r>
        <w:rPr>
          <w:rFonts w:hint="default" w:ascii="Times New Roman" w:hAnsi="Times New Roman" w:eastAsia="楷体_GB2312" w:cs="Times New Roman"/>
          <w:b/>
          <w:bCs/>
          <w:color w:val="auto"/>
          <w:szCs w:val="32"/>
          <w:highlight w:val="none"/>
          <w:lang w:eastAsia="zh-CN"/>
        </w:rPr>
        <w:t>德阳市罗江区发展和改革局</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default" w:ascii="Times New Roman" w:hAnsi="Times New Roman" w:eastAsia="楷体_GB2312" w:cs="Times New Roman"/>
          <w:b/>
          <w:bCs/>
          <w:color w:val="auto"/>
          <w:szCs w:val="32"/>
          <w:highlight w:val="none"/>
          <w:lang w:eastAsia="zh-CN"/>
        </w:rPr>
      </w:pPr>
      <w:r>
        <w:rPr>
          <w:rFonts w:hint="default" w:ascii="Times New Roman" w:hAnsi="Times New Roman" w:eastAsia="楷体_GB2312" w:cs="Times New Roman"/>
          <w:b/>
          <w:bCs/>
          <w:color w:val="auto"/>
          <w:szCs w:val="32"/>
          <w:highlight w:val="none"/>
        </w:rPr>
        <w:t>委托单位：</w:t>
      </w:r>
      <w:r>
        <w:rPr>
          <w:rFonts w:hint="default" w:ascii="Times New Roman" w:hAnsi="Times New Roman" w:eastAsia="楷体_GB2312" w:cs="Times New Roman"/>
          <w:b/>
          <w:bCs/>
          <w:color w:val="auto"/>
          <w:szCs w:val="32"/>
          <w:highlight w:val="none"/>
          <w:lang w:eastAsia="zh-CN"/>
        </w:rPr>
        <w:t>德阳市罗江区财政局</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b/>
          <w:bCs/>
          <w:color w:val="auto"/>
          <w:szCs w:val="32"/>
          <w:highlight w:val="none"/>
        </w:rPr>
        <w:t>评价机构：</w:t>
      </w:r>
      <w:r>
        <w:rPr>
          <w:rFonts w:hint="eastAsia" w:ascii="Times New Roman" w:hAnsi="Times New Roman" w:eastAsia="楷体_GB2312" w:cs="Times New Roman"/>
          <w:b/>
          <w:bCs/>
          <w:color w:val="auto"/>
          <w:szCs w:val="32"/>
          <w:highlight w:val="none"/>
          <w:lang w:eastAsia="zh-CN"/>
        </w:rPr>
        <w:t>四川</w:t>
      </w:r>
      <w:r>
        <w:rPr>
          <w:rFonts w:hint="eastAsia" w:ascii="Times New Roman" w:hAnsi="Times New Roman" w:eastAsia="楷体_GB2312" w:cs="Times New Roman"/>
          <w:b/>
          <w:bCs/>
          <w:color w:val="auto"/>
          <w:szCs w:val="32"/>
          <w:highlight w:val="none"/>
          <w:lang w:val="en-US" w:eastAsia="zh-CN"/>
        </w:rPr>
        <w:t>瑞</w:t>
      </w:r>
      <w:r>
        <w:rPr>
          <w:rFonts w:hint="eastAsia" w:ascii="Times New Roman" w:hAnsi="Times New Roman" w:eastAsia="楷体_GB2312" w:cs="Times New Roman"/>
          <w:b/>
          <w:bCs/>
          <w:color w:val="auto"/>
          <w:szCs w:val="32"/>
          <w:highlight w:val="none"/>
          <w:lang w:eastAsia="zh-CN"/>
        </w:rPr>
        <w:t>政</w:t>
      </w:r>
      <w:r>
        <w:rPr>
          <w:rFonts w:hint="eastAsia" w:ascii="Times New Roman" w:hAnsi="Times New Roman" w:eastAsia="楷体_GB2312" w:cs="Times New Roman"/>
          <w:b/>
          <w:bCs/>
          <w:color w:val="auto"/>
          <w:szCs w:val="32"/>
          <w:highlight w:val="none"/>
          <w:lang w:val="en-US" w:eastAsia="zh-CN"/>
        </w:rPr>
        <w:t>商业管理</w:t>
      </w:r>
      <w:r>
        <w:rPr>
          <w:rFonts w:hint="eastAsia" w:ascii="Times New Roman" w:hAnsi="Times New Roman" w:eastAsia="楷体_GB2312" w:cs="Times New Roman"/>
          <w:b/>
          <w:bCs/>
          <w:color w:val="auto"/>
          <w:szCs w:val="32"/>
          <w:highlight w:val="none"/>
          <w:lang w:eastAsia="zh-CN"/>
        </w:rPr>
        <w:t>有限公司</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jc w:val="center"/>
        <w:textAlignment w:val="auto"/>
        <w:rPr>
          <w:rFonts w:hint="default" w:ascii="Times New Roman" w:hAnsi="Times New Roman" w:eastAsia="楷体_GB2312" w:cs="Times New Roman"/>
          <w:b/>
          <w:bCs/>
          <w:color w:val="auto"/>
          <w:szCs w:val="32"/>
          <w:highlight w:val="none"/>
          <w:lang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28" w:left="1587" w:header="851" w:footer="992" w:gutter="0"/>
          <w:pgBorders>
            <w:top w:val="none" w:sz="0" w:space="0"/>
            <w:left w:val="none" w:sz="0" w:space="0"/>
            <w:bottom w:val="none" w:sz="0" w:space="0"/>
            <w:right w:val="none" w:sz="0" w:space="0"/>
          </w:pgBorders>
          <w:cols w:space="425" w:num="1"/>
          <w:docGrid w:type="lines" w:linePitch="312" w:charSpace="0"/>
        </w:sectPr>
      </w:pPr>
      <w:r>
        <w:rPr>
          <w:rFonts w:hint="default" w:ascii="Times New Roman" w:hAnsi="Times New Roman" w:eastAsia="楷体_GB2312" w:cs="Times New Roman"/>
          <w:b/>
          <w:bCs/>
          <w:color w:val="auto"/>
          <w:szCs w:val="32"/>
          <w:highlight w:val="none"/>
          <w:lang w:eastAsia="zh-CN"/>
        </w:rPr>
        <w:t>202</w:t>
      </w:r>
      <w:r>
        <w:rPr>
          <w:rFonts w:hint="eastAsia" w:ascii="Times New Roman" w:hAnsi="Times New Roman" w:eastAsia="楷体_GB2312" w:cs="Times New Roman"/>
          <w:b/>
          <w:bCs/>
          <w:color w:val="auto"/>
          <w:szCs w:val="32"/>
          <w:highlight w:val="none"/>
          <w:lang w:val="en-US" w:eastAsia="zh-CN"/>
        </w:rPr>
        <w:t>3</w:t>
      </w:r>
      <w:r>
        <w:rPr>
          <w:rFonts w:hint="default" w:ascii="Times New Roman" w:hAnsi="Times New Roman" w:eastAsia="楷体_GB2312" w:cs="Times New Roman"/>
          <w:b/>
          <w:bCs/>
          <w:color w:val="auto"/>
          <w:szCs w:val="32"/>
          <w:highlight w:val="none"/>
          <w:lang w:eastAsia="zh-CN"/>
        </w:rPr>
        <w:t>年</w:t>
      </w:r>
      <w:r>
        <w:rPr>
          <w:rFonts w:hint="eastAsia" w:ascii="Times New Roman" w:hAnsi="Times New Roman" w:eastAsia="楷体_GB2312" w:cs="Times New Roman"/>
          <w:b/>
          <w:bCs/>
          <w:color w:val="auto"/>
          <w:szCs w:val="32"/>
          <w:highlight w:val="none"/>
          <w:lang w:val="en-US" w:eastAsia="zh-CN"/>
        </w:rPr>
        <w:t>9</w:t>
      </w:r>
      <w:r>
        <w:rPr>
          <w:rFonts w:hint="default" w:ascii="Times New Roman" w:hAnsi="Times New Roman" w:eastAsia="楷体_GB2312" w:cs="Times New Roman"/>
          <w:b/>
          <w:bCs/>
          <w:color w:val="auto"/>
          <w:szCs w:val="32"/>
          <w:highlight w:val="none"/>
          <w:lang w:eastAsia="zh-CN"/>
        </w:rPr>
        <w:t>月</w:t>
      </w:r>
    </w:p>
    <w:sdt>
      <w:sdtPr>
        <w:rPr>
          <w:rFonts w:hint="default" w:ascii="Times New Roman" w:hAnsi="Times New Roman" w:cs="Times New Roman"/>
          <w:b/>
          <w:bCs/>
          <w:color w:val="auto"/>
          <w:szCs w:val="32"/>
          <w:highlight w:val="none"/>
        </w:rPr>
        <w:id w:val="147473090"/>
        <w15:color w:val="DBDBDB"/>
        <w:docPartObj>
          <w:docPartGallery w:val="Table of Contents"/>
          <w:docPartUnique/>
        </w:docPartObj>
      </w:sdtPr>
      <w:sdtEndPr>
        <w:rPr>
          <w:rFonts w:hint="default" w:ascii="Times New Roman" w:hAnsi="Times New Roman" w:cs="Times New Roman"/>
          <w:b/>
          <w:bCs/>
          <w:color w:val="auto"/>
          <w:sz w:val="21"/>
          <w:szCs w:val="32"/>
          <w:highlight w:val="none"/>
        </w:rPr>
      </w:sdtEndPr>
      <w:sdtContent>
        <w:p>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目</w:t>
          </w:r>
          <w:r>
            <w:rPr>
              <w:rFonts w:hint="default" w:ascii="Times New Roman" w:hAnsi="Times New Roman" w:cs="Times New Roman"/>
              <w:b/>
              <w:bCs/>
              <w:color w:val="auto"/>
              <w:szCs w:val="32"/>
              <w:highlight w:val="none"/>
              <w:lang w:val="en-US" w:eastAsia="zh-CN"/>
            </w:rPr>
            <w:t xml:space="preserve">  </w:t>
          </w:r>
          <w:r>
            <w:rPr>
              <w:rFonts w:hint="default" w:ascii="Times New Roman" w:hAnsi="Times New Roman" w:cs="Times New Roman"/>
              <w:b/>
              <w:bCs/>
              <w:color w:val="auto"/>
              <w:szCs w:val="32"/>
              <w:highlight w:val="none"/>
            </w:rPr>
            <w:t>录</w:t>
          </w:r>
        </w:p>
        <w:p>
          <w:pPr>
            <w:pStyle w:val="12"/>
            <w:tabs>
              <w:tab w:val="right" w:leader="dot" w:pos="8845"/>
            </w:tabs>
            <w:rPr>
              <w:rFonts w:hint="default" w:ascii="Times New Roman" w:hAnsi="Times New Roman" w:cs="Times New Roman"/>
            </w:rPr>
          </w:pPr>
          <w:r>
            <w:rPr>
              <w:rFonts w:hint="default" w:ascii="Times New Roman" w:hAnsi="Times New Roman" w:cs="Times New Roman"/>
              <w:b/>
              <w:bCs/>
              <w:color w:val="auto"/>
              <w:szCs w:val="32"/>
              <w:highlight w:val="none"/>
            </w:rPr>
            <w:fldChar w:fldCharType="begin"/>
          </w:r>
          <w:r>
            <w:rPr>
              <w:rFonts w:hint="default" w:ascii="Times New Roman" w:hAnsi="Times New Roman" w:cs="Times New Roman"/>
              <w:b/>
              <w:bCs/>
              <w:color w:val="auto"/>
              <w:szCs w:val="32"/>
              <w:highlight w:val="none"/>
            </w:rPr>
            <w:instrText xml:space="preserve">TOC \o "1-2" \h \u </w:instrText>
          </w:r>
          <w:r>
            <w:rPr>
              <w:rFonts w:hint="default" w:ascii="Times New Roman" w:hAnsi="Times New Roman" w:cs="Times New Roman"/>
              <w:b/>
              <w:bCs/>
              <w:color w:val="auto"/>
              <w:szCs w:val="32"/>
              <w:highlight w:val="none"/>
            </w:rPr>
            <w:fldChar w:fldCharType="separate"/>
          </w: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_Toc11366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rPr>
            <w:t>一、基本情况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_Toc11366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tabs>
              <w:tab w:val="right" w:leader="dot" w:pos="8845"/>
            </w:tabs>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_Toc13385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（一）项目</w:t>
          </w:r>
          <w:r>
            <w:rPr>
              <w:rFonts w:hint="default" w:ascii="Times New Roman" w:hAnsi="Times New Roman" w:eastAsia="楷体_GB2312" w:cs="Times New Roman"/>
              <w:szCs w:val="32"/>
              <w:highlight w:val="none"/>
              <w:lang w:val="en-US" w:eastAsia="zh-CN"/>
            </w:rPr>
            <w:t>背景及依据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_Toc13385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tabs>
              <w:tab w:val="right" w:leader="dot" w:pos="8845"/>
            </w:tabs>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_Toc11023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lang w:eastAsia="zh-CN"/>
            </w:rPr>
            <w:t>（</w:t>
          </w:r>
          <w:r>
            <w:rPr>
              <w:rFonts w:hint="default" w:ascii="Times New Roman" w:hAnsi="Times New Roman" w:eastAsia="楷体_GB2312" w:cs="Times New Roman"/>
              <w:szCs w:val="32"/>
              <w:highlight w:val="none"/>
              <w:lang w:val="en-US" w:eastAsia="zh-CN"/>
            </w:rPr>
            <w:t>二）项目参与主体职能职责</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_Toc11023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tabs>
              <w:tab w:val="right" w:leader="dot" w:pos="8845"/>
            </w:tabs>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_Toc28764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w:t>
          </w:r>
          <w:r>
            <w:rPr>
              <w:rFonts w:hint="default" w:ascii="Times New Roman" w:hAnsi="Times New Roman" w:eastAsia="楷体_GB2312" w:cs="Times New Roman"/>
              <w:szCs w:val="32"/>
              <w:highlight w:val="none"/>
              <w:lang w:val="en-US" w:eastAsia="zh-CN"/>
            </w:rPr>
            <w:t>三</w:t>
          </w:r>
          <w:r>
            <w:rPr>
              <w:rFonts w:hint="default" w:ascii="Times New Roman" w:hAnsi="Times New Roman" w:eastAsia="楷体_GB2312" w:cs="Times New Roman"/>
              <w:szCs w:val="32"/>
              <w:highlight w:val="none"/>
            </w:rPr>
            <w:t>）项目绩效目标</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_Toc28764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tabs>
              <w:tab w:val="right" w:leader="dot" w:pos="8845"/>
            </w:tabs>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_Toc25801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lang w:val="en-US" w:eastAsia="zh-CN"/>
            </w:rPr>
            <w:t>（四）项目预算及计划实施内容</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_Toc25801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tabs>
              <w:tab w:val="right" w:leader="dot" w:pos="8845"/>
            </w:tabs>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_Toc14068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lang w:val="en-US" w:eastAsia="zh-CN"/>
            </w:rPr>
            <w:t>（五）预算执行及实施情况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_Toc14068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tabs>
              <w:tab w:val="right" w:leader="dot" w:pos="8845"/>
            </w:tabs>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_Toc31948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rPr>
            <w:t>二、评价工作开展情况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_Toc31948 \h </w:instrText>
          </w:r>
          <w:r>
            <w:rPr>
              <w:rFonts w:hint="default" w:ascii="Times New Roman" w:hAnsi="Times New Roman" w:cs="Times New Roman"/>
            </w:rPr>
            <w:fldChar w:fldCharType="separate"/>
          </w:r>
          <w:r>
            <w:rPr>
              <w:rFonts w:hint="default" w:ascii="Times New Roman" w:hAnsi="Times New Roman" w:cs="Times New Roman"/>
            </w:rPr>
            <w:t>11</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tabs>
              <w:tab w:val="right" w:leader="dot" w:pos="8845"/>
            </w:tabs>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_Toc22062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（一）绩效评价的目的</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_Toc22062 \h </w:instrText>
          </w:r>
          <w:r>
            <w:rPr>
              <w:rFonts w:hint="default" w:ascii="Times New Roman" w:hAnsi="Times New Roman" w:cs="Times New Roman"/>
            </w:rPr>
            <w:fldChar w:fldCharType="separate"/>
          </w:r>
          <w:r>
            <w:rPr>
              <w:rFonts w:hint="default" w:ascii="Times New Roman" w:hAnsi="Times New Roman" w:cs="Times New Roman"/>
            </w:rPr>
            <w:t>11</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tabs>
              <w:tab w:val="right" w:leader="dot" w:pos="8845"/>
            </w:tabs>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_Toc27002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（二）评价的思路、原则、依据及方法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_Toc27002 \h </w:instrText>
          </w:r>
          <w:r>
            <w:rPr>
              <w:rFonts w:hint="default" w:ascii="Times New Roman" w:hAnsi="Times New Roman" w:cs="Times New Roman"/>
            </w:rPr>
            <w:fldChar w:fldCharType="separate"/>
          </w:r>
          <w:r>
            <w:rPr>
              <w:rFonts w:hint="default" w:ascii="Times New Roman" w:hAnsi="Times New Roman" w:cs="Times New Roman"/>
            </w:rPr>
            <w:t>12</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tabs>
              <w:tab w:val="right" w:leader="dot" w:pos="8845"/>
            </w:tabs>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_Toc12465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（三）数据采集方法及过程</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_Toc12465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tabs>
              <w:tab w:val="right" w:leader="dot" w:pos="8845"/>
            </w:tabs>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_Toc31077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（四）绩效评价实施过程</w:t>
          </w:r>
          <w:bookmarkStart w:id="23" w:name="_GoBack"/>
          <w:bookmarkEnd w:id="23"/>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_Toc31077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tabs>
              <w:tab w:val="right" w:leader="dot" w:pos="8845"/>
            </w:tabs>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_Toc7980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lang w:val="en-US" w:eastAsia="zh-CN"/>
            </w:rPr>
            <w:t>三</w:t>
          </w:r>
          <w:r>
            <w:rPr>
              <w:rFonts w:hint="default" w:ascii="Times New Roman" w:hAnsi="Times New Roman" w:eastAsia="黑体" w:cs="Times New Roman"/>
              <w:bCs/>
              <w:szCs w:val="20"/>
              <w:highlight w:val="none"/>
            </w:rPr>
            <w:t>、</w:t>
          </w:r>
          <w:r>
            <w:rPr>
              <w:rFonts w:hint="default" w:ascii="Times New Roman" w:hAnsi="Times New Roman" w:eastAsia="黑体" w:cs="Times New Roman"/>
              <w:bCs/>
              <w:szCs w:val="20"/>
              <w:highlight w:val="none"/>
              <w:lang w:val="en-US" w:eastAsia="zh-CN"/>
            </w:rPr>
            <w:t>评价结果与结论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_Toc7980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tabs>
              <w:tab w:val="right" w:leader="dot" w:pos="8845"/>
            </w:tabs>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_Toc23904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（一）</w:t>
          </w:r>
          <w:r>
            <w:rPr>
              <w:rFonts w:hint="default" w:ascii="Times New Roman" w:hAnsi="Times New Roman" w:eastAsia="楷体_GB2312" w:cs="Times New Roman"/>
              <w:szCs w:val="32"/>
              <w:highlight w:val="none"/>
              <w:lang w:val="en-US" w:eastAsia="zh-CN"/>
            </w:rPr>
            <w:t>评价得分与绩效等级</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_Toc23904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tabs>
              <w:tab w:val="right" w:leader="dot" w:pos="8845"/>
            </w:tabs>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_Toc18070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w:t>
          </w:r>
          <w:r>
            <w:rPr>
              <w:rFonts w:hint="default" w:ascii="Times New Roman" w:hAnsi="Times New Roman" w:eastAsia="楷体_GB2312" w:cs="Times New Roman"/>
              <w:szCs w:val="32"/>
              <w:highlight w:val="none"/>
              <w:lang w:val="en-US" w:eastAsia="zh-CN"/>
            </w:rPr>
            <w:t>二</w:t>
          </w:r>
          <w:r>
            <w:rPr>
              <w:rFonts w:hint="default" w:ascii="Times New Roman" w:hAnsi="Times New Roman" w:eastAsia="楷体_GB2312" w:cs="Times New Roman"/>
              <w:szCs w:val="32"/>
              <w:highlight w:val="none"/>
            </w:rPr>
            <w:t>）</w:t>
          </w:r>
          <w:r>
            <w:rPr>
              <w:rFonts w:hint="default" w:ascii="Times New Roman" w:hAnsi="Times New Roman" w:eastAsia="楷体_GB2312" w:cs="Times New Roman"/>
              <w:szCs w:val="32"/>
              <w:highlight w:val="none"/>
              <w:lang w:val="en-US" w:eastAsia="zh-CN"/>
            </w:rPr>
            <w:t>评价结论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_Toc18070 \h </w:instrText>
          </w:r>
          <w:r>
            <w:rPr>
              <w:rFonts w:hint="default" w:ascii="Times New Roman" w:hAnsi="Times New Roman" w:cs="Times New Roman"/>
            </w:rPr>
            <w:fldChar w:fldCharType="separate"/>
          </w:r>
          <w:r>
            <w:rPr>
              <w:rFonts w:hint="default" w:ascii="Times New Roman" w:hAnsi="Times New Roman" w:cs="Times New Roman"/>
            </w:rPr>
            <w:t>18</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tabs>
              <w:tab w:val="right" w:leader="dot" w:pos="8845"/>
            </w:tabs>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_Toc18477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lang w:val="en-US" w:eastAsia="zh-CN"/>
            </w:rPr>
            <w:t>四</w:t>
          </w:r>
          <w:r>
            <w:rPr>
              <w:rFonts w:hint="default" w:ascii="Times New Roman" w:hAnsi="Times New Roman" w:eastAsia="黑体" w:cs="Times New Roman"/>
              <w:bCs/>
              <w:szCs w:val="20"/>
              <w:highlight w:val="none"/>
            </w:rPr>
            <w:t>、</w:t>
          </w:r>
          <w:r>
            <w:rPr>
              <w:rFonts w:hint="default" w:ascii="Times New Roman" w:hAnsi="Times New Roman" w:eastAsia="黑体" w:cs="Times New Roman"/>
              <w:bCs/>
              <w:szCs w:val="20"/>
              <w:highlight w:val="none"/>
              <w:lang w:val="en-US" w:eastAsia="zh-CN"/>
            </w:rPr>
            <w:t>问题及建议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_Toc18477 \h </w:instrText>
          </w:r>
          <w:r>
            <w:rPr>
              <w:rFonts w:hint="default" w:ascii="Times New Roman" w:hAnsi="Times New Roman" w:cs="Times New Roman"/>
            </w:rPr>
            <w:fldChar w:fldCharType="separate"/>
          </w:r>
          <w:r>
            <w:rPr>
              <w:rFonts w:hint="default" w:ascii="Times New Roman" w:hAnsi="Times New Roman" w:cs="Times New Roman"/>
            </w:rPr>
            <w:t>19</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tabs>
              <w:tab w:val="right" w:leader="dot" w:pos="8845"/>
            </w:tabs>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_Toc20912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lang w:val="en-US" w:eastAsia="zh-CN"/>
            </w:rPr>
            <w:t>五、其他需要说明的问题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_Toc20912 \h </w:instrText>
          </w:r>
          <w:r>
            <w:rPr>
              <w:rFonts w:hint="default" w:ascii="Times New Roman" w:hAnsi="Times New Roman" w:cs="Times New Roman"/>
            </w:rPr>
            <w:fldChar w:fldCharType="separate"/>
          </w:r>
          <w:r>
            <w:rPr>
              <w:rFonts w:hint="default" w:ascii="Times New Roman" w:hAnsi="Times New Roman" w:cs="Times New Roman"/>
            </w:rPr>
            <w:t>20</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tabs>
              <w:tab w:val="right" w:leader="dot" w:pos="8845"/>
            </w:tabs>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_Toc30854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lang w:val="en-US" w:eastAsia="zh-Hans"/>
            </w:rPr>
            <w:t>附件</w:t>
          </w:r>
          <w:r>
            <w:rPr>
              <w:rFonts w:hint="default" w:ascii="Times New Roman" w:hAnsi="Times New Roman" w:eastAsia="黑体" w:cs="Times New Roman"/>
              <w:bCs/>
              <w:szCs w:val="20"/>
              <w:highlight w:val="none"/>
              <w:lang w:val="en-US" w:eastAsia="zh-CN"/>
            </w:rPr>
            <w:t>1 项目支出绩效评价指标体系及评分表</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_Toc30854 \h </w:instrText>
          </w:r>
          <w:r>
            <w:rPr>
              <w:rFonts w:hint="default" w:ascii="Times New Roman" w:hAnsi="Times New Roman" w:cs="Times New Roman"/>
            </w:rPr>
            <w:fldChar w:fldCharType="separate"/>
          </w:r>
          <w:r>
            <w:rPr>
              <w:rFonts w:hint="default" w:ascii="Times New Roman" w:hAnsi="Times New Roman" w:cs="Times New Roman"/>
            </w:rPr>
            <w:t>22</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tabs>
              <w:tab w:val="right" w:leader="dot" w:pos="8845"/>
            </w:tabs>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_Toc12119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kern w:val="44"/>
              <w:szCs w:val="20"/>
              <w:highlight w:val="none"/>
              <w:lang w:val="en-US" w:eastAsia="zh-Hans" w:bidi="ar-SA"/>
            </w:rPr>
            <w:t>附件2社会调查方案</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_Toc12119 \h </w:instrText>
          </w:r>
          <w:r>
            <w:rPr>
              <w:rFonts w:hint="default" w:ascii="Times New Roman" w:hAnsi="Times New Roman" w:cs="Times New Roman"/>
            </w:rPr>
            <w:fldChar w:fldCharType="separate"/>
          </w:r>
          <w:r>
            <w:rPr>
              <w:rFonts w:hint="default" w:ascii="Times New Roman" w:hAnsi="Times New Roman" w:cs="Times New Roman"/>
            </w:rPr>
            <w:t>29</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default" w:ascii="Times New Roman" w:hAnsi="Times New Roman" w:cs="Times New Roman"/>
              <w:b/>
              <w:bCs/>
              <w:color w:val="auto"/>
              <w:szCs w:val="32"/>
              <w:highlight w:val="none"/>
            </w:rPr>
            <w:sectPr>
              <w:pgSz w:w="11906" w:h="16838"/>
              <w:pgMar w:top="1701" w:right="1474" w:bottom="1644" w:left="1587" w:header="851" w:footer="992" w:gutter="0"/>
              <w:pgBorders>
                <w:top w:val="none" w:sz="0" w:space="0"/>
                <w:left w:val="none" w:sz="0" w:space="0"/>
                <w:bottom w:val="none" w:sz="0" w:space="0"/>
                <w:right w:val="none" w:sz="0" w:space="0"/>
              </w:pgBorders>
              <w:cols w:space="425" w:num="1"/>
              <w:docGrid w:type="lines" w:linePitch="312" w:charSpace="0"/>
            </w:sectPr>
          </w:pPr>
          <w:r>
            <w:rPr>
              <w:rFonts w:hint="default" w:ascii="Times New Roman" w:hAnsi="Times New Roman" w:cs="Times New Roman"/>
              <w:bCs/>
              <w:color w:val="auto"/>
              <w:szCs w:val="32"/>
              <w:highlight w:val="none"/>
            </w:rPr>
            <w:fldChar w:fldCharType="end"/>
          </w:r>
        </w:p>
      </w:sdtContent>
    </w:sdt>
    <w:p>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jc w:val="center"/>
        <w:textAlignment w:val="auto"/>
        <w:rPr>
          <w:rFonts w:hint="default" w:ascii="Times New Roman" w:hAnsi="Times New Roman" w:eastAsia="方正小标宋简体" w:cs="Times New Roman"/>
          <w:b/>
          <w:bCs/>
          <w:color w:val="auto"/>
          <w:sz w:val="44"/>
          <w:szCs w:val="44"/>
          <w:highlight w:val="none"/>
          <w:lang w:val="en-US" w:eastAsia="zh-CN"/>
        </w:rPr>
      </w:pPr>
      <w:r>
        <w:rPr>
          <w:rFonts w:hint="default" w:ascii="Times New Roman" w:hAnsi="Times New Roman" w:eastAsia="方正小标宋简体" w:cs="Times New Roman"/>
          <w:b/>
          <w:bCs/>
          <w:color w:val="auto"/>
          <w:sz w:val="44"/>
          <w:szCs w:val="44"/>
          <w:highlight w:val="none"/>
          <w:lang w:eastAsia="zh-CN"/>
        </w:rPr>
        <w:t>202</w:t>
      </w:r>
      <w:r>
        <w:rPr>
          <w:rFonts w:hint="eastAsia" w:ascii="Times New Roman" w:hAnsi="Times New Roman" w:eastAsia="方正小标宋简体" w:cs="Times New Roman"/>
          <w:b/>
          <w:bCs/>
          <w:color w:val="auto"/>
          <w:sz w:val="44"/>
          <w:szCs w:val="44"/>
          <w:highlight w:val="none"/>
          <w:lang w:val="en-US" w:eastAsia="zh-CN"/>
        </w:rPr>
        <w:t>3</w:t>
      </w:r>
      <w:r>
        <w:rPr>
          <w:rFonts w:hint="default" w:ascii="Times New Roman" w:hAnsi="Times New Roman" w:eastAsia="方正小标宋简体" w:cs="Times New Roman"/>
          <w:b/>
          <w:bCs/>
          <w:color w:val="auto"/>
          <w:sz w:val="44"/>
          <w:szCs w:val="44"/>
          <w:highlight w:val="none"/>
          <w:lang w:eastAsia="zh-CN"/>
        </w:rPr>
        <w:t>年德阳市罗江区发展和改革局</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jc w:val="center"/>
        <w:textAlignment w:val="auto"/>
        <w:rPr>
          <w:rFonts w:hint="default" w:ascii="Times New Roman" w:hAnsi="Times New Roman" w:cs="Times New Roman"/>
          <w:b w:val="0"/>
          <w:bCs w:val="0"/>
          <w:color w:val="auto"/>
          <w:sz w:val="44"/>
          <w:szCs w:val="44"/>
          <w:highlight w:val="none"/>
        </w:rPr>
      </w:pPr>
      <w:bookmarkStart w:id="0" w:name="_Toc28628"/>
      <w:r>
        <w:rPr>
          <w:rFonts w:hint="default" w:ascii="Times New Roman" w:hAnsi="Times New Roman" w:eastAsia="方正小标宋简体" w:cs="Times New Roman"/>
          <w:b/>
          <w:bCs/>
          <w:color w:val="auto"/>
          <w:sz w:val="44"/>
          <w:szCs w:val="44"/>
          <w:highlight w:val="none"/>
        </w:rPr>
        <w:t>财政项目支出绩效评价报告</w:t>
      </w:r>
      <w:bookmarkEnd w:id="0"/>
    </w:p>
    <w:p>
      <w:pPr>
        <w:pageBreakBefore w:val="0"/>
        <w:kinsoku/>
        <w:wordWrap/>
        <w:overflowPunct/>
        <w:topLinePunct w:val="0"/>
        <w:autoSpaceDE/>
        <w:autoSpaceDN/>
        <w:bidi w:val="0"/>
        <w:adjustRightInd/>
        <w:snapToGrid/>
        <w:spacing w:line="580" w:lineRule="exact"/>
        <w:ind w:left="0" w:leftChars="0" w:firstLine="0" w:firstLineChars="0"/>
        <w:jc w:val="center"/>
        <w:rPr>
          <w:rFonts w:hint="default" w:ascii="Times New Roman" w:hAnsi="Times New Roman" w:eastAsia="楷体_GB2312" w:cs="Times New Roman"/>
          <w:color w:val="auto"/>
          <w:szCs w:val="32"/>
          <w:highlight w:val="none"/>
          <w:lang w:eastAsia="zh-Hans"/>
        </w:rPr>
      </w:pPr>
      <w:r>
        <w:rPr>
          <w:rFonts w:hint="default" w:ascii="Times New Roman" w:hAnsi="Times New Roman" w:eastAsia="楷体_GB2312" w:cs="Times New Roman"/>
          <w:b/>
          <w:bCs/>
          <w:color w:val="auto"/>
          <w:szCs w:val="32"/>
          <w:highlight w:val="none"/>
          <w:lang w:eastAsia="zh-Hans"/>
        </w:rPr>
        <w:t>（</w:t>
      </w:r>
      <w:r>
        <w:rPr>
          <w:rFonts w:hint="default" w:ascii="Times New Roman" w:hAnsi="Times New Roman" w:eastAsia="楷体_GB2312" w:cs="Times New Roman"/>
          <w:b/>
          <w:bCs/>
          <w:color w:val="auto"/>
          <w:szCs w:val="32"/>
          <w:highlight w:val="none"/>
          <w:lang w:eastAsia="zh-CN"/>
        </w:rPr>
        <w:t>超标稻谷费用项目</w:t>
      </w:r>
      <w:r>
        <w:rPr>
          <w:rFonts w:hint="default" w:ascii="Times New Roman" w:hAnsi="Times New Roman" w:eastAsia="楷体_GB2312" w:cs="Times New Roman"/>
          <w:b/>
          <w:bCs/>
          <w:color w:val="auto"/>
          <w:szCs w:val="32"/>
          <w:highlight w:val="none"/>
          <w:lang w:eastAsia="zh-Hans"/>
        </w:rPr>
        <w:t>）</w:t>
      </w:r>
    </w:p>
    <w:p>
      <w:pPr>
        <w:keepNext w:val="0"/>
        <w:keepLines w:val="0"/>
        <w:pageBreakBefore w:val="0"/>
        <w:widowControl w:val="0"/>
        <w:kinsoku/>
        <w:wordWrap/>
        <w:overflowPunct/>
        <w:topLinePunct w:val="0"/>
        <w:autoSpaceDE/>
        <w:autoSpaceDN/>
        <w:bidi w:val="0"/>
        <w:adjustRightInd/>
        <w:snapToGrid/>
        <w:spacing w:before="313" w:beforeLines="100" w:line="580" w:lineRule="exact"/>
        <w:ind w:firstLine="640"/>
        <w:textAlignment w:val="auto"/>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为强化部门整体支出预算执行力度，深化责任主体绩效管理意识，优化财政资源配置，提升公共服务质量，贯彻落实《中共中央 国务院关于全面实施预算绩效管理的意见》（中发〔2018〕34号）、《中共四川省委 四川省人民政府关于全面实施预算绩效管理的实施意见》（川委发〔2019〕8号）</w:t>
      </w:r>
      <w:r>
        <w:rPr>
          <w:rFonts w:hint="default" w:ascii="Times New Roman" w:hAnsi="Times New Roman" w:cs="Times New Roman"/>
          <w:color w:val="auto"/>
          <w:szCs w:val="32"/>
          <w:highlight w:val="none"/>
          <w:lang w:eastAsia="zh-Hans"/>
        </w:rPr>
        <w:t>、《中共四川省委办公厅 四川省人民政府办公厅关于深入实施预算绩效管理的通知》（川委厅〔2022〕5号）</w:t>
      </w:r>
      <w:r>
        <w:rPr>
          <w:rFonts w:hint="default" w:ascii="Times New Roman" w:hAnsi="Times New Roman" w:cs="Times New Roman"/>
          <w:color w:val="auto"/>
          <w:szCs w:val="32"/>
          <w:highlight w:val="none"/>
          <w:lang w:val="en-US" w:eastAsia="zh-Hans"/>
        </w:rPr>
        <w:t>等</w:t>
      </w:r>
      <w:r>
        <w:rPr>
          <w:rFonts w:hint="default" w:ascii="Times New Roman" w:hAnsi="Times New Roman" w:cs="Times New Roman"/>
          <w:color w:val="auto"/>
          <w:szCs w:val="32"/>
          <w:highlight w:val="none"/>
          <w:lang w:val="en-US" w:eastAsia="zh-CN"/>
        </w:rPr>
        <w:t>文件精神</w:t>
      </w:r>
      <w:r>
        <w:rPr>
          <w:rFonts w:hint="default" w:ascii="Times New Roman" w:hAnsi="Times New Roman" w:cs="Times New Roman"/>
          <w:color w:val="auto"/>
          <w:szCs w:val="32"/>
          <w:highlight w:val="none"/>
        </w:rPr>
        <w:t>，根据</w:t>
      </w:r>
      <w:r>
        <w:rPr>
          <w:rFonts w:hint="default" w:ascii="Times New Roman" w:hAnsi="Times New Roman" w:cs="Times New Roman"/>
          <w:color w:val="auto"/>
          <w:szCs w:val="32"/>
          <w:highlight w:val="none"/>
          <w:lang w:eastAsia="zh-CN"/>
        </w:rPr>
        <w:t>《项目支出绩效评价管理办法》（财预〔2020〕10号）</w:t>
      </w:r>
      <w:r>
        <w:rPr>
          <w:rFonts w:hint="default" w:ascii="Times New Roman" w:hAnsi="Times New Roman" w:cs="Times New Roman"/>
          <w:color w:val="auto"/>
          <w:szCs w:val="32"/>
          <w:highlight w:val="none"/>
        </w:rPr>
        <w:t>规定，按照</w:t>
      </w:r>
      <w:r>
        <w:rPr>
          <w:rFonts w:hint="eastAsia" w:ascii="Times New Roman" w:hAnsi="Times New Roman" w:cs="Times New Roman"/>
          <w:color w:val="auto"/>
          <w:szCs w:val="32"/>
          <w:highlight w:val="none"/>
          <w:lang w:eastAsia="zh-CN"/>
        </w:rPr>
        <w:t>《德阳市罗江区财政局关于开展2023年重点绩效评价工作的通知》（德市罗财绩〔2023〕6号）</w:t>
      </w:r>
      <w:r>
        <w:rPr>
          <w:rFonts w:hint="default" w:ascii="Times New Roman" w:hAnsi="Times New Roman" w:cs="Times New Roman"/>
          <w:color w:val="auto"/>
          <w:szCs w:val="32"/>
          <w:highlight w:val="none"/>
        </w:rPr>
        <w:t>的要求，进一步完善项目预算绩效管理，强化支出责任，提高财政资金使用效益，</w:t>
      </w:r>
      <w:r>
        <w:rPr>
          <w:rFonts w:hint="eastAsia" w:ascii="Times New Roman" w:hAnsi="Times New Roman" w:cs="Times New Roman"/>
          <w:color w:val="auto"/>
          <w:szCs w:val="32"/>
          <w:highlight w:val="none"/>
          <w:lang w:eastAsia="zh-CN"/>
        </w:rPr>
        <w:t>四川瑞政商业管理有限公司</w:t>
      </w:r>
      <w:r>
        <w:rPr>
          <w:rFonts w:hint="default" w:ascii="Times New Roman" w:hAnsi="Times New Roman" w:cs="Times New Roman"/>
          <w:color w:val="auto"/>
          <w:szCs w:val="32"/>
          <w:highlight w:val="none"/>
        </w:rPr>
        <w:t>接受</w:t>
      </w:r>
      <w:r>
        <w:rPr>
          <w:rFonts w:hint="default" w:ascii="Times New Roman" w:hAnsi="Times New Roman" w:cs="Times New Roman"/>
          <w:color w:val="auto"/>
          <w:szCs w:val="32"/>
          <w:highlight w:val="none"/>
          <w:lang w:eastAsia="zh-CN"/>
        </w:rPr>
        <w:t>德阳市罗江区财政局</w:t>
      </w:r>
      <w:r>
        <w:rPr>
          <w:rFonts w:hint="default" w:ascii="Times New Roman" w:hAnsi="Times New Roman" w:cs="Times New Roman"/>
          <w:color w:val="auto"/>
          <w:szCs w:val="32"/>
          <w:highlight w:val="none"/>
        </w:rPr>
        <w:t>的委托，对</w:t>
      </w:r>
      <w:r>
        <w:rPr>
          <w:rFonts w:hint="default" w:ascii="Times New Roman" w:hAnsi="Times New Roman" w:cs="Times New Roman"/>
          <w:color w:val="auto"/>
          <w:szCs w:val="32"/>
          <w:highlight w:val="none"/>
          <w:lang w:eastAsia="zh-CN"/>
        </w:rPr>
        <w:t>德阳市罗江区发展和改革局202</w:t>
      </w:r>
      <w:r>
        <w:rPr>
          <w:rFonts w:hint="eastAsia" w:ascii="Times New Roman" w:hAnsi="Times New Roman" w:cs="Times New Roman"/>
          <w:color w:val="auto"/>
          <w:szCs w:val="32"/>
          <w:highlight w:val="none"/>
          <w:lang w:val="en-US" w:eastAsia="zh-CN"/>
        </w:rPr>
        <w:t>2</w:t>
      </w:r>
      <w:r>
        <w:rPr>
          <w:rFonts w:hint="default" w:ascii="Times New Roman" w:hAnsi="Times New Roman" w:cs="Times New Roman"/>
          <w:color w:val="auto"/>
          <w:szCs w:val="32"/>
          <w:highlight w:val="none"/>
          <w:lang w:eastAsia="zh-CN"/>
        </w:rPr>
        <w:t>年</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lang w:eastAsia="zh-CN"/>
        </w:rPr>
        <w:t>超标稻谷费用项目</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开展</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独立、客观、公正</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的第三方绩效评价工作。</w:t>
      </w:r>
      <w:bookmarkStart w:id="1" w:name="_Toc8757"/>
    </w:p>
    <w:p>
      <w:pPr>
        <w:pageBreakBefore w:val="0"/>
        <w:kinsoku/>
        <w:wordWrap/>
        <w:overflowPunct/>
        <w:topLinePunct w:val="0"/>
        <w:autoSpaceDE/>
        <w:autoSpaceDN/>
        <w:bidi w:val="0"/>
        <w:adjustRightInd/>
        <w:snapToGrid/>
        <w:spacing w:line="580" w:lineRule="exact"/>
        <w:ind w:firstLine="640"/>
        <w:rPr>
          <w:rFonts w:hint="default" w:ascii="Times New Roman" w:hAnsi="Times New Roman" w:eastAsia="仿宋_GB2312" w:cs="Times New Roman"/>
          <w:b w:val="0"/>
          <w:color w:val="auto"/>
          <w:kern w:val="2"/>
          <w:sz w:val="32"/>
          <w:szCs w:val="40"/>
          <w:highlight w:val="none"/>
          <w:lang w:val="en-US" w:eastAsia="zh-CN" w:bidi="ar-SA"/>
        </w:rPr>
      </w:pPr>
      <w:r>
        <w:rPr>
          <w:rFonts w:hint="default" w:ascii="Times New Roman" w:hAnsi="Times New Roman" w:eastAsia="仿宋_GB2312" w:cs="Times New Roman"/>
          <w:b w:val="0"/>
          <w:color w:val="auto"/>
          <w:kern w:val="2"/>
          <w:sz w:val="32"/>
          <w:szCs w:val="40"/>
          <w:highlight w:val="none"/>
          <w:lang w:val="en-US" w:eastAsia="zh-CN" w:bidi="ar-SA"/>
        </w:rPr>
        <w:t>评价小组按照既定的评价方案和程序，对通过问卷调查、访谈、专家咨询、现场核查等方式获取的数据资料进行了综合分析，现出具以下评价意见。</w:t>
      </w:r>
      <w:bookmarkEnd w:id="1"/>
    </w:p>
    <w:p>
      <w:pPr>
        <w:pStyle w:val="2"/>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default" w:ascii="Times New Roman" w:hAnsi="Times New Roman" w:eastAsia="黑体" w:cs="Times New Roman"/>
          <w:b w:val="0"/>
          <w:bCs/>
          <w:color w:val="auto"/>
          <w:sz w:val="32"/>
          <w:szCs w:val="20"/>
          <w:highlight w:val="none"/>
        </w:rPr>
      </w:pPr>
      <w:bookmarkStart w:id="2" w:name="_Toc11366"/>
      <w:r>
        <w:rPr>
          <w:rFonts w:hint="default" w:ascii="Times New Roman" w:hAnsi="Times New Roman" w:eastAsia="黑体" w:cs="Times New Roman"/>
          <w:b w:val="0"/>
          <w:bCs/>
          <w:color w:val="auto"/>
          <w:sz w:val="32"/>
          <w:szCs w:val="20"/>
          <w:highlight w:val="none"/>
        </w:rPr>
        <w:t>一、基本情况</w:t>
      </w:r>
      <w:bookmarkEnd w:id="2"/>
    </w:p>
    <w:p>
      <w:pPr>
        <w:pStyle w:val="3"/>
        <w:pageBreakBefore w:val="0"/>
        <w:kinsoku/>
        <w:wordWrap/>
        <w:overflowPunct/>
        <w:topLinePunct w:val="0"/>
        <w:autoSpaceDE/>
        <w:autoSpaceDN/>
        <w:bidi w:val="0"/>
        <w:adjustRightInd/>
        <w:snapToGrid/>
        <w:spacing w:beforeAutospacing="0" w:afterAutospacing="0" w:line="580" w:lineRule="exact"/>
        <w:ind w:firstLine="643"/>
        <w:jc w:val="both"/>
        <w:rPr>
          <w:rFonts w:hint="default" w:ascii="Times New Roman" w:hAnsi="Times New Roman" w:eastAsia="楷体_GB2312" w:cs="Times New Roman"/>
          <w:color w:val="auto"/>
          <w:sz w:val="32"/>
          <w:szCs w:val="32"/>
          <w:highlight w:val="none"/>
          <w:lang w:val="en-US" w:eastAsia="zh-CN"/>
        </w:rPr>
      </w:pPr>
      <w:bookmarkStart w:id="3" w:name="_Toc13385"/>
      <w:r>
        <w:rPr>
          <w:rFonts w:hint="default" w:ascii="Times New Roman" w:hAnsi="Times New Roman" w:eastAsia="楷体_GB2312" w:cs="Times New Roman"/>
          <w:color w:val="auto"/>
          <w:sz w:val="32"/>
          <w:szCs w:val="32"/>
          <w:highlight w:val="none"/>
        </w:rPr>
        <w:t>（一）项目</w:t>
      </w:r>
      <w:r>
        <w:rPr>
          <w:rFonts w:hint="default" w:ascii="Times New Roman" w:hAnsi="Times New Roman" w:eastAsia="楷体_GB2312" w:cs="Times New Roman"/>
          <w:color w:val="auto"/>
          <w:sz w:val="32"/>
          <w:szCs w:val="32"/>
          <w:highlight w:val="none"/>
          <w:lang w:val="en-US" w:eastAsia="zh-CN"/>
        </w:rPr>
        <w:t>背景及依据</w:t>
      </w:r>
      <w:bookmarkEnd w:id="3"/>
    </w:p>
    <w:p>
      <w:pPr>
        <w:pStyle w:val="4"/>
        <w:pageBreakBefore w:val="0"/>
        <w:kinsoku/>
        <w:wordWrap/>
        <w:overflowPunct/>
        <w:topLinePunct w:val="0"/>
        <w:autoSpaceDE/>
        <w:autoSpaceDN/>
        <w:bidi w:val="0"/>
        <w:adjustRightInd/>
        <w:snapToGrid/>
        <w:spacing w:before="0" w:after="0" w:line="580" w:lineRule="exact"/>
        <w:ind w:firstLine="640"/>
        <w:rPr>
          <w:rFonts w:hint="default" w:ascii="Times New Roman" w:hAnsi="Times New Roman" w:cs="Times New Roman"/>
          <w:b/>
          <w:bCs w:val="0"/>
          <w:color w:val="auto"/>
          <w:szCs w:val="32"/>
          <w:highlight w:val="none"/>
        </w:rPr>
      </w:pPr>
      <w:r>
        <w:rPr>
          <w:rFonts w:hint="default" w:ascii="Times New Roman" w:hAnsi="Times New Roman" w:cs="Times New Roman"/>
          <w:b/>
          <w:bCs w:val="0"/>
          <w:color w:val="auto"/>
          <w:szCs w:val="32"/>
          <w:highlight w:val="none"/>
        </w:rPr>
        <w:t>1.项目背景</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40"/>
          <w:highlight w:val="none"/>
          <w:lang w:val="en-US" w:eastAsia="zh-CN"/>
        </w:rPr>
      </w:pPr>
      <w:r>
        <w:rPr>
          <w:rFonts w:hint="default" w:ascii="Times New Roman" w:hAnsi="Times New Roman" w:cs="Times New Roman"/>
          <w:color w:val="auto"/>
          <w:szCs w:val="40"/>
          <w:highlight w:val="none"/>
          <w:lang w:val="en-US" w:eastAsia="zh-CN"/>
        </w:rPr>
        <w:t>粮食安全始终是关系我国国民经济发展、社会稳定和国家自立的全局性重大战略问题。保障我国粮食安全，对实现</w:t>
      </w:r>
      <w:r>
        <w:rPr>
          <w:rFonts w:hint="eastAsia" w:ascii="Times New Roman" w:hAnsi="Times New Roman" w:cs="Times New Roman"/>
          <w:color w:val="auto"/>
          <w:szCs w:val="40"/>
          <w:highlight w:val="none"/>
          <w:lang w:val="en-US" w:eastAsia="zh-CN"/>
        </w:rPr>
        <w:t>全面建成小康社会</w:t>
      </w:r>
      <w:r>
        <w:rPr>
          <w:rFonts w:hint="default" w:ascii="Times New Roman" w:hAnsi="Times New Roman" w:cs="Times New Roman"/>
          <w:color w:val="auto"/>
          <w:szCs w:val="40"/>
          <w:highlight w:val="none"/>
          <w:lang w:val="en-US" w:eastAsia="zh-CN"/>
        </w:rPr>
        <w:t>的目标、构建社会主义和谐社会和推进社会主义新农村建设具有十分重要的意义。党中央、国务院始终高度重视粮食安全，把这项工作摆在</w:t>
      </w:r>
      <w:r>
        <w:rPr>
          <w:rFonts w:hint="eastAsia" w:ascii="Times New Roman" w:hAnsi="Times New Roman" w:cs="Times New Roman"/>
          <w:color w:val="auto"/>
          <w:szCs w:val="40"/>
          <w:highlight w:val="none"/>
          <w:lang w:val="en-US" w:eastAsia="zh-CN"/>
        </w:rPr>
        <w:t>突出位置</w:t>
      </w:r>
      <w:r>
        <w:rPr>
          <w:rFonts w:hint="default" w:ascii="Times New Roman" w:hAnsi="Times New Roman" w:cs="Times New Roman"/>
          <w:color w:val="auto"/>
          <w:szCs w:val="40"/>
          <w:highlight w:val="none"/>
          <w:lang w:val="en-US" w:eastAsia="zh-CN"/>
        </w:rPr>
        <w:t>。当前我国粮食安全形势总体是好的，粮食综合生产能力稳步提高，食物供给日益丰富，供需基本平衡。但我国人口众多，对粮食的需求量大，粮食安全的基础比较脆弱。</w:t>
      </w:r>
    </w:p>
    <w:p>
      <w:pPr>
        <w:spacing w:line="580" w:lineRule="exact"/>
        <w:rPr>
          <w:rFonts w:hint="default"/>
          <w:lang w:val="en-US" w:eastAsia="zh-CN"/>
        </w:rPr>
      </w:pPr>
      <w:r>
        <w:rPr>
          <w:rFonts w:hint="eastAsia"/>
          <w:lang w:val="en-US" w:eastAsia="zh-CN"/>
        </w:rPr>
        <w:t>超标稻谷收购处置是指按照《粮食流通管理条例》（国务院令</w:t>
      </w:r>
      <w:r>
        <w:rPr>
          <w:rFonts w:hint="default" w:ascii="Times New Roman" w:hAnsi="Times New Roman" w:cs="Times New Roman"/>
          <w:lang w:val="en-US" w:eastAsia="zh-CN"/>
        </w:rPr>
        <w:t>第704</w:t>
      </w:r>
      <w:r>
        <w:rPr>
          <w:rFonts w:hint="eastAsia"/>
          <w:lang w:val="en-US" w:eastAsia="zh-CN"/>
        </w:rPr>
        <w:t>号）文件中“真菌霉素、农药残留、重金属等污染物质以及其他危害人体健康的物质含量超过食品安全标准限量，粮食收购者、粮食储存企业不得作为食用用途销售出库”规定，对超标稻谷采取邀请招标的方式，遴选一家国有粮食企业作为处置企业，负责超标稻谷的贷款还贷和收购、存储和处置的行为。</w:t>
      </w:r>
    </w:p>
    <w:p>
      <w:pPr>
        <w:keepNext w:val="0"/>
        <w:keepLines w:val="0"/>
        <w:pageBreakBefore w:val="0"/>
        <w:widowControl w:val="0"/>
        <w:kinsoku/>
        <w:wordWrap/>
        <w:overflowPunct/>
        <w:topLinePunct w:val="0"/>
        <w:autoSpaceDE/>
        <w:autoSpaceDN/>
        <w:bidi w:val="0"/>
        <w:adjustRightInd/>
        <w:snapToGrid/>
        <w:spacing w:line="580" w:lineRule="exact"/>
        <w:ind w:firstLine="1040"/>
        <w:textAlignment w:val="auto"/>
        <w:rPr>
          <w:rFonts w:hint="default" w:ascii="Times New Roman" w:hAnsi="Times New Roman" w:cs="Times New Roman"/>
          <w:color w:val="auto"/>
          <w:szCs w:val="40"/>
          <w:highlight w:val="none"/>
          <w:lang w:val="en-US" w:eastAsia="zh-CN"/>
        </w:rPr>
      </w:pPr>
      <w:r>
        <w:rPr>
          <w:rFonts w:hint="default" w:ascii="Times New Roman" w:hAnsi="Times New Roman" w:cs="Times New Roman"/>
          <w:color w:val="auto"/>
          <w:szCs w:val="32"/>
          <w:highlight w:val="none"/>
          <w:lang w:val="en-US" w:eastAsia="zh-CN"/>
        </w:rPr>
        <w:t>按照四川省发展和改革委员会 四川省粮食局 四川省财政厅 四川省农业厅 四川省食品药品监督管理局 中国农业发展银行四川省分行</w:t>
      </w:r>
      <w:r>
        <w:rPr>
          <w:rFonts w:hint="eastAsia" w:ascii="Times New Roman" w:hAnsi="Times New Roman" w:cs="Times New Roman"/>
          <w:color w:val="auto"/>
          <w:szCs w:val="32"/>
          <w:highlight w:val="none"/>
          <w:lang w:val="en-US" w:eastAsia="zh-CN"/>
        </w:rPr>
        <w:t>发布的</w:t>
      </w:r>
      <w:r>
        <w:rPr>
          <w:rFonts w:hint="default" w:ascii="Times New Roman" w:hAnsi="Times New Roman" w:cs="Times New Roman"/>
          <w:color w:val="auto"/>
          <w:szCs w:val="32"/>
          <w:highlight w:val="none"/>
          <w:lang w:val="en-US" w:eastAsia="zh-CN"/>
        </w:rPr>
        <w:t>《关于印发</w:t>
      </w:r>
      <w:r>
        <w:rPr>
          <w:rFonts w:hint="eastAsia" w:ascii="仿宋_GB2312" w:hAnsi="仿宋_GB2312" w:eastAsia="仿宋_GB2312" w:cs="仿宋_GB2312"/>
          <w:color w:val="auto"/>
          <w:szCs w:val="32"/>
          <w:highlight w:val="none"/>
          <w:lang w:val="en-US" w:eastAsia="zh-CN"/>
        </w:rPr>
        <w:t>〈</w:t>
      </w:r>
      <w:r>
        <w:rPr>
          <w:rFonts w:hint="default" w:ascii="Times New Roman" w:hAnsi="Times New Roman" w:cs="Times New Roman"/>
          <w:color w:val="auto"/>
          <w:szCs w:val="32"/>
          <w:highlight w:val="none"/>
          <w:lang w:val="en-US" w:eastAsia="zh-CN"/>
        </w:rPr>
        <w:t>四川省超标稻谷收购处置实施方案</w:t>
      </w:r>
      <w:r>
        <w:rPr>
          <w:rFonts w:hint="eastAsia" w:ascii="仿宋_GB2312" w:hAnsi="仿宋_GB2312" w:eastAsia="仿宋_GB2312" w:cs="仿宋_GB2312"/>
          <w:color w:val="auto"/>
          <w:szCs w:val="32"/>
          <w:highlight w:val="none"/>
          <w:lang w:val="en-US" w:eastAsia="zh-CN"/>
        </w:rPr>
        <w:t>〉</w:t>
      </w:r>
      <w:r>
        <w:rPr>
          <w:rFonts w:hint="default" w:ascii="Times New Roman" w:hAnsi="Times New Roman" w:cs="Times New Roman"/>
          <w:color w:val="auto"/>
          <w:szCs w:val="32"/>
          <w:highlight w:val="none"/>
          <w:lang w:val="en-US" w:eastAsia="zh-CN"/>
        </w:rPr>
        <w:t>的通知》（川粮发〔2018〕2号）</w:t>
      </w:r>
      <w:r>
        <w:rPr>
          <w:rFonts w:hint="eastAsia" w:ascii="Times New Roman" w:hAnsi="Times New Roman" w:cs="Times New Roman"/>
          <w:color w:val="auto"/>
          <w:szCs w:val="32"/>
          <w:highlight w:val="none"/>
          <w:lang w:val="en-US" w:eastAsia="zh-CN"/>
        </w:rPr>
        <w:t>、德阳市罗江区人民政府办公室《关于印发〈德阳市罗江区超标稻谷收购处置实施细则〉的通知》</w:t>
      </w:r>
      <w:r>
        <w:rPr>
          <w:rFonts w:hint="default" w:ascii="Times New Roman" w:hAnsi="Times New Roman" w:cs="Times New Roman"/>
          <w:color w:val="auto"/>
          <w:szCs w:val="32"/>
          <w:highlight w:val="none"/>
          <w:lang w:val="en-US" w:eastAsia="zh-CN"/>
        </w:rPr>
        <w:t>（</w:t>
      </w:r>
      <w:r>
        <w:rPr>
          <w:rFonts w:hint="eastAsia" w:ascii="Times New Roman" w:hAnsi="Times New Roman" w:cs="Times New Roman"/>
          <w:color w:val="auto"/>
          <w:szCs w:val="32"/>
          <w:highlight w:val="none"/>
          <w:lang w:val="en-US" w:eastAsia="zh-CN"/>
        </w:rPr>
        <w:t>德市罗府办</w:t>
      </w:r>
      <w:r>
        <w:rPr>
          <w:rFonts w:hint="default" w:ascii="Times New Roman" w:hAnsi="Times New Roman" w:cs="Times New Roman"/>
          <w:color w:val="auto"/>
          <w:szCs w:val="32"/>
          <w:highlight w:val="none"/>
          <w:lang w:val="en-US" w:eastAsia="zh-CN"/>
        </w:rPr>
        <w:t>发〔2018〕</w:t>
      </w:r>
      <w:r>
        <w:rPr>
          <w:rFonts w:hint="eastAsia" w:ascii="Times New Roman" w:hAnsi="Times New Roman" w:cs="Times New Roman"/>
          <w:color w:val="auto"/>
          <w:szCs w:val="32"/>
          <w:highlight w:val="none"/>
          <w:lang w:val="en-US" w:eastAsia="zh-CN"/>
        </w:rPr>
        <w:t>103</w:t>
      </w:r>
      <w:r>
        <w:rPr>
          <w:rFonts w:hint="default" w:ascii="Times New Roman" w:hAnsi="Times New Roman" w:cs="Times New Roman"/>
          <w:color w:val="auto"/>
          <w:szCs w:val="32"/>
          <w:highlight w:val="none"/>
          <w:lang w:val="en-US" w:eastAsia="zh-CN"/>
        </w:rPr>
        <w:t>号）</w:t>
      </w:r>
      <w:r>
        <w:rPr>
          <w:rFonts w:hint="eastAsia" w:ascii="Times New Roman" w:hAnsi="Times New Roman" w:cs="Times New Roman"/>
          <w:color w:val="auto"/>
          <w:szCs w:val="32"/>
          <w:highlight w:val="none"/>
          <w:lang w:val="en-US" w:eastAsia="zh-CN"/>
        </w:rPr>
        <w:t>、德阳市罗江区人民政府办公室《关于印发</w:t>
      </w:r>
      <w:r>
        <w:rPr>
          <w:rFonts w:hint="eastAsia" w:ascii="仿宋_GB2312" w:hAnsi="仿宋_GB2312" w:eastAsia="仿宋_GB2312" w:cs="仿宋_GB2312"/>
          <w:color w:val="auto"/>
          <w:szCs w:val="32"/>
          <w:highlight w:val="none"/>
          <w:lang w:val="en-US" w:eastAsia="zh-CN"/>
        </w:rPr>
        <w:t>〈</w:t>
      </w:r>
      <w:r>
        <w:rPr>
          <w:rFonts w:hint="eastAsia" w:ascii="Times New Roman" w:hAnsi="Times New Roman" w:cs="Times New Roman"/>
          <w:color w:val="auto"/>
          <w:szCs w:val="32"/>
          <w:highlight w:val="none"/>
          <w:lang w:val="en-US" w:eastAsia="zh-CN"/>
        </w:rPr>
        <w:t>德阳市罗江区2021年超标稻谷收购工作方案</w:t>
      </w:r>
      <w:r>
        <w:rPr>
          <w:rFonts w:hint="eastAsia" w:ascii="仿宋_GB2312" w:hAnsi="仿宋_GB2312" w:eastAsia="仿宋_GB2312" w:cs="仿宋_GB2312"/>
          <w:color w:val="auto"/>
          <w:szCs w:val="32"/>
          <w:highlight w:val="none"/>
          <w:lang w:val="en-US" w:eastAsia="zh-CN"/>
        </w:rPr>
        <w:t>〉</w:t>
      </w:r>
      <w:r>
        <w:rPr>
          <w:rFonts w:hint="eastAsia" w:ascii="Times New Roman" w:hAnsi="Times New Roman" w:cs="Times New Roman"/>
          <w:color w:val="auto"/>
          <w:szCs w:val="32"/>
          <w:highlight w:val="none"/>
          <w:lang w:val="en-US" w:eastAsia="zh-CN"/>
        </w:rPr>
        <w:t>的通知》</w:t>
      </w:r>
      <w:r>
        <w:rPr>
          <w:rFonts w:hint="default" w:ascii="Times New Roman" w:hAnsi="Times New Roman" w:cs="Times New Roman"/>
          <w:color w:val="auto"/>
          <w:szCs w:val="32"/>
          <w:highlight w:val="none"/>
          <w:lang w:val="en-US" w:eastAsia="zh-CN"/>
        </w:rPr>
        <w:t>（</w:t>
      </w:r>
      <w:r>
        <w:rPr>
          <w:rFonts w:hint="eastAsia" w:ascii="Times New Roman" w:hAnsi="Times New Roman" w:cs="Times New Roman"/>
          <w:color w:val="auto"/>
          <w:szCs w:val="32"/>
          <w:highlight w:val="none"/>
          <w:lang w:val="en-US" w:eastAsia="zh-CN"/>
        </w:rPr>
        <w:t>德市罗府办发</w:t>
      </w:r>
      <w:r>
        <w:rPr>
          <w:rFonts w:hint="default" w:ascii="Times New Roman" w:hAnsi="Times New Roman" w:cs="Times New Roman"/>
          <w:color w:val="auto"/>
          <w:szCs w:val="32"/>
          <w:highlight w:val="none"/>
          <w:lang w:val="en-US" w:eastAsia="zh-CN"/>
        </w:rPr>
        <w:t>〔20</w:t>
      </w:r>
      <w:r>
        <w:rPr>
          <w:rFonts w:hint="eastAsia" w:ascii="Times New Roman" w:hAnsi="Times New Roman" w:cs="Times New Roman"/>
          <w:color w:val="auto"/>
          <w:szCs w:val="32"/>
          <w:highlight w:val="none"/>
          <w:lang w:val="en-US" w:eastAsia="zh-CN"/>
        </w:rPr>
        <w:t>21</w:t>
      </w:r>
      <w:r>
        <w:rPr>
          <w:rFonts w:hint="default" w:ascii="Times New Roman" w:hAnsi="Times New Roman" w:cs="Times New Roman"/>
          <w:color w:val="auto"/>
          <w:szCs w:val="32"/>
          <w:highlight w:val="none"/>
          <w:lang w:val="en-US" w:eastAsia="zh-CN"/>
        </w:rPr>
        <w:t>〕</w:t>
      </w:r>
      <w:r>
        <w:rPr>
          <w:rFonts w:hint="eastAsia" w:ascii="Times New Roman" w:hAnsi="Times New Roman" w:cs="Times New Roman"/>
          <w:color w:val="auto"/>
          <w:szCs w:val="32"/>
          <w:highlight w:val="none"/>
          <w:lang w:val="en-US" w:eastAsia="zh-CN"/>
        </w:rPr>
        <w:t>76</w:t>
      </w:r>
      <w:r>
        <w:rPr>
          <w:rFonts w:hint="default" w:ascii="Times New Roman" w:hAnsi="Times New Roman" w:cs="Times New Roman"/>
          <w:color w:val="auto"/>
          <w:szCs w:val="32"/>
          <w:highlight w:val="none"/>
          <w:lang w:val="en-US" w:eastAsia="zh-CN"/>
        </w:rPr>
        <w:t>号）</w:t>
      </w:r>
      <w:r>
        <w:rPr>
          <w:rFonts w:hint="eastAsia" w:ascii="Times New Roman" w:hAnsi="Times New Roman" w:cs="Times New Roman"/>
          <w:color w:val="auto"/>
          <w:szCs w:val="32"/>
          <w:highlight w:val="none"/>
          <w:lang w:val="en-US" w:eastAsia="zh-CN"/>
        </w:rPr>
        <w:t>和德阳市罗江区发展和改革局 德阳市罗江区财政局 德阳市罗江区市场监督管理局 德阳市罗江区农业农村局 中国农业发展银行德阳市分行《关于印发</w:t>
      </w:r>
      <w:r>
        <w:rPr>
          <w:rFonts w:hint="eastAsia" w:ascii="仿宋_GB2312" w:hAnsi="Calibri" w:eastAsia="仿宋_GB2312" w:cs="仿宋_GB2312"/>
          <w:kern w:val="2"/>
          <w:sz w:val="32"/>
          <w:szCs w:val="32"/>
          <w:lang w:val="en-US" w:eastAsia="zh-CN" w:bidi="ar"/>
        </w:rPr>
        <w:t>〈</w:t>
      </w:r>
      <w:r>
        <w:rPr>
          <w:rFonts w:hint="eastAsia" w:ascii="Times New Roman" w:hAnsi="Times New Roman" w:cs="Times New Roman"/>
          <w:color w:val="auto"/>
          <w:szCs w:val="32"/>
          <w:highlight w:val="none"/>
          <w:lang w:val="en-US" w:eastAsia="zh-CN"/>
        </w:rPr>
        <w:t>德阳市罗江区处置2021年超标稻谷实施方案</w:t>
      </w:r>
      <w:r>
        <w:rPr>
          <w:rFonts w:hint="eastAsia" w:ascii="仿宋_GB2312" w:hAnsi="Calibri" w:eastAsia="仿宋_GB2312" w:cs="仿宋_GB2312"/>
          <w:kern w:val="2"/>
          <w:sz w:val="32"/>
          <w:szCs w:val="32"/>
          <w:lang w:val="en-US" w:eastAsia="zh-CN" w:bidi="ar"/>
        </w:rPr>
        <w:t>〉</w:t>
      </w:r>
      <w:r>
        <w:rPr>
          <w:rFonts w:hint="eastAsia" w:ascii="Times New Roman" w:hAnsi="Times New Roman" w:cs="Times New Roman"/>
          <w:color w:val="auto"/>
          <w:szCs w:val="32"/>
          <w:highlight w:val="none"/>
          <w:lang w:val="en-US" w:eastAsia="zh-CN"/>
        </w:rPr>
        <w:t>的通知》</w:t>
      </w:r>
      <w:r>
        <w:rPr>
          <w:rFonts w:hint="default" w:ascii="Times New Roman" w:hAnsi="Times New Roman" w:cs="Times New Roman"/>
          <w:color w:val="auto"/>
          <w:szCs w:val="32"/>
          <w:highlight w:val="none"/>
          <w:lang w:val="en-US" w:eastAsia="zh-CN"/>
        </w:rPr>
        <w:t>（</w:t>
      </w:r>
      <w:r>
        <w:rPr>
          <w:rFonts w:hint="eastAsia" w:ascii="Times New Roman" w:hAnsi="Times New Roman" w:cs="Times New Roman"/>
          <w:color w:val="auto"/>
          <w:szCs w:val="32"/>
          <w:highlight w:val="none"/>
          <w:lang w:val="en-US" w:eastAsia="zh-CN"/>
        </w:rPr>
        <w:t>德市罗发改发</w:t>
      </w:r>
      <w:r>
        <w:rPr>
          <w:rFonts w:hint="default" w:ascii="Times New Roman" w:hAnsi="Times New Roman" w:cs="Times New Roman"/>
          <w:color w:val="auto"/>
          <w:szCs w:val="32"/>
          <w:highlight w:val="none"/>
          <w:lang w:val="en-US" w:eastAsia="zh-CN"/>
        </w:rPr>
        <w:t>〔20</w:t>
      </w:r>
      <w:r>
        <w:rPr>
          <w:rFonts w:hint="eastAsia" w:ascii="Times New Roman" w:hAnsi="Times New Roman" w:cs="Times New Roman"/>
          <w:color w:val="auto"/>
          <w:szCs w:val="32"/>
          <w:highlight w:val="none"/>
          <w:lang w:val="en-US" w:eastAsia="zh-CN"/>
        </w:rPr>
        <w:t>22</w:t>
      </w:r>
      <w:r>
        <w:rPr>
          <w:rFonts w:hint="default" w:ascii="Times New Roman" w:hAnsi="Times New Roman" w:cs="Times New Roman"/>
          <w:color w:val="auto"/>
          <w:szCs w:val="32"/>
          <w:highlight w:val="none"/>
          <w:lang w:val="en-US" w:eastAsia="zh-CN"/>
        </w:rPr>
        <w:t>〕</w:t>
      </w:r>
      <w:r>
        <w:rPr>
          <w:rFonts w:hint="eastAsia" w:ascii="Times New Roman" w:hAnsi="Times New Roman" w:cs="Times New Roman"/>
          <w:color w:val="auto"/>
          <w:szCs w:val="32"/>
          <w:highlight w:val="none"/>
          <w:lang w:val="en-US" w:eastAsia="zh-CN"/>
        </w:rPr>
        <w:t>16号）</w:t>
      </w:r>
      <w:r>
        <w:rPr>
          <w:rFonts w:hint="default" w:ascii="Times New Roman" w:hAnsi="Times New Roman" w:cs="Times New Roman"/>
          <w:color w:val="auto"/>
          <w:szCs w:val="40"/>
          <w:highlight w:val="none"/>
          <w:lang w:val="en-US" w:eastAsia="zh-CN"/>
        </w:rPr>
        <w:t>等文件精神</w:t>
      </w:r>
      <w:r>
        <w:rPr>
          <w:rFonts w:hint="default" w:ascii="Times New Roman" w:hAnsi="Times New Roman" w:cs="Times New Roman"/>
          <w:color w:val="auto"/>
          <w:szCs w:val="32"/>
          <w:highlight w:val="none"/>
          <w:lang w:val="en-US" w:eastAsia="zh-CN"/>
        </w:rPr>
        <w:t>，</w:t>
      </w:r>
      <w:r>
        <w:rPr>
          <w:rFonts w:hint="eastAsia" w:ascii="Times New Roman" w:hAnsi="Times New Roman" w:cs="Times New Roman"/>
          <w:color w:val="auto"/>
          <w:szCs w:val="32"/>
          <w:highlight w:val="none"/>
          <w:lang w:val="en-US" w:eastAsia="zh-CN"/>
        </w:rPr>
        <w:t>罗江区</w:t>
      </w:r>
      <w:r>
        <w:rPr>
          <w:rFonts w:hint="default" w:ascii="Times New Roman" w:hAnsi="Times New Roman" w:cs="Times New Roman"/>
          <w:color w:val="auto"/>
          <w:szCs w:val="32"/>
          <w:highlight w:val="none"/>
          <w:lang w:val="en-US" w:eastAsia="zh-CN"/>
        </w:rPr>
        <w:t>粮油收储总公司共</w:t>
      </w:r>
      <w:r>
        <w:rPr>
          <w:rFonts w:hint="eastAsia" w:ascii="Times New Roman" w:hAnsi="Times New Roman" w:cs="Times New Roman"/>
          <w:color w:val="auto"/>
          <w:szCs w:val="32"/>
          <w:highlight w:val="none"/>
          <w:lang w:val="en-US" w:eastAsia="zh-CN"/>
        </w:rPr>
        <w:t>收购2021年超标</w:t>
      </w:r>
      <w:r>
        <w:rPr>
          <w:rFonts w:hint="default" w:ascii="Times New Roman" w:hAnsi="Times New Roman" w:cs="Times New Roman"/>
          <w:color w:val="auto"/>
          <w:szCs w:val="32"/>
          <w:highlight w:val="none"/>
          <w:lang w:val="en-US" w:eastAsia="zh-CN"/>
        </w:rPr>
        <w:t>稻谷8220.006吨</w:t>
      </w:r>
      <w:r>
        <w:rPr>
          <w:rFonts w:hint="eastAsia" w:ascii="Times New Roman" w:hAnsi="Times New Roman" w:cs="Times New Roman"/>
          <w:color w:val="auto"/>
          <w:szCs w:val="32"/>
          <w:highlight w:val="none"/>
          <w:lang w:val="en-US" w:eastAsia="zh-CN"/>
        </w:rPr>
        <w:t>，其中：镉值为0.2mg/kg-0.4mg/kg的超标稻谷收购数量为</w:t>
      </w:r>
      <w:r>
        <w:rPr>
          <w:rFonts w:hint="default" w:ascii="Times New Roman" w:hAnsi="Times New Roman" w:cs="Times New Roman"/>
          <w:color w:val="auto"/>
          <w:szCs w:val="40"/>
          <w:highlight w:val="none"/>
          <w:lang w:val="en-US" w:eastAsia="zh-CN"/>
        </w:rPr>
        <w:t>4651.736</w:t>
      </w:r>
      <w:r>
        <w:rPr>
          <w:rFonts w:hint="eastAsia" w:ascii="Times New Roman" w:hAnsi="Times New Roman" w:cs="Times New Roman"/>
          <w:color w:val="auto"/>
          <w:szCs w:val="32"/>
          <w:highlight w:val="none"/>
          <w:lang w:val="en-US" w:eastAsia="zh-CN"/>
        </w:rPr>
        <w:t>吨，镉值为0.4mg/kg以上的超标稻谷</w:t>
      </w:r>
      <w:r>
        <w:rPr>
          <w:rFonts w:hint="default" w:ascii="Times New Roman" w:hAnsi="Times New Roman" w:cs="Times New Roman"/>
          <w:color w:val="auto"/>
          <w:szCs w:val="40"/>
          <w:highlight w:val="none"/>
          <w:lang w:val="en-US" w:eastAsia="zh-CN"/>
        </w:rPr>
        <w:t>3568.27</w:t>
      </w:r>
      <w:r>
        <w:rPr>
          <w:rFonts w:hint="eastAsia" w:ascii="Times New Roman" w:hAnsi="Times New Roman" w:cs="Times New Roman"/>
          <w:color w:val="auto"/>
          <w:szCs w:val="32"/>
          <w:highlight w:val="none"/>
          <w:lang w:val="en-US" w:eastAsia="zh-CN"/>
        </w:rPr>
        <w:t>吨；处置的超标稻谷</w:t>
      </w:r>
      <w:r>
        <w:rPr>
          <w:rFonts w:hint="default" w:ascii="Times New Roman" w:hAnsi="Times New Roman" w:cs="Times New Roman"/>
          <w:color w:val="auto"/>
          <w:szCs w:val="32"/>
          <w:highlight w:val="none"/>
          <w:lang w:val="en-US" w:eastAsia="zh-CN"/>
        </w:rPr>
        <w:t>8220.006吨</w:t>
      </w:r>
      <w:r>
        <w:rPr>
          <w:rFonts w:hint="eastAsia" w:ascii="Times New Roman" w:hAnsi="Times New Roman" w:cs="Times New Roman"/>
          <w:color w:val="auto"/>
          <w:szCs w:val="32"/>
          <w:highlight w:val="none"/>
          <w:lang w:val="en-US" w:eastAsia="zh-CN"/>
        </w:rPr>
        <w:t>。</w:t>
      </w:r>
      <w:r>
        <w:rPr>
          <w:rFonts w:hint="default" w:ascii="Times New Roman" w:hAnsi="Times New Roman" w:cs="Times New Roman"/>
          <w:color w:val="auto"/>
          <w:szCs w:val="40"/>
          <w:highlight w:val="none"/>
          <w:lang w:val="en-US" w:eastAsia="zh-CN"/>
        </w:rPr>
        <w:t>德阳市罗江区发展和改革局</w:t>
      </w:r>
      <w:r>
        <w:rPr>
          <w:rFonts w:hint="eastAsia" w:ascii="Times New Roman" w:hAnsi="Times New Roman" w:cs="Times New Roman"/>
          <w:color w:val="auto"/>
          <w:szCs w:val="40"/>
          <w:highlight w:val="none"/>
          <w:lang w:val="en-US" w:eastAsia="zh-CN"/>
        </w:rPr>
        <w:t>“</w:t>
      </w:r>
      <w:r>
        <w:rPr>
          <w:rFonts w:hint="default" w:ascii="Times New Roman" w:hAnsi="Times New Roman" w:cs="Times New Roman"/>
          <w:color w:val="auto"/>
          <w:szCs w:val="32"/>
          <w:highlight w:val="none"/>
          <w:lang w:eastAsia="zh-CN"/>
        </w:rPr>
        <w:t>超标稻谷费用项目</w:t>
      </w:r>
      <w:r>
        <w:rPr>
          <w:rFonts w:hint="eastAsia" w:ascii="Times New Roman" w:hAnsi="Times New Roman" w:cs="Times New Roman"/>
          <w:color w:val="auto"/>
          <w:szCs w:val="40"/>
          <w:highlight w:val="none"/>
          <w:lang w:val="en-US" w:eastAsia="zh-CN"/>
        </w:rPr>
        <w:t>”</w:t>
      </w:r>
      <w:r>
        <w:rPr>
          <w:rFonts w:hint="default" w:ascii="Times New Roman" w:hAnsi="Times New Roman" w:cs="Times New Roman"/>
          <w:color w:val="auto"/>
          <w:szCs w:val="40"/>
          <w:highlight w:val="none"/>
          <w:lang w:val="en-US" w:eastAsia="zh-CN"/>
        </w:rPr>
        <w:t>经费主要用于上述</w:t>
      </w:r>
      <w:r>
        <w:rPr>
          <w:rFonts w:hint="eastAsia" w:ascii="Times New Roman" w:hAnsi="Times New Roman" w:cs="Times New Roman"/>
          <w:color w:val="auto"/>
          <w:szCs w:val="40"/>
          <w:highlight w:val="none"/>
          <w:lang w:val="en-US" w:eastAsia="zh-CN"/>
        </w:rPr>
        <w:t>超标稻谷收购处置</w:t>
      </w:r>
      <w:r>
        <w:rPr>
          <w:rFonts w:hint="default" w:ascii="Times New Roman" w:hAnsi="Times New Roman" w:cs="Times New Roman"/>
          <w:color w:val="auto"/>
          <w:szCs w:val="40"/>
          <w:highlight w:val="none"/>
          <w:lang w:val="en-US" w:eastAsia="zh-CN"/>
        </w:rPr>
        <w:t>的</w:t>
      </w:r>
      <w:r>
        <w:rPr>
          <w:rFonts w:hint="eastAsia" w:ascii="Times New Roman" w:hAnsi="Times New Roman" w:cs="Times New Roman"/>
          <w:color w:val="auto"/>
          <w:szCs w:val="40"/>
          <w:highlight w:val="none"/>
          <w:lang w:val="en-US" w:eastAsia="zh-CN"/>
        </w:rPr>
        <w:t>价差亏损、利息、收购费、保管费、监管费、出库费、检验费</w:t>
      </w:r>
      <w:r>
        <w:rPr>
          <w:rFonts w:hint="default" w:ascii="Times New Roman" w:hAnsi="Times New Roman" w:cs="Times New Roman"/>
          <w:color w:val="auto"/>
          <w:szCs w:val="40"/>
          <w:highlight w:val="none"/>
          <w:lang w:val="en-US" w:eastAsia="zh-CN"/>
        </w:rPr>
        <w:t>等支出。</w:t>
      </w:r>
    </w:p>
    <w:p>
      <w:pPr>
        <w:pStyle w:val="4"/>
        <w:pageBreakBefore w:val="0"/>
        <w:kinsoku/>
        <w:wordWrap/>
        <w:overflowPunct/>
        <w:topLinePunct w:val="0"/>
        <w:autoSpaceDE/>
        <w:autoSpaceDN/>
        <w:bidi w:val="0"/>
        <w:adjustRightInd/>
        <w:snapToGrid/>
        <w:spacing w:before="0" w:after="0" w:line="580" w:lineRule="exact"/>
        <w:ind w:firstLine="640"/>
        <w:rPr>
          <w:rFonts w:hint="default" w:ascii="Times New Roman" w:hAnsi="Times New Roman" w:eastAsia="仿宋_GB2312" w:cs="Times New Roman"/>
          <w:b/>
          <w:bCs w:val="0"/>
          <w:color w:val="auto"/>
          <w:szCs w:val="32"/>
          <w:highlight w:val="none"/>
          <w:lang w:val="en-US" w:eastAsia="zh-CN"/>
        </w:rPr>
      </w:pPr>
      <w:r>
        <w:rPr>
          <w:rFonts w:hint="default" w:ascii="Times New Roman" w:hAnsi="Times New Roman" w:cs="Times New Roman"/>
          <w:b/>
          <w:bCs w:val="0"/>
          <w:color w:val="auto"/>
          <w:szCs w:val="32"/>
          <w:highlight w:val="none"/>
          <w:lang w:val="en-US" w:eastAsia="zh-CN"/>
        </w:rPr>
        <w:t>2.</w:t>
      </w:r>
      <w:r>
        <w:rPr>
          <w:rFonts w:hint="default" w:ascii="Times New Roman" w:hAnsi="Times New Roman" w:cs="Times New Roman"/>
          <w:b/>
          <w:bCs w:val="0"/>
          <w:color w:val="auto"/>
          <w:szCs w:val="32"/>
          <w:highlight w:val="none"/>
        </w:rPr>
        <w:t>立项依据</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40"/>
          <w:highlight w:val="none"/>
        </w:rPr>
      </w:pPr>
      <w:r>
        <w:rPr>
          <w:rFonts w:hint="default" w:ascii="Times New Roman" w:hAnsi="Times New Roman" w:cs="Times New Roman"/>
          <w:color w:val="auto"/>
          <w:szCs w:val="40"/>
          <w:highlight w:val="none"/>
        </w:rPr>
        <w:t>评价小组结合</w:t>
      </w:r>
      <w:r>
        <w:rPr>
          <w:rFonts w:hint="default" w:ascii="Times New Roman" w:hAnsi="Times New Roman" w:cs="Times New Roman"/>
          <w:color w:val="auto"/>
          <w:szCs w:val="40"/>
          <w:highlight w:val="none"/>
          <w:lang w:eastAsia="zh-CN"/>
        </w:rPr>
        <w:t>德阳市罗江区发展和改革局</w:t>
      </w:r>
      <w:r>
        <w:rPr>
          <w:rFonts w:hint="default" w:ascii="Times New Roman" w:hAnsi="Times New Roman" w:cs="Times New Roman"/>
          <w:color w:val="auto"/>
          <w:szCs w:val="40"/>
          <w:highlight w:val="none"/>
        </w:rPr>
        <w:t>职能职责，对项目单位提供的工作通知、工作计划等项目相关立项依据资料进行了收集、整理和分析，符合本项目特征和管理要求的立项依据如下：</w:t>
      </w:r>
    </w:p>
    <w:p>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default" w:ascii="Times New Roman" w:hAnsi="Times New Roman" w:eastAsia="仿宋_GB2312" w:cs="Times New Roman"/>
          <w:b/>
          <w:bCs/>
          <w:color w:val="auto"/>
          <w:sz w:val="28"/>
          <w:szCs w:val="28"/>
          <w:highlight w:val="none"/>
        </w:rPr>
      </w:pPr>
      <w:r>
        <w:rPr>
          <w:rFonts w:hint="default" w:ascii="Times New Roman" w:hAnsi="Times New Roman" w:eastAsia="仿宋_GB2312" w:cs="Times New Roman"/>
          <w:b/>
          <w:bCs/>
          <w:color w:val="auto"/>
          <w:sz w:val="28"/>
          <w:szCs w:val="28"/>
          <w:highlight w:val="none"/>
        </w:rPr>
        <w:t>表1-1 项目立项依据清单</w:t>
      </w:r>
    </w:p>
    <w:tbl>
      <w:tblPr>
        <w:tblStyle w:val="16"/>
        <w:tblW w:w="5000" w:type="pct"/>
        <w:tblInd w:w="0" w:type="dxa"/>
        <w:tblLayout w:type="fixed"/>
        <w:tblCellMar>
          <w:top w:w="0" w:type="dxa"/>
          <w:left w:w="0" w:type="dxa"/>
          <w:bottom w:w="0" w:type="dxa"/>
          <w:right w:w="0" w:type="dxa"/>
        </w:tblCellMar>
      </w:tblPr>
      <w:tblGrid>
        <w:gridCol w:w="550"/>
        <w:gridCol w:w="8325"/>
      </w:tblGrid>
      <w:tr>
        <w:tblPrEx>
          <w:tblCellMar>
            <w:top w:w="0" w:type="dxa"/>
            <w:left w:w="0" w:type="dxa"/>
            <w:bottom w:w="0" w:type="dxa"/>
            <w:right w:w="0" w:type="dxa"/>
          </w:tblCellMar>
        </w:tblPrEx>
        <w:trPr>
          <w:trHeight w:val="285"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
                <w:color w:val="auto"/>
                <w:sz w:val="24"/>
                <w:highlight w:val="none"/>
              </w:rPr>
            </w:pPr>
            <w:r>
              <w:rPr>
                <w:rFonts w:hint="default" w:ascii="Times New Roman" w:hAnsi="Times New Roman" w:cs="Times New Roman"/>
                <w:b/>
                <w:color w:val="auto"/>
                <w:kern w:val="0"/>
                <w:sz w:val="24"/>
                <w:highlight w:val="none"/>
                <w:lang w:bidi="ar"/>
              </w:rPr>
              <w:t>序号</w:t>
            </w:r>
          </w:p>
        </w:tc>
        <w:tc>
          <w:tcPr>
            <w:tcW w:w="469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
                <w:color w:val="auto"/>
                <w:sz w:val="24"/>
                <w:highlight w:val="none"/>
              </w:rPr>
            </w:pPr>
            <w:r>
              <w:rPr>
                <w:rFonts w:hint="default" w:ascii="Times New Roman" w:hAnsi="Times New Roman" w:cs="Times New Roman"/>
                <w:b/>
                <w:color w:val="auto"/>
                <w:kern w:val="0"/>
                <w:sz w:val="24"/>
                <w:highlight w:val="none"/>
                <w:lang w:bidi="ar"/>
              </w:rPr>
              <w:t>文件名称</w:t>
            </w:r>
          </w:p>
        </w:tc>
      </w:tr>
      <w:tr>
        <w:tblPrEx>
          <w:tblCellMar>
            <w:top w:w="0" w:type="dxa"/>
            <w:left w:w="0" w:type="dxa"/>
            <w:bottom w:w="0" w:type="dxa"/>
            <w:right w:w="0" w:type="dxa"/>
          </w:tblCellMar>
        </w:tblPrEx>
        <w:trPr>
          <w:trHeight w:val="285"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b/>
                <w:color w:val="auto"/>
                <w:kern w:val="0"/>
                <w:sz w:val="24"/>
                <w:highlight w:val="none"/>
                <w:lang w:val="en-US" w:eastAsia="zh-CN" w:bidi="ar"/>
              </w:rPr>
            </w:pPr>
            <w:r>
              <w:rPr>
                <w:rFonts w:hint="eastAsia" w:ascii="Times New Roman" w:hAnsi="Times New Roman" w:cs="Times New Roman"/>
                <w:b/>
                <w:color w:val="auto"/>
                <w:kern w:val="0"/>
                <w:sz w:val="24"/>
                <w:highlight w:val="none"/>
                <w:lang w:val="en-US" w:eastAsia="zh-CN" w:bidi="ar"/>
              </w:rPr>
              <w:t>1</w:t>
            </w:r>
          </w:p>
        </w:tc>
        <w:tc>
          <w:tcPr>
            <w:tcW w:w="469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color w:val="auto"/>
                <w:kern w:val="0"/>
                <w:sz w:val="24"/>
                <w:highlight w:val="none"/>
                <w:lang w:bidi="ar"/>
              </w:rPr>
            </w:pPr>
            <w:r>
              <w:rPr>
                <w:rFonts w:hint="eastAsia" w:ascii="Times New Roman" w:hAnsi="Times New Roman" w:cs="Times New Roman"/>
                <w:color w:val="auto"/>
                <w:sz w:val="24"/>
                <w:highlight w:val="none"/>
                <w:lang w:val="en-US" w:eastAsia="zh-CN"/>
              </w:rPr>
              <w:t>四川省发展和改革委员会 四川省粮食局 四川省财政厅 四川省农业厅 四川省食品药品监督管理局 中国农业发展银行四川省分行文件《关于印发〈四川省超标稻谷收购处置实施方案〉的通知》</w:t>
            </w:r>
            <w:r>
              <w:rPr>
                <w:rFonts w:hint="default" w:ascii="Times New Roman" w:hAnsi="Times New Roman" w:eastAsia="仿宋_GB2312" w:cs="Times New Roman"/>
                <w:color w:val="auto"/>
                <w:sz w:val="24"/>
                <w:highlight w:val="none"/>
                <w:lang w:val="en-US" w:eastAsia="zh-CN"/>
              </w:rPr>
              <w:t>（</w:t>
            </w:r>
            <w:r>
              <w:rPr>
                <w:rFonts w:hint="eastAsia" w:ascii="Times New Roman" w:hAnsi="Times New Roman" w:cs="Times New Roman"/>
                <w:color w:val="auto"/>
                <w:sz w:val="24"/>
                <w:highlight w:val="none"/>
                <w:lang w:val="en-US" w:eastAsia="zh-CN"/>
              </w:rPr>
              <w:t>川粮发</w:t>
            </w:r>
            <w:r>
              <w:rPr>
                <w:rFonts w:hint="default" w:ascii="Times New Roman" w:hAnsi="Times New Roman" w:eastAsia="仿宋_GB2312" w:cs="Times New Roman"/>
                <w:color w:val="auto"/>
                <w:sz w:val="24"/>
                <w:highlight w:val="none"/>
                <w:lang w:val="en-US" w:eastAsia="zh-CN"/>
              </w:rPr>
              <w:t>〔20</w:t>
            </w:r>
            <w:r>
              <w:rPr>
                <w:rFonts w:hint="eastAsia" w:ascii="Times New Roman" w:hAnsi="Times New Roman" w:cs="Times New Roman"/>
                <w:color w:val="auto"/>
                <w:sz w:val="24"/>
                <w:highlight w:val="none"/>
                <w:lang w:val="en-US" w:eastAsia="zh-CN"/>
              </w:rPr>
              <w:t>18</w:t>
            </w:r>
            <w:r>
              <w:rPr>
                <w:rFonts w:hint="default" w:ascii="Times New Roman" w:hAnsi="Times New Roman" w:eastAsia="仿宋_GB2312" w:cs="Times New Roman"/>
                <w:color w:val="auto"/>
                <w:sz w:val="24"/>
                <w:highlight w:val="none"/>
                <w:lang w:val="en-US" w:eastAsia="zh-CN"/>
              </w:rPr>
              <w:t>〕</w:t>
            </w:r>
            <w:r>
              <w:rPr>
                <w:rFonts w:hint="eastAsia" w:ascii="Times New Roman" w:hAnsi="Times New Roman" w:cs="Times New Roman"/>
                <w:color w:val="auto"/>
                <w:sz w:val="24"/>
                <w:highlight w:val="none"/>
                <w:lang w:val="en-US" w:eastAsia="zh-CN"/>
              </w:rPr>
              <w:t>2</w:t>
            </w:r>
            <w:r>
              <w:rPr>
                <w:rFonts w:hint="default" w:ascii="Times New Roman" w:hAnsi="Times New Roman" w:eastAsia="仿宋_GB2312" w:cs="Times New Roman"/>
                <w:color w:val="auto"/>
                <w:sz w:val="24"/>
                <w:highlight w:val="none"/>
                <w:lang w:val="en-US" w:eastAsia="zh-CN"/>
              </w:rPr>
              <w:t>号）</w:t>
            </w:r>
          </w:p>
        </w:tc>
      </w:tr>
      <w:tr>
        <w:tblPrEx>
          <w:tblCellMar>
            <w:top w:w="0" w:type="dxa"/>
            <w:left w:w="0" w:type="dxa"/>
            <w:bottom w:w="0" w:type="dxa"/>
            <w:right w:w="0" w:type="dxa"/>
          </w:tblCellMar>
        </w:tblPrEx>
        <w:trPr>
          <w:trHeight w:val="285"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color w:val="auto"/>
                <w:sz w:val="24"/>
                <w:highlight w:val="none"/>
                <w:lang w:eastAsia="zh-CN"/>
              </w:rPr>
            </w:pPr>
            <w:r>
              <w:rPr>
                <w:rFonts w:hint="eastAsia" w:ascii="Times New Roman" w:hAnsi="Times New Roman" w:cs="Times New Roman"/>
                <w:color w:val="auto"/>
                <w:kern w:val="0"/>
                <w:sz w:val="24"/>
                <w:highlight w:val="none"/>
                <w:lang w:val="en-US" w:eastAsia="zh-CN" w:bidi="ar"/>
              </w:rPr>
              <w:t>2</w:t>
            </w:r>
          </w:p>
        </w:tc>
        <w:tc>
          <w:tcPr>
            <w:tcW w:w="469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德阳市罗江区发展和改革局 德阳市罗江区财政局 德阳市罗江区市场监督管理局 德阳市罗江区农业农村局 中国农业发展银行德阳市分行《关于印发〈德阳市罗江区处置2021年超标稻谷实施方案〉的通知》（德市罗发改发〔2022〕16号）</w:t>
            </w:r>
          </w:p>
        </w:tc>
      </w:tr>
      <w:tr>
        <w:tblPrEx>
          <w:tblCellMar>
            <w:top w:w="0" w:type="dxa"/>
            <w:left w:w="0" w:type="dxa"/>
            <w:bottom w:w="0" w:type="dxa"/>
            <w:right w:w="0" w:type="dxa"/>
          </w:tblCellMar>
        </w:tblPrEx>
        <w:trPr>
          <w:trHeight w:val="285"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color w:val="auto"/>
                <w:kern w:val="0"/>
                <w:sz w:val="24"/>
                <w:highlight w:val="none"/>
                <w:lang w:val="en-US" w:eastAsia="zh-CN" w:bidi="ar"/>
              </w:rPr>
            </w:pPr>
            <w:r>
              <w:rPr>
                <w:rFonts w:hint="eastAsia" w:ascii="Times New Roman" w:hAnsi="Times New Roman" w:cs="Times New Roman"/>
                <w:color w:val="auto"/>
                <w:kern w:val="0"/>
                <w:sz w:val="24"/>
                <w:highlight w:val="none"/>
                <w:lang w:val="en-US" w:eastAsia="zh-CN" w:bidi="ar"/>
              </w:rPr>
              <w:t>3</w:t>
            </w:r>
          </w:p>
        </w:tc>
        <w:tc>
          <w:tcPr>
            <w:tcW w:w="469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德阳市罗江区人民政府办公室《关于印发〈德阳市罗江区2021年超标稻谷收购工作方案〉的通知》（德市罗府办发〔2021〕76号）</w:t>
            </w:r>
          </w:p>
        </w:tc>
      </w:tr>
      <w:tr>
        <w:tblPrEx>
          <w:tblCellMar>
            <w:top w:w="0" w:type="dxa"/>
            <w:left w:w="0" w:type="dxa"/>
            <w:bottom w:w="0" w:type="dxa"/>
            <w:right w:w="0" w:type="dxa"/>
          </w:tblCellMar>
        </w:tblPrEx>
        <w:trPr>
          <w:trHeight w:val="90"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color w:val="auto"/>
                <w:sz w:val="24"/>
                <w:highlight w:val="none"/>
                <w:lang w:eastAsia="zh-CN"/>
              </w:rPr>
            </w:pPr>
            <w:r>
              <w:rPr>
                <w:rFonts w:hint="eastAsia" w:ascii="Times New Roman" w:hAnsi="Times New Roman" w:cs="Times New Roman"/>
                <w:color w:val="auto"/>
                <w:kern w:val="0"/>
                <w:sz w:val="24"/>
                <w:highlight w:val="none"/>
                <w:lang w:val="en-US" w:eastAsia="zh-CN" w:bidi="ar"/>
              </w:rPr>
              <w:t>4</w:t>
            </w:r>
          </w:p>
        </w:tc>
        <w:tc>
          <w:tcPr>
            <w:tcW w:w="469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德阳市罗江区人民政府办公室《关于印发〈德阳市罗江区超标稻谷收购处置实施细则〉的通知》（德市罗府办发〔2018〕103号）</w:t>
            </w:r>
          </w:p>
        </w:tc>
      </w:tr>
    </w:tbl>
    <w:p>
      <w:pPr>
        <w:pStyle w:val="3"/>
        <w:keepNext w:val="0"/>
        <w:keepLines w:val="0"/>
        <w:pageBreakBefore w:val="0"/>
        <w:widowControl w:val="0"/>
        <w:kinsoku/>
        <w:wordWrap/>
        <w:overflowPunct/>
        <w:topLinePunct w:val="0"/>
        <w:autoSpaceDE/>
        <w:autoSpaceDN/>
        <w:bidi w:val="0"/>
        <w:adjustRightInd/>
        <w:snapToGrid/>
        <w:spacing w:before="313" w:beforeLines="100" w:beforeAutospacing="0" w:afterAutospacing="0" w:line="580" w:lineRule="exact"/>
        <w:ind w:firstLine="643"/>
        <w:jc w:val="both"/>
        <w:textAlignment w:val="auto"/>
        <w:rPr>
          <w:rFonts w:hint="default" w:ascii="Times New Roman" w:hAnsi="Times New Roman" w:eastAsia="楷体_GB2312" w:cs="Times New Roman"/>
          <w:color w:val="auto"/>
          <w:sz w:val="32"/>
          <w:szCs w:val="32"/>
          <w:highlight w:val="none"/>
          <w:lang w:val="en-US" w:eastAsia="zh-CN"/>
        </w:rPr>
      </w:pPr>
      <w:bookmarkStart w:id="4" w:name="_Toc11023"/>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二）项目参与主体职能职责</w:t>
      </w:r>
      <w:bookmarkEnd w:id="4"/>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Cs w:val="32"/>
          <w:highlight w:val="none"/>
        </w:rPr>
      </w:pPr>
      <w:r>
        <w:rPr>
          <w:rFonts w:hint="default" w:ascii="Times New Roman" w:hAnsi="Times New Roman" w:eastAsia="仿宋_GB2312" w:cs="Times New Roman"/>
          <w:color w:val="auto"/>
          <w:szCs w:val="32"/>
          <w:lang w:eastAsia="zh-CN"/>
        </w:rPr>
        <w:t>202</w:t>
      </w:r>
      <w:r>
        <w:rPr>
          <w:rFonts w:hint="default" w:ascii="Times New Roman" w:hAnsi="Times New Roman" w:eastAsia="仿宋_GB2312" w:cs="Times New Roman"/>
          <w:color w:val="auto"/>
          <w:szCs w:val="32"/>
          <w:lang w:val="en-US" w:eastAsia="zh-CN"/>
        </w:rPr>
        <w:t>2</w:t>
      </w:r>
      <w:r>
        <w:rPr>
          <w:rFonts w:hint="default" w:ascii="Times New Roman" w:hAnsi="Times New Roman" w:eastAsia="仿宋_GB2312" w:cs="Times New Roman"/>
          <w:color w:val="auto"/>
          <w:szCs w:val="32"/>
          <w:lang w:eastAsia="zh-CN"/>
        </w:rPr>
        <w:t>年德阳市罗江区发展和改革局</w:t>
      </w:r>
      <w:r>
        <w:rPr>
          <w:rFonts w:hint="eastAsia" w:ascii="Times New Roman" w:hAnsi="Times New Roman" w:cs="Times New Roman"/>
          <w:color w:val="auto"/>
          <w:szCs w:val="32"/>
          <w:lang w:eastAsia="zh-CN"/>
        </w:rPr>
        <w:t>“</w:t>
      </w:r>
      <w:r>
        <w:rPr>
          <w:rFonts w:hint="default" w:ascii="Times New Roman" w:hAnsi="Times New Roman" w:eastAsia="仿宋_GB2312" w:cs="Times New Roman"/>
          <w:color w:val="auto"/>
          <w:szCs w:val="32"/>
          <w:highlight w:val="none"/>
          <w:lang w:eastAsia="zh-CN"/>
        </w:rPr>
        <w:t>超标稻谷费用项目</w:t>
      </w:r>
      <w:r>
        <w:rPr>
          <w:rFonts w:hint="eastAsia" w:ascii="Times New Roman" w:hAnsi="Times New Roman" w:cs="Times New Roman"/>
          <w:color w:val="auto"/>
          <w:szCs w:val="32"/>
          <w:lang w:eastAsia="zh-CN"/>
        </w:rPr>
        <w:t>”</w:t>
      </w:r>
      <w:r>
        <w:rPr>
          <w:rFonts w:hint="default" w:ascii="Times New Roman" w:hAnsi="Times New Roman" w:eastAsia="仿宋_GB2312" w:cs="Times New Roman"/>
          <w:color w:val="auto"/>
          <w:szCs w:val="32"/>
        </w:rPr>
        <w:t>参与主体主要包括</w:t>
      </w:r>
      <w:r>
        <w:rPr>
          <w:rFonts w:hint="default" w:ascii="Times New Roman" w:hAnsi="Times New Roman" w:eastAsia="仿宋_GB2312" w:cs="Times New Roman"/>
          <w:color w:val="auto"/>
          <w:szCs w:val="32"/>
          <w:lang w:val="en-US" w:eastAsia="zh-CN"/>
        </w:rPr>
        <w:t>罗江区人民政府、</w:t>
      </w:r>
      <w:r>
        <w:rPr>
          <w:rFonts w:hint="default" w:ascii="Times New Roman" w:hAnsi="Times New Roman" w:eastAsia="仿宋_GB2312" w:cs="Times New Roman"/>
          <w:color w:val="auto"/>
          <w:szCs w:val="32"/>
          <w:lang w:eastAsia="zh-CN"/>
        </w:rPr>
        <w:t>德阳市罗江区财政局</w:t>
      </w:r>
      <w:r>
        <w:rPr>
          <w:rFonts w:hint="default" w:ascii="Times New Roman" w:hAnsi="Times New Roman" w:eastAsia="仿宋_GB2312" w:cs="Times New Roman"/>
          <w:color w:val="auto"/>
          <w:szCs w:val="32"/>
          <w:lang w:val="en-US" w:eastAsia="zh-CN"/>
        </w:rPr>
        <w:t>、</w:t>
      </w:r>
      <w:r>
        <w:rPr>
          <w:rFonts w:hint="default" w:ascii="Times New Roman" w:hAnsi="Times New Roman" w:eastAsia="仿宋_GB2312" w:cs="Times New Roman"/>
          <w:color w:val="auto"/>
          <w:szCs w:val="32"/>
          <w:lang w:eastAsia="zh-CN"/>
        </w:rPr>
        <w:t>德阳市罗江区发展和改革局</w:t>
      </w:r>
      <w:r>
        <w:rPr>
          <w:rFonts w:hint="default" w:ascii="Times New Roman" w:hAnsi="Times New Roman" w:eastAsia="仿宋_GB2312" w:cs="Times New Roman"/>
          <w:color w:val="auto"/>
          <w:szCs w:val="32"/>
          <w:highlight w:val="none"/>
          <w:lang w:val="en-US" w:eastAsia="zh-CN"/>
        </w:rPr>
        <w:t>、农发行德阳市分行、罗江区农业农村局、罗江区市场监管局</w:t>
      </w:r>
      <w:r>
        <w:rPr>
          <w:rFonts w:hint="eastAsia" w:ascii="Times New Roman" w:hAnsi="Times New Roman" w:cs="Times New Roman"/>
          <w:color w:val="auto"/>
          <w:szCs w:val="32"/>
          <w:highlight w:val="none"/>
          <w:lang w:val="en-US" w:eastAsia="zh-CN"/>
        </w:rPr>
        <w:t>、罗江区</w:t>
      </w:r>
      <w:r>
        <w:rPr>
          <w:rFonts w:hint="default" w:ascii="Times New Roman" w:hAnsi="Times New Roman" w:eastAsia="仿宋_GB2312" w:cs="Times New Roman"/>
          <w:color w:val="auto"/>
          <w:szCs w:val="32"/>
          <w:highlight w:val="none"/>
          <w:lang w:val="en-US" w:eastAsia="zh-CN"/>
        </w:rPr>
        <w:t>粮油收储总公司等。</w:t>
      </w:r>
      <w:r>
        <w:rPr>
          <w:rFonts w:hint="default" w:ascii="Times New Roman" w:hAnsi="Times New Roman" w:eastAsia="仿宋_GB2312" w:cs="Times New Roman"/>
          <w:color w:val="auto"/>
          <w:szCs w:val="32"/>
          <w:highlight w:val="none"/>
        </w:rPr>
        <w:t>各参与主体承担的主要职能职责如下：</w:t>
      </w:r>
    </w:p>
    <w:p>
      <w:pPr>
        <w:pStyle w:val="15"/>
        <w:keepNext w:val="0"/>
        <w:keepLines w:val="0"/>
        <w:pageBreakBefore w:val="0"/>
        <w:widowControl w:val="0"/>
        <w:kinsoku/>
        <w:wordWrap/>
        <w:overflowPunct/>
        <w:topLinePunct w:val="0"/>
        <w:autoSpaceDE/>
        <w:autoSpaceDN/>
        <w:bidi w:val="0"/>
        <w:adjustRightInd/>
        <w:snapToGrid/>
        <w:spacing w:after="0" w:line="580" w:lineRule="exact"/>
        <w:ind w:firstLine="640" w:firstLineChars="200"/>
        <w:textAlignment w:val="auto"/>
        <w:rPr>
          <w:rFonts w:hint="default" w:ascii="Times New Roman" w:hAnsi="Times New Roman" w:eastAsia="仿宋_GB2312" w:cs="Times New Roman"/>
          <w:color w:val="auto"/>
          <w:szCs w:val="32"/>
          <w:highlight w:val="none"/>
        </w:rPr>
      </w:pPr>
      <w:r>
        <w:rPr>
          <w:rFonts w:hint="default" w:ascii="Times New Roman" w:hAnsi="Times New Roman" w:eastAsia="仿宋_GB2312" w:cs="Times New Roman"/>
          <w:color w:val="auto"/>
          <w:szCs w:val="32"/>
          <w:highlight w:val="none"/>
          <w:lang w:val="en-US" w:eastAsia="zh-CN"/>
        </w:rPr>
        <w:t>罗江</w:t>
      </w:r>
      <w:r>
        <w:rPr>
          <w:rFonts w:hint="default" w:ascii="Times New Roman" w:hAnsi="Times New Roman" w:eastAsia="仿宋_GB2312" w:cs="Times New Roman"/>
          <w:color w:val="auto"/>
          <w:szCs w:val="32"/>
          <w:highlight w:val="none"/>
        </w:rPr>
        <w:t>区</w:t>
      </w:r>
      <w:r>
        <w:rPr>
          <w:rFonts w:hint="eastAsia" w:ascii="Times New Roman" w:hAnsi="Times New Roman" w:cs="Times New Roman"/>
          <w:color w:val="auto"/>
          <w:szCs w:val="32"/>
          <w:highlight w:val="none"/>
          <w:lang w:val="en-US" w:eastAsia="zh-CN"/>
        </w:rPr>
        <w:t>人民</w:t>
      </w:r>
      <w:r>
        <w:rPr>
          <w:rFonts w:hint="default" w:ascii="Times New Roman" w:hAnsi="Times New Roman" w:eastAsia="仿宋_GB2312" w:cs="Times New Roman"/>
          <w:color w:val="auto"/>
          <w:szCs w:val="32"/>
          <w:highlight w:val="none"/>
        </w:rPr>
        <w:t>政府负责辖区内超标稻谷处置监管的领导、</w:t>
      </w:r>
      <w:r>
        <w:rPr>
          <w:rFonts w:hint="default" w:ascii="Times New Roman" w:hAnsi="Times New Roman" w:eastAsia="仿宋_GB2312" w:cs="Times New Roman"/>
          <w:color w:val="auto"/>
          <w:szCs w:val="32"/>
          <w:highlight w:val="none"/>
          <w:lang w:val="en-US" w:eastAsia="zh-CN"/>
        </w:rPr>
        <w:t>监管</w:t>
      </w:r>
      <w:r>
        <w:rPr>
          <w:rFonts w:hint="default" w:ascii="Times New Roman" w:hAnsi="Times New Roman" w:eastAsia="仿宋_GB2312" w:cs="Times New Roman"/>
          <w:color w:val="auto"/>
          <w:szCs w:val="32"/>
          <w:highlight w:val="none"/>
        </w:rPr>
        <w:t>和</w:t>
      </w:r>
      <w:r>
        <w:rPr>
          <w:rFonts w:hint="eastAsia" w:ascii="Times New Roman" w:hAnsi="Times New Roman" w:cs="Times New Roman"/>
          <w:color w:val="auto"/>
          <w:szCs w:val="32"/>
          <w:highlight w:val="none"/>
          <w:lang w:eastAsia="zh-CN"/>
        </w:rPr>
        <w:t>舆情</w:t>
      </w:r>
      <w:r>
        <w:rPr>
          <w:rFonts w:hint="default" w:ascii="Times New Roman" w:hAnsi="Times New Roman" w:eastAsia="仿宋_GB2312" w:cs="Times New Roman"/>
          <w:color w:val="auto"/>
          <w:szCs w:val="32"/>
          <w:highlight w:val="none"/>
        </w:rPr>
        <w:t>监控工作。</w:t>
      </w:r>
    </w:p>
    <w:p>
      <w:pPr>
        <w:pStyle w:val="15"/>
        <w:keepNext w:val="0"/>
        <w:keepLines w:val="0"/>
        <w:pageBreakBefore w:val="0"/>
        <w:widowControl w:val="0"/>
        <w:kinsoku/>
        <w:wordWrap/>
        <w:overflowPunct/>
        <w:topLinePunct w:val="0"/>
        <w:autoSpaceDE/>
        <w:autoSpaceDN/>
        <w:bidi w:val="0"/>
        <w:adjustRightInd/>
        <w:snapToGrid/>
        <w:spacing w:after="0" w:line="580" w:lineRule="exact"/>
        <w:ind w:firstLine="640" w:firstLineChars="200"/>
        <w:textAlignment w:val="auto"/>
        <w:rPr>
          <w:rFonts w:hint="default" w:ascii="Times New Roman" w:hAnsi="Times New Roman" w:eastAsia="仿宋_GB2312" w:cs="Times New Roman"/>
          <w:color w:val="auto"/>
          <w:szCs w:val="32"/>
          <w:highlight w:val="none"/>
        </w:rPr>
      </w:pPr>
      <w:r>
        <w:rPr>
          <w:rFonts w:hint="default" w:ascii="Times New Roman" w:hAnsi="Times New Roman" w:eastAsia="仿宋_GB2312" w:cs="Times New Roman"/>
          <w:color w:val="auto"/>
          <w:szCs w:val="32"/>
          <w:lang w:eastAsia="zh-CN"/>
        </w:rPr>
        <w:t>德阳市罗江</w:t>
      </w:r>
      <w:r>
        <w:rPr>
          <w:rFonts w:hint="default" w:ascii="Times New Roman" w:hAnsi="Times New Roman" w:eastAsia="仿宋_GB2312" w:cs="Times New Roman"/>
          <w:color w:val="auto"/>
          <w:szCs w:val="32"/>
          <w:highlight w:val="none"/>
        </w:rPr>
        <w:t>区发改局负责超标稻谷处置监管的综合协调工作</w:t>
      </w:r>
      <w:r>
        <w:rPr>
          <w:rFonts w:hint="eastAsia" w:ascii="Times New Roman" w:hAnsi="Times New Roman" w:cs="Times New Roman"/>
          <w:color w:val="auto"/>
          <w:szCs w:val="32"/>
          <w:highlight w:val="none"/>
          <w:lang w:eastAsia="zh-CN"/>
        </w:rPr>
        <w:t>；</w:t>
      </w:r>
      <w:r>
        <w:rPr>
          <w:rFonts w:hint="default" w:ascii="Times New Roman" w:hAnsi="Times New Roman" w:eastAsia="仿宋_GB2312" w:cs="Times New Roman"/>
          <w:color w:val="auto"/>
          <w:szCs w:val="32"/>
          <w:highlight w:val="none"/>
        </w:rPr>
        <w:t>负责对粮食</w:t>
      </w:r>
      <w:r>
        <w:rPr>
          <w:rFonts w:hint="default" w:ascii="Times New Roman" w:hAnsi="Times New Roman" w:eastAsia="仿宋_GB2312" w:cs="Times New Roman"/>
          <w:color w:val="auto"/>
          <w:szCs w:val="32"/>
          <w:highlight w:val="none"/>
          <w:lang w:val="en-US" w:eastAsia="zh-CN"/>
        </w:rPr>
        <w:t>储存</w:t>
      </w:r>
      <w:r>
        <w:rPr>
          <w:rFonts w:hint="default" w:ascii="Times New Roman" w:hAnsi="Times New Roman" w:eastAsia="仿宋_GB2312" w:cs="Times New Roman"/>
          <w:color w:val="auto"/>
          <w:szCs w:val="32"/>
          <w:highlight w:val="none"/>
        </w:rPr>
        <w:t>、销售、出库、</w:t>
      </w:r>
      <w:r>
        <w:rPr>
          <w:rFonts w:hint="eastAsia" w:ascii="Times New Roman" w:hAnsi="Times New Roman" w:cs="Times New Roman"/>
          <w:color w:val="auto"/>
          <w:szCs w:val="32"/>
          <w:highlight w:val="none"/>
          <w:lang w:eastAsia="zh-CN"/>
        </w:rPr>
        <w:t>运输</w:t>
      </w:r>
      <w:r>
        <w:rPr>
          <w:rFonts w:hint="default" w:ascii="Times New Roman" w:hAnsi="Times New Roman" w:eastAsia="仿宋_GB2312" w:cs="Times New Roman"/>
          <w:color w:val="auto"/>
          <w:szCs w:val="32"/>
          <w:highlight w:val="none"/>
        </w:rPr>
        <w:t>及运输后的存放等环节进行监售。</w:t>
      </w:r>
    </w:p>
    <w:p>
      <w:pPr>
        <w:pStyle w:val="15"/>
        <w:keepNext w:val="0"/>
        <w:keepLines w:val="0"/>
        <w:pageBreakBefore w:val="0"/>
        <w:widowControl w:val="0"/>
        <w:kinsoku/>
        <w:wordWrap/>
        <w:overflowPunct/>
        <w:topLinePunct w:val="0"/>
        <w:autoSpaceDE/>
        <w:autoSpaceDN/>
        <w:bidi w:val="0"/>
        <w:adjustRightInd/>
        <w:snapToGrid/>
        <w:spacing w:after="0" w:line="580" w:lineRule="exact"/>
        <w:ind w:firstLine="640" w:firstLineChars="200"/>
        <w:textAlignment w:val="auto"/>
        <w:rPr>
          <w:rFonts w:hint="default" w:ascii="Times New Roman" w:hAnsi="Times New Roman" w:eastAsia="仿宋_GB2312" w:cs="Times New Roman"/>
          <w:color w:val="auto"/>
          <w:szCs w:val="32"/>
          <w:highlight w:val="none"/>
        </w:rPr>
      </w:pPr>
      <w:r>
        <w:rPr>
          <w:rFonts w:hint="default" w:ascii="Times New Roman" w:hAnsi="Times New Roman" w:eastAsia="仿宋_GB2312" w:cs="Times New Roman"/>
          <w:color w:val="auto"/>
          <w:szCs w:val="32"/>
          <w:lang w:eastAsia="zh-CN"/>
        </w:rPr>
        <w:t>德阳市罗江</w:t>
      </w:r>
      <w:r>
        <w:rPr>
          <w:rFonts w:hint="default" w:ascii="Times New Roman" w:hAnsi="Times New Roman" w:eastAsia="仿宋_GB2312" w:cs="Times New Roman"/>
          <w:color w:val="auto"/>
          <w:szCs w:val="32"/>
          <w:highlight w:val="none"/>
        </w:rPr>
        <w:t>区财政局负责费用补贴、价差亏损的审核、拨付工作。</w:t>
      </w:r>
    </w:p>
    <w:p>
      <w:pPr>
        <w:pStyle w:val="15"/>
        <w:keepNext w:val="0"/>
        <w:keepLines w:val="0"/>
        <w:pageBreakBefore w:val="0"/>
        <w:widowControl w:val="0"/>
        <w:kinsoku/>
        <w:wordWrap/>
        <w:overflowPunct/>
        <w:topLinePunct w:val="0"/>
        <w:autoSpaceDE/>
        <w:autoSpaceDN/>
        <w:bidi w:val="0"/>
        <w:adjustRightInd/>
        <w:snapToGrid/>
        <w:spacing w:after="0" w:line="580" w:lineRule="exact"/>
        <w:ind w:firstLine="640" w:firstLineChars="200"/>
        <w:textAlignment w:val="auto"/>
        <w:rPr>
          <w:rFonts w:hint="default" w:ascii="Times New Roman" w:hAnsi="Times New Roman" w:eastAsia="仿宋_GB2312" w:cs="Times New Roman"/>
          <w:color w:val="auto"/>
          <w:szCs w:val="32"/>
          <w:highlight w:val="none"/>
        </w:rPr>
      </w:pPr>
      <w:r>
        <w:rPr>
          <w:rFonts w:hint="default" w:ascii="Times New Roman" w:hAnsi="Times New Roman" w:eastAsia="仿宋_GB2312" w:cs="Times New Roman"/>
          <w:color w:val="auto"/>
          <w:szCs w:val="32"/>
          <w:lang w:eastAsia="zh-CN"/>
        </w:rPr>
        <w:t>德阳市罗江</w:t>
      </w:r>
      <w:r>
        <w:rPr>
          <w:rFonts w:hint="default" w:ascii="Times New Roman" w:hAnsi="Times New Roman" w:eastAsia="仿宋_GB2312" w:cs="Times New Roman"/>
          <w:color w:val="auto"/>
          <w:szCs w:val="32"/>
          <w:highlight w:val="none"/>
        </w:rPr>
        <w:t>区农业农村局负责督促指导饲料生产企业按饲料质量安全生产规范进行生产，负责饲料加工企业粮食入库后的原粮在存放、使用等环节的监管工作。</w:t>
      </w:r>
    </w:p>
    <w:p>
      <w:pPr>
        <w:pStyle w:val="15"/>
        <w:keepNext w:val="0"/>
        <w:keepLines w:val="0"/>
        <w:pageBreakBefore w:val="0"/>
        <w:widowControl w:val="0"/>
        <w:kinsoku/>
        <w:wordWrap/>
        <w:overflowPunct/>
        <w:topLinePunct w:val="0"/>
        <w:autoSpaceDE/>
        <w:autoSpaceDN/>
        <w:bidi w:val="0"/>
        <w:adjustRightInd/>
        <w:snapToGrid/>
        <w:spacing w:after="0" w:line="580" w:lineRule="exact"/>
        <w:ind w:firstLine="640" w:firstLineChars="200"/>
        <w:textAlignment w:val="auto"/>
        <w:rPr>
          <w:rFonts w:hint="default" w:ascii="Times New Roman" w:hAnsi="Times New Roman" w:eastAsia="仿宋_GB2312" w:cs="Times New Roman"/>
          <w:color w:val="auto"/>
          <w:szCs w:val="32"/>
          <w:highlight w:val="none"/>
        </w:rPr>
      </w:pPr>
      <w:r>
        <w:rPr>
          <w:rFonts w:hint="default" w:ascii="Times New Roman" w:hAnsi="Times New Roman" w:eastAsia="仿宋_GB2312" w:cs="Times New Roman"/>
          <w:color w:val="auto"/>
          <w:szCs w:val="32"/>
          <w:lang w:eastAsia="zh-CN"/>
        </w:rPr>
        <w:t>德阳市罗江区</w:t>
      </w:r>
      <w:r>
        <w:rPr>
          <w:rFonts w:hint="default" w:ascii="Times New Roman" w:hAnsi="Times New Roman" w:eastAsia="仿宋_GB2312" w:cs="Times New Roman"/>
          <w:color w:val="auto"/>
          <w:szCs w:val="32"/>
          <w:highlight w:val="none"/>
        </w:rPr>
        <w:t>市场监管局负责对粮食加工生产企业的监督检查，严禁超标稻谷</w:t>
      </w:r>
      <w:r>
        <w:rPr>
          <w:rFonts w:hint="default" w:ascii="Times New Roman" w:hAnsi="Times New Roman" w:eastAsia="仿宋_GB2312" w:cs="Times New Roman"/>
          <w:color w:val="auto"/>
          <w:szCs w:val="32"/>
          <w:highlight w:val="none"/>
          <w:lang w:val="en-US" w:eastAsia="zh-CN"/>
        </w:rPr>
        <w:t>流入</w:t>
      </w:r>
      <w:r>
        <w:rPr>
          <w:rFonts w:hint="default" w:ascii="Times New Roman" w:hAnsi="Times New Roman" w:eastAsia="仿宋_GB2312" w:cs="Times New Roman"/>
          <w:color w:val="auto"/>
          <w:szCs w:val="32"/>
          <w:highlight w:val="none"/>
        </w:rPr>
        <w:t>口粮市场，对非法流入口粮市场、加工生产的行为严厉查处，涉嫌犯罪的移交公安机关。</w:t>
      </w:r>
    </w:p>
    <w:p>
      <w:pPr>
        <w:pStyle w:val="15"/>
        <w:keepNext w:val="0"/>
        <w:keepLines w:val="0"/>
        <w:pageBreakBefore w:val="0"/>
        <w:widowControl w:val="0"/>
        <w:kinsoku/>
        <w:wordWrap/>
        <w:overflowPunct/>
        <w:topLinePunct w:val="0"/>
        <w:autoSpaceDE/>
        <w:autoSpaceDN/>
        <w:bidi w:val="0"/>
        <w:adjustRightInd/>
        <w:snapToGrid/>
        <w:spacing w:after="0" w:line="580" w:lineRule="exact"/>
        <w:ind w:firstLine="640" w:firstLineChars="200"/>
        <w:textAlignment w:val="auto"/>
        <w:rPr>
          <w:rFonts w:hint="default" w:ascii="Times New Roman" w:hAnsi="Times New Roman" w:eastAsia="仿宋_GB2312" w:cs="Times New Roman"/>
          <w:color w:val="auto"/>
          <w:szCs w:val="32"/>
          <w:highlight w:val="none"/>
        </w:rPr>
      </w:pPr>
      <w:r>
        <w:rPr>
          <w:rFonts w:hint="default" w:ascii="Times New Roman" w:hAnsi="Times New Roman" w:eastAsia="仿宋_GB2312" w:cs="Times New Roman"/>
          <w:color w:val="auto"/>
          <w:szCs w:val="32"/>
          <w:highlight w:val="none"/>
        </w:rPr>
        <w:t>农发行德阳市分行负责粮食销售货款回笼环节的监管，按规定办理贷款本息收回工作。</w:t>
      </w:r>
    </w:p>
    <w:p>
      <w:pPr>
        <w:pStyle w:val="15"/>
        <w:keepNext w:val="0"/>
        <w:keepLines w:val="0"/>
        <w:pageBreakBefore w:val="0"/>
        <w:widowControl w:val="0"/>
        <w:kinsoku/>
        <w:wordWrap/>
        <w:overflowPunct/>
        <w:topLinePunct w:val="0"/>
        <w:autoSpaceDE/>
        <w:autoSpaceDN/>
        <w:bidi w:val="0"/>
        <w:adjustRightInd/>
        <w:snapToGrid/>
        <w:spacing w:after="0" w:line="580" w:lineRule="exact"/>
        <w:ind w:firstLine="640" w:firstLineChars="200"/>
        <w:textAlignment w:val="auto"/>
        <w:rPr>
          <w:rFonts w:hint="default" w:ascii="Times New Roman" w:hAnsi="Times New Roman" w:eastAsia="仿宋_GB2312"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承贷处置企业除了严格按本规定遵守执行、接受相关部门的监督，还要负责对销售的粮食的出库、存放、处理等环节的跟踪管理。</w:t>
      </w:r>
    </w:p>
    <w:p>
      <w:pPr>
        <w:pStyle w:val="3"/>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3"/>
        <w:jc w:val="both"/>
        <w:textAlignment w:val="auto"/>
        <w:rPr>
          <w:rFonts w:hint="default" w:ascii="Times New Roman" w:hAnsi="Times New Roman" w:eastAsia="楷体_GB2312" w:cs="Times New Roman"/>
          <w:color w:val="auto"/>
          <w:sz w:val="32"/>
          <w:szCs w:val="32"/>
          <w:highlight w:val="none"/>
        </w:rPr>
      </w:pPr>
      <w:bookmarkStart w:id="5" w:name="_Toc28764"/>
      <w:r>
        <w:rPr>
          <w:rFonts w:hint="default" w:ascii="Times New Roman" w:hAnsi="Times New Roman" w:eastAsia="楷体_GB2312" w:cs="Times New Roman"/>
          <w:color w:val="auto"/>
          <w:sz w:val="32"/>
          <w:szCs w:val="32"/>
          <w:highlight w:val="none"/>
        </w:rPr>
        <w:t>（</w:t>
      </w:r>
      <w:r>
        <w:rPr>
          <w:rFonts w:hint="default" w:ascii="Times New Roman" w:hAnsi="Times New Roman" w:eastAsia="楷体_GB2312" w:cs="Times New Roman"/>
          <w:color w:val="auto"/>
          <w:sz w:val="32"/>
          <w:szCs w:val="32"/>
          <w:highlight w:val="none"/>
          <w:lang w:val="en-US" w:eastAsia="zh-CN"/>
        </w:rPr>
        <w:t>三</w:t>
      </w:r>
      <w:r>
        <w:rPr>
          <w:rFonts w:hint="default" w:ascii="Times New Roman" w:hAnsi="Times New Roman" w:eastAsia="楷体_GB2312" w:cs="Times New Roman"/>
          <w:color w:val="auto"/>
          <w:sz w:val="32"/>
          <w:szCs w:val="32"/>
          <w:highlight w:val="none"/>
        </w:rPr>
        <w:t>）项目绩效目标</w:t>
      </w:r>
      <w:bookmarkEnd w:id="5"/>
    </w:p>
    <w:p>
      <w:pPr>
        <w:pStyle w:val="4"/>
        <w:pageBreakBefore w:val="0"/>
        <w:kinsoku/>
        <w:wordWrap/>
        <w:overflowPunct/>
        <w:topLinePunct w:val="0"/>
        <w:autoSpaceDE/>
        <w:autoSpaceDN/>
        <w:bidi w:val="0"/>
        <w:adjustRightInd/>
        <w:snapToGrid/>
        <w:spacing w:before="0" w:after="0" w:line="580" w:lineRule="exact"/>
        <w:ind w:firstLine="640"/>
        <w:rPr>
          <w:rFonts w:hint="default" w:ascii="Times New Roman" w:hAnsi="Times New Roman" w:cs="Times New Roman"/>
          <w:b/>
          <w:bCs w:val="0"/>
          <w:color w:val="auto"/>
          <w:szCs w:val="32"/>
          <w:highlight w:val="none"/>
        </w:rPr>
      </w:pPr>
      <w:r>
        <w:rPr>
          <w:rFonts w:hint="default" w:ascii="Times New Roman" w:hAnsi="Times New Roman" w:cs="Times New Roman"/>
          <w:b/>
          <w:bCs w:val="0"/>
          <w:color w:val="auto"/>
          <w:szCs w:val="32"/>
          <w:highlight w:val="none"/>
        </w:rPr>
        <w:t>1.项目总目标</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在规定时间内，按照粮食安全党政同责和食品安全党政同责的要求，</w:t>
      </w:r>
      <w:r>
        <w:rPr>
          <w:rFonts w:hint="eastAsia" w:ascii="Times New Roman" w:hAnsi="Times New Roman" w:cs="Times New Roman"/>
          <w:color w:val="auto"/>
          <w:sz w:val="32"/>
          <w:szCs w:val="32"/>
          <w:highlight w:val="none"/>
          <w:lang w:val="en-US" w:eastAsia="zh-CN"/>
        </w:rPr>
        <w:t>根据超标稻谷收购价格的规定，</w:t>
      </w:r>
      <w:r>
        <w:rPr>
          <w:rFonts w:hint="default" w:ascii="Times New Roman" w:hAnsi="Times New Roman" w:eastAsia="仿宋_GB2312" w:cs="Times New Roman"/>
          <w:color w:val="auto"/>
          <w:sz w:val="32"/>
          <w:szCs w:val="32"/>
          <w:highlight w:val="none"/>
          <w:lang w:val="en-US" w:eastAsia="zh-CN"/>
        </w:rPr>
        <w:t>及时完成</w:t>
      </w:r>
      <w:r>
        <w:rPr>
          <w:rFonts w:hint="eastAsia" w:ascii="Times New Roman" w:hAnsi="Times New Roman" w:cs="Times New Roman"/>
          <w:color w:val="auto"/>
          <w:sz w:val="32"/>
          <w:szCs w:val="32"/>
          <w:highlight w:val="none"/>
          <w:lang w:val="en-US" w:eastAsia="zh-CN"/>
        </w:rPr>
        <w:t>4500</w:t>
      </w:r>
      <w:r>
        <w:rPr>
          <w:rFonts w:hint="default" w:ascii="Times New Roman" w:hAnsi="Times New Roman" w:eastAsia="仿宋_GB2312" w:cs="Times New Roman"/>
          <w:color w:val="auto"/>
          <w:sz w:val="32"/>
          <w:szCs w:val="32"/>
          <w:highlight w:val="none"/>
          <w:lang w:val="en-US" w:eastAsia="zh-CN"/>
        </w:rPr>
        <w:t>吨</w:t>
      </w:r>
      <w:r>
        <w:rPr>
          <w:rFonts w:hint="eastAsia" w:ascii="Times New Roman" w:hAnsi="Times New Roman" w:cs="Times New Roman"/>
          <w:color w:val="auto"/>
          <w:sz w:val="32"/>
          <w:szCs w:val="32"/>
          <w:highlight w:val="none"/>
          <w:lang w:val="en-US" w:eastAsia="zh-CN"/>
        </w:rPr>
        <w:t>以上镉值</w:t>
      </w:r>
      <w:r>
        <w:rPr>
          <w:rFonts w:hint="default" w:ascii="Times New Roman" w:hAnsi="Times New Roman" w:eastAsia="仿宋_GB2312" w:cs="Times New Roman"/>
          <w:color w:val="auto"/>
          <w:sz w:val="32"/>
          <w:szCs w:val="32"/>
          <w:highlight w:val="none"/>
          <w:lang w:val="en-US" w:eastAsia="zh-CN"/>
        </w:rPr>
        <w:t>为0.2mg/kg-0.4mg/kg的超标稻谷和</w:t>
      </w:r>
      <w:r>
        <w:rPr>
          <w:rFonts w:hint="eastAsia" w:ascii="Times New Roman" w:hAnsi="Times New Roman" w:cs="Times New Roman"/>
          <w:color w:val="auto"/>
          <w:sz w:val="32"/>
          <w:szCs w:val="32"/>
          <w:highlight w:val="none"/>
          <w:lang w:val="en-US" w:eastAsia="zh-CN"/>
        </w:rPr>
        <w:t>3500</w:t>
      </w:r>
      <w:r>
        <w:rPr>
          <w:rFonts w:hint="default" w:ascii="Times New Roman" w:hAnsi="Times New Roman" w:eastAsia="仿宋_GB2312" w:cs="Times New Roman"/>
          <w:color w:val="auto"/>
          <w:sz w:val="32"/>
          <w:szCs w:val="32"/>
          <w:highlight w:val="none"/>
          <w:lang w:val="en-US" w:eastAsia="zh-CN"/>
        </w:rPr>
        <w:t>吨</w:t>
      </w:r>
      <w:r>
        <w:rPr>
          <w:rFonts w:hint="eastAsia" w:ascii="Times New Roman" w:hAnsi="Times New Roman" w:cs="Times New Roman"/>
          <w:color w:val="auto"/>
          <w:sz w:val="32"/>
          <w:szCs w:val="32"/>
          <w:highlight w:val="none"/>
          <w:lang w:val="en-US" w:eastAsia="zh-CN"/>
        </w:rPr>
        <w:t>以上镉值</w:t>
      </w:r>
      <w:r>
        <w:rPr>
          <w:rFonts w:hint="default" w:ascii="Times New Roman" w:hAnsi="Times New Roman" w:eastAsia="仿宋_GB2312" w:cs="Times New Roman"/>
          <w:color w:val="auto"/>
          <w:sz w:val="32"/>
          <w:szCs w:val="32"/>
          <w:highlight w:val="none"/>
          <w:lang w:val="en-US" w:eastAsia="zh-CN"/>
        </w:rPr>
        <w:t>为0.4mg/kg以上的超标稻谷的收购与处置</w:t>
      </w:r>
      <w:r>
        <w:rPr>
          <w:rFonts w:hint="eastAsia" w:ascii="Times New Roman" w:hAnsi="Times New Roman" w:cs="Times New Roman"/>
          <w:color w:val="auto"/>
          <w:sz w:val="32"/>
          <w:szCs w:val="32"/>
          <w:highlight w:val="none"/>
          <w:lang w:val="en-US" w:eastAsia="zh-CN"/>
        </w:rPr>
        <w:t>任务，保障农民种粮的利益，防范超标稻谷流入口粮市场的风险，保障安全用粮，使人民群众对本项目实施的综合满意度较高</w:t>
      </w:r>
      <w:r>
        <w:rPr>
          <w:rFonts w:hint="default" w:ascii="Times New Roman" w:hAnsi="Times New Roman" w:eastAsia="仿宋_GB2312" w:cs="Times New Roman"/>
          <w:color w:val="auto"/>
          <w:sz w:val="32"/>
          <w:szCs w:val="32"/>
          <w:highlight w:val="none"/>
          <w:lang w:val="en-US" w:eastAsia="zh-CN"/>
        </w:rPr>
        <w:t>。</w:t>
      </w:r>
    </w:p>
    <w:p>
      <w:pPr>
        <w:pStyle w:val="4"/>
        <w:pageBreakBefore w:val="0"/>
        <w:kinsoku/>
        <w:wordWrap/>
        <w:overflowPunct/>
        <w:topLinePunct w:val="0"/>
        <w:autoSpaceDE/>
        <w:autoSpaceDN/>
        <w:bidi w:val="0"/>
        <w:adjustRightInd/>
        <w:snapToGrid/>
        <w:spacing w:before="0" w:after="0" w:line="580" w:lineRule="exact"/>
        <w:ind w:firstLine="640"/>
        <w:rPr>
          <w:rFonts w:hint="default" w:ascii="Times New Roman" w:hAnsi="Times New Roman" w:cs="Times New Roman"/>
          <w:b/>
          <w:bCs w:val="0"/>
          <w:color w:val="auto"/>
          <w:szCs w:val="32"/>
          <w:highlight w:val="none"/>
        </w:rPr>
      </w:pPr>
      <w:r>
        <w:rPr>
          <w:rFonts w:hint="default" w:ascii="Times New Roman" w:hAnsi="Times New Roman" w:cs="Times New Roman"/>
          <w:b/>
          <w:bCs w:val="0"/>
          <w:color w:val="auto"/>
          <w:szCs w:val="32"/>
          <w:highlight w:val="none"/>
        </w:rPr>
        <w:t>2.年度绩效目标及指标分解</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color w:val="auto"/>
          <w:szCs w:val="32"/>
          <w:highlight w:val="none"/>
        </w:rPr>
      </w:pPr>
      <w:r>
        <w:rPr>
          <w:rFonts w:hint="default" w:ascii="Times New Roman" w:hAnsi="Times New Roman" w:eastAsia="仿宋_GB2312" w:cs="Times New Roman"/>
          <w:color w:val="auto"/>
          <w:szCs w:val="32"/>
          <w:highlight w:val="none"/>
        </w:rPr>
        <w:t>绩效评价小组对项目相关材料进行了梳理、分析和充分讨论，对本项目应当达到的产出（数量、质量、时效、成本）和效益（社会效益、满意度、可持续影响力）指标进行了细化分解，具体如下：</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color w:val="auto"/>
          <w:szCs w:val="32"/>
          <w:highlight w:val="none"/>
        </w:rPr>
      </w:pPr>
    </w:p>
    <w:p>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rPr>
        <w:t>表1-</w:t>
      </w:r>
      <w:r>
        <w:rPr>
          <w:rFonts w:hint="default" w:ascii="Times New Roman" w:hAnsi="Times New Roman" w:cs="Times New Roman"/>
          <w:b/>
          <w:bCs/>
          <w:color w:val="auto"/>
          <w:sz w:val="28"/>
          <w:szCs w:val="28"/>
          <w:highlight w:val="none"/>
          <w:lang w:val="en-US" w:eastAsia="zh-CN"/>
        </w:rPr>
        <w:t>2</w:t>
      </w:r>
      <w:r>
        <w:rPr>
          <w:rFonts w:hint="default" w:ascii="Times New Roman" w:hAnsi="Times New Roman" w:cs="Times New Roman"/>
          <w:b/>
          <w:bCs/>
          <w:color w:val="auto"/>
          <w:sz w:val="28"/>
          <w:szCs w:val="28"/>
          <w:highlight w:val="none"/>
        </w:rPr>
        <w:t xml:space="preserve"> 项目年度绩效目标分解表</w:t>
      </w:r>
    </w:p>
    <w:tbl>
      <w:tblPr>
        <w:tblStyle w:val="16"/>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269"/>
        <w:gridCol w:w="1139"/>
        <w:gridCol w:w="3317"/>
        <w:gridCol w:w="1603"/>
        <w:gridCol w:w="15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blHeader/>
        </w:trPr>
        <w:tc>
          <w:tcPr>
            <w:tcW w:w="715" w:type="pct"/>
            <w:tcBorders>
              <w:tl2br w:val="nil"/>
              <w:tr2bl w:val="nil"/>
            </w:tcBorders>
            <w:shd w:val="clear" w:color="auto" w:fill="auto"/>
            <w:noWrap/>
            <w:tcMar>
              <w:top w:w="15" w:type="dxa"/>
              <w:left w:w="15" w:type="dxa"/>
              <w:right w:w="1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一级指标</w:t>
            </w:r>
          </w:p>
        </w:tc>
        <w:tc>
          <w:tcPr>
            <w:tcW w:w="642" w:type="pct"/>
            <w:tcBorders>
              <w:tl2br w:val="nil"/>
              <w:tr2bl w:val="nil"/>
            </w:tcBorders>
            <w:shd w:val="clear" w:color="auto" w:fill="auto"/>
            <w:noWrap/>
            <w:tcMar>
              <w:top w:w="15" w:type="dxa"/>
              <w:left w:w="15" w:type="dxa"/>
              <w:right w:w="1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二级指标</w:t>
            </w:r>
          </w:p>
        </w:tc>
        <w:tc>
          <w:tcPr>
            <w:tcW w:w="1869" w:type="pct"/>
            <w:tcBorders>
              <w:tl2br w:val="nil"/>
              <w:tr2bl w:val="nil"/>
            </w:tcBorders>
            <w:shd w:val="clear" w:color="auto" w:fill="auto"/>
            <w:noWrap/>
            <w:tcMar>
              <w:top w:w="15" w:type="dxa"/>
              <w:left w:w="15" w:type="dxa"/>
              <w:right w:w="1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三级指标</w:t>
            </w:r>
          </w:p>
        </w:tc>
        <w:tc>
          <w:tcPr>
            <w:tcW w:w="903" w:type="pct"/>
            <w:tcBorders>
              <w:tl2br w:val="nil"/>
              <w:tr2bl w:val="nil"/>
            </w:tcBorders>
            <w:shd w:val="clear" w:color="auto" w:fill="auto"/>
            <w:noWrap/>
            <w:tcMar>
              <w:top w:w="15" w:type="dxa"/>
              <w:left w:w="15" w:type="dxa"/>
              <w:right w:w="1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指标值</w:t>
            </w:r>
          </w:p>
        </w:tc>
        <w:tc>
          <w:tcPr>
            <w:tcW w:w="86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指标值来源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15" w:type="pct"/>
            <w:vMerge w:val="restar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kern w:val="0"/>
                <w:sz w:val="24"/>
                <w:highlight w:val="none"/>
                <w:lang w:bidi="ar"/>
              </w:rPr>
              <w:t>产出</w:t>
            </w:r>
            <w:r>
              <w:rPr>
                <w:rFonts w:hint="default" w:ascii="Times New Roman" w:hAnsi="Times New Roman" w:cs="Times New Roman"/>
                <w:color w:val="auto"/>
                <w:kern w:val="0"/>
                <w:sz w:val="24"/>
                <w:highlight w:val="none"/>
                <w:lang w:val="en-US" w:eastAsia="zh-CN" w:bidi="ar"/>
              </w:rPr>
              <w:t>指标</w:t>
            </w:r>
          </w:p>
        </w:tc>
        <w:tc>
          <w:tcPr>
            <w:tcW w:w="642" w:type="pct"/>
            <w:vMerge w:val="restar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kern w:val="0"/>
                <w:sz w:val="24"/>
                <w:highlight w:val="none"/>
                <w:lang w:bidi="ar"/>
              </w:rPr>
              <w:t>数量</w:t>
            </w:r>
            <w:r>
              <w:rPr>
                <w:rFonts w:hint="eastAsia" w:ascii="Times New Roman" w:hAnsi="Times New Roman" w:cs="Times New Roman"/>
                <w:color w:val="auto"/>
                <w:kern w:val="0"/>
                <w:sz w:val="24"/>
                <w:highlight w:val="none"/>
                <w:lang w:val="en-US" w:eastAsia="zh-CN" w:bidi="ar"/>
              </w:rPr>
              <w:t>指标</w:t>
            </w:r>
          </w:p>
        </w:tc>
        <w:tc>
          <w:tcPr>
            <w:tcW w:w="1869" w:type="pct"/>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新产超标稻谷收购数量</w:t>
            </w:r>
          </w:p>
        </w:tc>
        <w:tc>
          <w:tcPr>
            <w:tcW w:w="903"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≥8000吨</w:t>
            </w:r>
          </w:p>
        </w:tc>
        <w:tc>
          <w:tcPr>
            <w:tcW w:w="86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15" w:type="pct"/>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kern w:val="0"/>
                <w:sz w:val="24"/>
                <w:highlight w:val="none"/>
                <w:lang w:bidi="ar"/>
              </w:rPr>
            </w:pPr>
          </w:p>
        </w:tc>
        <w:tc>
          <w:tcPr>
            <w:tcW w:w="642" w:type="pct"/>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kern w:val="0"/>
                <w:sz w:val="24"/>
                <w:highlight w:val="none"/>
                <w:lang w:bidi="ar"/>
              </w:rPr>
            </w:pPr>
          </w:p>
        </w:tc>
        <w:tc>
          <w:tcPr>
            <w:tcW w:w="1869" w:type="pct"/>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镉值为0.2mg/kg-0.4mg/kg的超标稻谷收购数量</w:t>
            </w:r>
          </w:p>
        </w:tc>
        <w:tc>
          <w:tcPr>
            <w:tcW w:w="903"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≥4500吨</w:t>
            </w:r>
          </w:p>
        </w:tc>
        <w:tc>
          <w:tcPr>
            <w:tcW w:w="86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15" w:type="pct"/>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kern w:val="0"/>
                <w:sz w:val="24"/>
                <w:highlight w:val="none"/>
                <w:lang w:bidi="ar"/>
              </w:rPr>
            </w:pPr>
          </w:p>
        </w:tc>
        <w:tc>
          <w:tcPr>
            <w:tcW w:w="642" w:type="pct"/>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kern w:val="0"/>
                <w:sz w:val="24"/>
                <w:highlight w:val="none"/>
                <w:lang w:bidi="ar"/>
              </w:rPr>
            </w:pPr>
          </w:p>
        </w:tc>
        <w:tc>
          <w:tcPr>
            <w:tcW w:w="1869" w:type="pct"/>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镉值为0.4mg/kg以上的超标稻谷收购数量</w:t>
            </w:r>
          </w:p>
        </w:tc>
        <w:tc>
          <w:tcPr>
            <w:tcW w:w="903"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≥3500吨</w:t>
            </w:r>
          </w:p>
        </w:tc>
        <w:tc>
          <w:tcPr>
            <w:tcW w:w="86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715" w:type="pct"/>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jc w:val="center"/>
              <w:textAlignment w:val="auto"/>
              <w:rPr>
                <w:rFonts w:hint="default" w:ascii="Times New Roman" w:hAnsi="Times New Roman" w:cs="Times New Roman"/>
                <w:color w:val="auto"/>
                <w:sz w:val="24"/>
                <w:highlight w:val="none"/>
              </w:rPr>
            </w:pPr>
          </w:p>
        </w:tc>
        <w:tc>
          <w:tcPr>
            <w:tcW w:w="642" w:type="pct"/>
            <w:vMerge w:val="restar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z w:val="24"/>
                <w:highlight w:val="none"/>
              </w:rPr>
              <w:t>质量</w:t>
            </w:r>
            <w:r>
              <w:rPr>
                <w:rFonts w:hint="eastAsia" w:ascii="Times New Roman" w:hAnsi="Times New Roman" w:cs="Times New Roman"/>
                <w:color w:val="auto"/>
                <w:sz w:val="24"/>
                <w:highlight w:val="none"/>
                <w:lang w:val="en-US" w:eastAsia="zh-CN"/>
              </w:rPr>
              <w:t>指标</w:t>
            </w:r>
          </w:p>
        </w:tc>
        <w:tc>
          <w:tcPr>
            <w:tcW w:w="1869"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cs="Times New Roman"/>
                <w:color w:val="auto"/>
                <w:sz w:val="24"/>
                <w:highlight w:val="none"/>
                <w:lang w:val="en-US" w:eastAsia="zh-CN"/>
              </w:rPr>
              <w:t>新产超标稻谷收购</w:t>
            </w:r>
            <w:r>
              <w:rPr>
                <w:rFonts w:hint="default" w:ascii="Times New Roman" w:hAnsi="Times New Roman" w:eastAsia="仿宋_GB2312" w:cs="Times New Roman"/>
                <w:color w:val="auto"/>
                <w:kern w:val="2"/>
                <w:sz w:val="24"/>
                <w:szCs w:val="24"/>
                <w:highlight w:val="none"/>
                <w:lang w:val="en-US" w:eastAsia="zh-CN" w:bidi="ar-SA"/>
              </w:rPr>
              <w:t>合规率</w:t>
            </w:r>
          </w:p>
        </w:tc>
        <w:tc>
          <w:tcPr>
            <w:tcW w:w="903"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lang w:val="en-US" w:eastAsia="zh-CN"/>
              </w:rPr>
              <w:t>100%</w:t>
            </w:r>
          </w:p>
        </w:tc>
        <w:tc>
          <w:tcPr>
            <w:tcW w:w="86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lang w:val="en-US" w:eastAsia="zh-CN"/>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715" w:type="pct"/>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jc w:val="center"/>
              <w:textAlignment w:val="auto"/>
              <w:rPr>
                <w:rFonts w:hint="default" w:ascii="Times New Roman" w:hAnsi="Times New Roman" w:cs="Times New Roman"/>
                <w:color w:val="auto"/>
                <w:sz w:val="24"/>
                <w:highlight w:val="none"/>
              </w:rPr>
            </w:pPr>
          </w:p>
        </w:tc>
        <w:tc>
          <w:tcPr>
            <w:tcW w:w="642" w:type="pct"/>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4"/>
                <w:highlight w:val="none"/>
              </w:rPr>
            </w:pPr>
          </w:p>
        </w:tc>
        <w:tc>
          <w:tcPr>
            <w:tcW w:w="1869"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新产超标稻谷处置</w:t>
            </w:r>
            <w:r>
              <w:rPr>
                <w:rFonts w:hint="default" w:ascii="Times New Roman" w:hAnsi="Times New Roman" w:eastAsia="仿宋_GB2312" w:cs="Times New Roman"/>
                <w:color w:val="auto"/>
                <w:kern w:val="2"/>
                <w:sz w:val="24"/>
                <w:szCs w:val="24"/>
                <w:highlight w:val="none"/>
                <w:lang w:val="en-US" w:eastAsia="zh-CN" w:bidi="ar-SA"/>
              </w:rPr>
              <w:t>合规率</w:t>
            </w:r>
          </w:p>
        </w:tc>
        <w:tc>
          <w:tcPr>
            <w:tcW w:w="903"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100%</w:t>
            </w:r>
          </w:p>
        </w:tc>
        <w:tc>
          <w:tcPr>
            <w:tcW w:w="86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15" w:type="pct"/>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jc w:val="center"/>
              <w:textAlignment w:val="auto"/>
              <w:rPr>
                <w:rFonts w:hint="default" w:ascii="Times New Roman" w:hAnsi="Times New Roman" w:cs="Times New Roman"/>
                <w:color w:val="auto"/>
                <w:sz w:val="24"/>
                <w:highlight w:val="none"/>
              </w:rPr>
            </w:pPr>
          </w:p>
        </w:tc>
        <w:tc>
          <w:tcPr>
            <w:tcW w:w="642" w:type="pct"/>
            <w:vMerge w:val="restar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时效</w:t>
            </w:r>
            <w:r>
              <w:rPr>
                <w:rFonts w:hint="eastAsia" w:ascii="Times New Roman" w:hAnsi="Times New Roman" w:cs="Times New Roman"/>
                <w:color w:val="auto"/>
                <w:sz w:val="24"/>
                <w:highlight w:val="none"/>
                <w:lang w:val="en-US" w:eastAsia="zh-CN"/>
              </w:rPr>
              <w:t>指标</w:t>
            </w:r>
          </w:p>
        </w:tc>
        <w:tc>
          <w:tcPr>
            <w:tcW w:w="1869"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cs="Times New Roman"/>
                <w:color w:val="auto"/>
                <w:sz w:val="24"/>
                <w:highlight w:val="none"/>
                <w:lang w:val="en-US" w:eastAsia="zh-CN"/>
              </w:rPr>
              <w:t>新产超标稻谷收购</w:t>
            </w:r>
            <w:r>
              <w:rPr>
                <w:rFonts w:hint="default" w:ascii="Times New Roman" w:hAnsi="Times New Roman" w:cs="Times New Roman"/>
                <w:color w:val="auto"/>
                <w:sz w:val="24"/>
                <w:highlight w:val="none"/>
                <w:lang w:val="en-US" w:eastAsia="zh-CN"/>
              </w:rPr>
              <w:t>及时率</w:t>
            </w:r>
          </w:p>
        </w:tc>
        <w:tc>
          <w:tcPr>
            <w:tcW w:w="903"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lang w:val="en-US" w:eastAsia="zh-CN"/>
              </w:rPr>
              <w:t>100%</w:t>
            </w:r>
          </w:p>
        </w:tc>
        <w:tc>
          <w:tcPr>
            <w:tcW w:w="86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lang w:val="en-US" w:eastAsia="zh-CN"/>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15" w:type="pct"/>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jc w:val="center"/>
              <w:textAlignment w:val="auto"/>
              <w:rPr>
                <w:rFonts w:hint="default" w:ascii="Times New Roman" w:hAnsi="Times New Roman" w:cs="Times New Roman"/>
                <w:color w:val="auto"/>
                <w:sz w:val="24"/>
                <w:highlight w:val="none"/>
              </w:rPr>
            </w:pPr>
          </w:p>
        </w:tc>
        <w:tc>
          <w:tcPr>
            <w:tcW w:w="642" w:type="pct"/>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4"/>
                <w:highlight w:val="none"/>
                <w:lang w:val="en-US" w:eastAsia="zh-CN"/>
              </w:rPr>
            </w:pPr>
          </w:p>
        </w:tc>
        <w:tc>
          <w:tcPr>
            <w:tcW w:w="1869"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新产超标稻谷处置</w:t>
            </w:r>
            <w:r>
              <w:rPr>
                <w:rFonts w:hint="default" w:ascii="Times New Roman" w:hAnsi="Times New Roman" w:cs="Times New Roman"/>
                <w:color w:val="auto"/>
                <w:sz w:val="24"/>
                <w:highlight w:val="none"/>
                <w:lang w:val="en-US" w:eastAsia="zh-CN"/>
              </w:rPr>
              <w:t>及时率</w:t>
            </w:r>
          </w:p>
        </w:tc>
        <w:tc>
          <w:tcPr>
            <w:tcW w:w="903"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100%</w:t>
            </w:r>
          </w:p>
        </w:tc>
        <w:tc>
          <w:tcPr>
            <w:tcW w:w="86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715" w:type="pct"/>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jc w:val="center"/>
              <w:textAlignment w:val="auto"/>
              <w:rPr>
                <w:rFonts w:hint="default" w:ascii="Times New Roman" w:hAnsi="Times New Roman" w:cs="Times New Roman"/>
                <w:color w:val="auto"/>
                <w:sz w:val="24"/>
                <w:highlight w:val="none"/>
              </w:rPr>
            </w:pPr>
          </w:p>
        </w:tc>
        <w:tc>
          <w:tcPr>
            <w:tcW w:w="642" w:type="pct"/>
            <w:vMerge w:val="restar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kern w:val="0"/>
                <w:sz w:val="24"/>
                <w:highlight w:val="none"/>
                <w:lang w:bidi="ar"/>
              </w:rPr>
              <w:t>成本</w:t>
            </w:r>
            <w:r>
              <w:rPr>
                <w:rFonts w:hint="eastAsia" w:ascii="Times New Roman" w:hAnsi="Times New Roman" w:cs="Times New Roman"/>
                <w:color w:val="auto"/>
                <w:kern w:val="0"/>
                <w:sz w:val="24"/>
                <w:highlight w:val="none"/>
                <w:lang w:val="en-US" w:eastAsia="zh-CN" w:bidi="ar"/>
              </w:rPr>
              <w:t>指标</w:t>
            </w:r>
          </w:p>
        </w:tc>
        <w:tc>
          <w:tcPr>
            <w:tcW w:w="1869"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新产超标稻谷收购价差成本</w:t>
            </w:r>
          </w:p>
        </w:tc>
        <w:tc>
          <w:tcPr>
            <w:tcW w:w="903"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≤710万元</w:t>
            </w:r>
          </w:p>
        </w:tc>
        <w:tc>
          <w:tcPr>
            <w:tcW w:w="86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715" w:type="pct"/>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jc w:val="center"/>
              <w:textAlignment w:val="auto"/>
              <w:rPr>
                <w:rFonts w:hint="default" w:ascii="Times New Roman" w:hAnsi="Times New Roman" w:cs="Times New Roman"/>
                <w:color w:val="auto"/>
                <w:sz w:val="24"/>
                <w:highlight w:val="none"/>
              </w:rPr>
            </w:pPr>
          </w:p>
        </w:tc>
        <w:tc>
          <w:tcPr>
            <w:tcW w:w="642" w:type="pct"/>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kern w:val="0"/>
                <w:sz w:val="24"/>
                <w:highlight w:val="none"/>
                <w:lang w:bidi="ar"/>
              </w:rPr>
            </w:pPr>
          </w:p>
        </w:tc>
        <w:tc>
          <w:tcPr>
            <w:tcW w:w="1869"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新产超标稻谷收购均价</w:t>
            </w:r>
          </w:p>
        </w:tc>
        <w:tc>
          <w:tcPr>
            <w:tcW w:w="903"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≤1.28</w:t>
            </w:r>
            <w:r>
              <w:rPr>
                <w:rFonts w:hint="default" w:ascii="Times New Roman" w:hAnsi="Times New Roman" w:cs="Times New Roman"/>
                <w:color w:val="auto"/>
                <w:sz w:val="24"/>
                <w:highlight w:val="none"/>
                <w:lang w:val="en-US" w:eastAsia="zh-CN"/>
              </w:rPr>
              <w:t>元/</w:t>
            </w:r>
            <w:r>
              <w:rPr>
                <w:rFonts w:hint="eastAsia" w:ascii="Times New Roman" w:hAnsi="Times New Roman" w:cs="Times New Roman"/>
                <w:color w:val="auto"/>
                <w:sz w:val="24"/>
                <w:highlight w:val="none"/>
                <w:lang w:val="en-US" w:eastAsia="zh-CN"/>
              </w:rPr>
              <w:t>斤</w:t>
            </w:r>
          </w:p>
        </w:tc>
        <w:tc>
          <w:tcPr>
            <w:tcW w:w="86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715" w:type="pct"/>
            <w:vMerge w:val="restar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z w:val="24"/>
                <w:highlight w:val="none"/>
              </w:rPr>
              <w:t>效果</w:t>
            </w:r>
            <w:r>
              <w:rPr>
                <w:rFonts w:hint="default" w:ascii="Times New Roman" w:hAnsi="Times New Roman" w:cs="Times New Roman"/>
                <w:color w:val="auto"/>
                <w:sz w:val="24"/>
                <w:highlight w:val="none"/>
                <w:lang w:val="en-US" w:eastAsia="zh-CN"/>
              </w:rPr>
              <w:t>指标</w:t>
            </w:r>
          </w:p>
        </w:tc>
        <w:tc>
          <w:tcPr>
            <w:tcW w:w="642" w:type="pct"/>
            <w:vMerge w:val="restar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kern w:val="0"/>
                <w:sz w:val="24"/>
                <w:highlight w:val="none"/>
                <w:lang w:val="en-US" w:eastAsia="zh-CN" w:bidi="ar"/>
              </w:rPr>
              <w:t>社会</w:t>
            </w:r>
            <w:r>
              <w:rPr>
                <w:rFonts w:hint="default" w:ascii="Times New Roman" w:hAnsi="Times New Roman" w:cs="Times New Roman"/>
                <w:color w:val="auto"/>
                <w:kern w:val="0"/>
                <w:sz w:val="24"/>
                <w:highlight w:val="none"/>
                <w:lang w:bidi="ar"/>
              </w:rPr>
              <w:t>效益</w:t>
            </w:r>
            <w:r>
              <w:rPr>
                <w:rFonts w:hint="eastAsia" w:ascii="Times New Roman" w:hAnsi="Times New Roman" w:cs="Times New Roman"/>
                <w:color w:val="auto"/>
                <w:kern w:val="0"/>
                <w:sz w:val="24"/>
                <w:highlight w:val="none"/>
                <w:lang w:val="en-US" w:eastAsia="zh-CN" w:bidi="ar"/>
              </w:rPr>
              <w:t>指标</w:t>
            </w:r>
          </w:p>
        </w:tc>
        <w:tc>
          <w:tcPr>
            <w:tcW w:w="1869"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cs="Times New Roman"/>
                <w:color w:val="auto"/>
                <w:kern w:val="2"/>
                <w:sz w:val="24"/>
                <w:szCs w:val="24"/>
                <w:highlight w:val="none"/>
                <w:lang w:val="en-US" w:eastAsia="zh-CN" w:bidi="ar-SA"/>
              </w:rPr>
              <w:t>口粮</w:t>
            </w:r>
            <w:r>
              <w:rPr>
                <w:rFonts w:hint="default" w:ascii="Times New Roman" w:hAnsi="Times New Roman" w:cs="Times New Roman"/>
                <w:color w:val="auto"/>
                <w:kern w:val="2"/>
                <w:sz w:val="24"/>
                <w:szCs w:val="24"/>
                <w:highlight w:val="none"/>
                <w:lang w:val="en-US" w:eastAsia="zh-CN" w:bidi="ar-SA"/>
              </w:rPr>
              <w:t>市场</w:t>
            </w:r>
            <w:r>
              <w:rPr>
                <w:rFonts w:hint="eastAsia" w:ascii="Times New Roman" w:hAnsi="Times New Roman" w:cs="Times New Roman"/>
                <w:color w:val="auto"/>
                <w:kern w:val="2"/>
                <w:sz w:val="24"/>
                <w:szCs w:val="24"/>
                <w:highlight w:val="none"/>
                <w:lang w:val="en-US" w:eastAsia="zh-CN" w:bidi="ar-SA"/>
              </w:rPr>
              <w:t>安全性</w:t>
            </w:r>
          </w:p>
        </w:tc>
        <w:tc>
          <w:tcPr>
            <w:tcW w:w="903"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lang w:val="en-US" w:eastAsia="zh-CN"/>
              </w:rPr>
              <w:t>提高</w:t>
            </w:r>
          </w:p>
        </w:tc>
        <w:tc>
          <w:tcPr>
            <w:tcW w:w="86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lang w:val="en-US" w:eastAsia="zh-CN"/>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715" w:type="pct"/>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4"/>
                <w:highlight w:val="none"/>
              </w:rPr>
            </w:pPr>
          </w:p>
        </w:tc>
        <w:tc>
          <w:tcPr>
            <w:tcW w:w="642" w:type="pct"/>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kern w:val="0"/>
                <w:sz w:val="24"/>
                <w:highlight w:val="none"/>
                <w:lang w:val="en-US" w:eastAsia="zh-CN" w:bidi="ar"/>
              </w:rPr>
            </w:pPr>
          </w:p>
        </w:tc>
        <w:tc>
          <w:tcPr>
            <w:tcW w:w="1869"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cs="Times New Roman"/>
                <w:color w:val="auto"/>
                <w:sz w:val="24"/>
                <w:highlight w:val="none"/>
                <w:lang w:val="en-US" w:eastAsia="zh-CN"/>
              </w:rPr>
              <w:t>超标稻谷收购</w:t>
            </w:r>
            <w:r>
              <w:rPr>
                <w:rFonts w:hint="default" w:ascii="Times New Roman" w:hAnsi="Times New Roman" w:cs="Times New Roman"/>
                <w:color w:val="auto"/>
                <w:sz w:val="24"/>
                <w:highlight w:val="none"/>
                <w:lang w:val="en-US" w:eastAsia="zh-CN"/>
              </w:rPr>
              <w:t>事故发生次数</w:t>
            </w:r>
          </w:p>
        </w:tc>
        <w:tc>
          <w:tcPr>
            <w:tcW w:w="903"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kern w:val="2"/>
                <w:sz w:val="24"/>
                <w:szCs w:val="24"/>
                <w:highlight w:val="none"/>
                <w:lang w:val="en-US" w:eastAsia="zh-CN" w:bidi="ar-SA"/>
              </w:rPr>
            </w:pPr>
            <w:r>
              <w:rPr>
                <w:rFonts w:hint="default" w:ascii="Times New Roman" w:hAnsi="Times New Roman" w:cs="Times New Roman"/>
                <w:color w:val="auto"/>
                <w:kern w:val="2"/>
                <w:sz w:val="24"/>
                <w:szCs w:val="24"/>
                <w:highlight w:val="none"/>
                <w:lang w:val="en-US" w:eastAsia="zh-CN" w:bidi="ar-SA"/>
              </w:rPr>
              <w:t>0次</w:t>
            </w:r>
          </w:p>
        </w:tc>
        <w:tc>
          <w:tcPr>
            <w:tcW w:w="86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lang w:val="en-US" w:eastAsia="zh-CN"/>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715" w:type="pct"/>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jc w:val="center"/>
              <w:textAlignment w:val="auto"/>
              <w:rPr>
                <w:rFonts w:hint="default" w:ascii="Times New Roman" w:hAnsi="Times New Roman" w:cs="Times New Roman"/>
                <w:color w:val="auto"/>
                <w:sz w:val="24"/>
                <w:highlight w:val="none"/>
              </w:rPr>
            </w:pPr>
          </w:p>
        </w:tc>
        <w:tc>
          <w:tcPr>
            <w:tcW w:w="642"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kern w:val="0"/>
                <w:sz w:val="24"/>
                <w:highlight w:val="none"/>
                <w:lang w:val="en-US" w:eastAsia="zh-CN" w:bidi="ar"/>
              </w:rPr>
              <w:t>可持续性</w:t>
            </w:r>
            <w:r>
              <w:rPr>
                <w:rFonts w:hint="eastAsia" w:ascii="Times New Roman" w:hAnsi="Times New Roman" w:cs="Times New Roman"/>
                <w:color w:val="auto"/>
                <w:kern w:val="0"/>
                <w:sz w:val="24"/>
                <w:highlight w:val="none"/>
                <w:lang w:val="en-US" w:eastAsia="zh-CN" w:bidi="ar"/>
              </w:rPr>
              <w:t>指标</w:t>
            </w:r>
          </w:p>
        </w:tc>
        <w:tc>
          <w:tcPr>
            <w:tcW w:w="1869" w:type="pct"/>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超标稻谷收购处置</w:t>
            </w:r>
            <w:r>
              <w:rPr>
                <w:rFonts w:hint="default" w:ascii="Times New Roman" w:hAnsi="Times New Roman" w:cs="Times New Roman"/>
                <w:color w:val="auto"/>
                <w:sz w:val="24"/>
                <w:highlight w:val="none"/>
                <w:lang w:val="en-US" w:eastAsia="zh-CN"/>
              </w:rPr>
              <w:t>机制健全性</w:t>
            </w:r>
          </w:p>
        </w:tc>
        <w:tc>
          <w:tcPr>
            <w:tcW w:w="903"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建立健全</w:t>
            </w:r>
          </w:p>
        </w:tc>
        <w:tc>
          <w:tcPr>
            <w:tcW w:w="86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715"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满意度指标</w:t>
            </w:r>
          </w:p>
        </w:tc>
        <w:tc>
          <w:tcPr>
            <w:tcW w:w="642"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满意度</w:t>
            </w:r>
            <w:r>
              <w:rPr>
                <w:rFonts w:hint="eastAsia" w:ascii="Times New Roman" w:hAnsi="Times New Roman" w:cs="Times New Roman"/>
                <w:color w:val="auto"/>
                <w:sz w:val="24"/>
                <w:highlight w:val="none"/>
                <w:lang w:val="en-US" w:eastAsia="zh-CN"/>
              </w:rPr>
              <w:t>指标</w:t>
            </w:r>
          </w:p>
        </w:tc>
        <w:tc>
          <w:tcPr>
            <w:tcW w:w="1869"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群众满意度</w:t>
            </w:r>
          </w:p>
        </w:tc>
        <w:tc>
          <w:tcPr>
            <w:tcW w:w="903" w:type="pct"/>
            <w:tcBorders>
              <w:tl2br w:val="nil"/>
              <w:tr2bl w:val="nil"/>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100%</w:t>
            </w:r>
          </w:p>
        </w:tc>
        <w:tc>
          <w:tcPr>
            <w:tcW w:w="86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lang w:val="en-US" w:eastAsia="zh-CN"/>
              </w:rPr>
              <w:t>计划标准</w:t>
            </w:r>
          </w:p>
        </w:tc>
      </w:tr>
    </w:tbl>
    <w:p>
      <w:pPr>
        <w:pStyle w:val="3"/>
        <w:keepNext w:val="0"/>
        <w:keepLines w:val="0"/>
        <w:pageBreakBefore w:val="0"/>
        <w:widowControl w:val="0"/>
        <w:kinsoku/>
        <w:wordWrap/>
        <w:overflowPunct/>
        <w:topLinePunct w:val="0"/>
        <w:autoSpaceDE/>
        <w:autoSpaceDN/>
        <w:bidi w:val="0"/>
        <w:adjustRightInd/>
        <w:snapToGrid/>
        <w:spacing w:before="313" w:beforeLines="100" w:beforeAutospacing="0" w:afterAutospacing="0" w:line="580" w:lineRule="exact"/>
        <w:ind w:firstLine="643"/>
        <w:jc w:val="both"/>
        <w:textAlignment w:val="auto"/>
        <w:rPr>
          <w:rFonts w:hint="default" w:ascii="Times New Roman" w:hAnsi="Times New Roman" w:eastAsia="楷体_GB2312" w:cs="Times New Roman"/>
          <w:color w:val="auto"/>
          <w:sz w:val="32"/>
          <w:szCs w:val="32"/>
          <w:highlight w:val="none"/>
          <w:lang w:val="en-US" w:eastAsia="zh-CN"/>
        </w:rPr>
      </w:pPr>
      <w:bookmarkStart w:id="6" w:name="_Toc25801"/>
      <w:r>
        <w:rPr>
          <w:rFonts w:hint="default" w:ascii="Times New Roman" w:hAnsi="Times New Roman" w:eastAsia="楷体_GB2312" w:cs="Times New Roman"/>
          <w:color w:val="auto"/>
          <w:sz w:val="32"/>
          <w:szCs w:val="32"/>
          <w:highlight w:val="none"/>
          <w:lang w:val="en-US" w:eastAsia="zh-CN"/>
        </w:rPr>
        <w:t>（四）项目预算及计划实施内容</w:t>
      </w:r>
      <w:bookmarkEnd w:id="6"/>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32"/>
          <w:highlight w:val="none"/>
          <w:lang w:val="en-US" w:eastAsia="zh-CN"/>
        </w:rPr>
      </w:pPr>
      <w:r>
        <w:rPr>
          <w:rFonts w:hint="default" w:ascii="Times New Roman" w:hAnsi="Times New Roman" w:cs="Times New Roman"/>
          <w:color w:val="auto"/>
          <w:szCs w:val="32"/>
          <w:highlight w:val="none"/>
          <w:lang w:val="en-US" w:eastAsia="zh-CN"/>
        </w:rPr>
        <w:t>德阳市罗江区发展和改革局202</w:t>
      </w:r>
      <w:r>
        <w:rPr>
          <w:rFonts w:hint="eastAsia" w:ascii="Times New Roman" w:hAnsi="Times New Roman" w:cs="Times New Roman"/>
          <w:color w:val="auto"/>
          <w:szCs w:val="32"/>
          <w:highlight w:val="none"/>
          <w:lang w:val="en-US" w:eastAsia="zh-CN"/>
        </w:rPr>
        <w:t>2</w:t>
      </w:r>
      <w:r>
        <w:rPr>
          <w:rFonts w:hint="default" w:ascii="Times New Roman" w:hAnsi="Times New Roman" w:cs="Times New Roman"/>
          <w:color w:val="auto"/>
          <w:szCs w:val="32"/>
          <w:highlight w:val="none"/>
          <w:lang w:val="en-US" w:eastAsia="zh-CN"/>
        </w:rPr>
        <w:t>年</w:t>
      </w:r>
      <w:r>
        <w:rPr>
          <w:rFonts w:hint="eastAsia" w:ascii="Times New Roman" w:hAnsi="Times New Roman" w:cs="Times New Roman"/>
          <w:color w:val="auto"/>
          <w:szCs w:val="32"/>
          <w:highlight w:val="none"/>
          <w:lang w:val="en-US" w:eastAsia="zh-CN"/>
        </w:rPr>
        <w:t>“超标稻谷费用项目”</w:t>
      </w:r>
      <w:r>
        <w:rPr>
          <w:rFonts w:hint="default" w:ascii="Times New Roman" w:hAnsi="Times New Roman" w:cs="Times New Roman"/>
          <w:color w:val="auto"/>
          <w:szCs w:val="32"/>
          <w:highlight w:val="none"/>
          <w:lang w:val="en-US" w:eastAsia="zh-CN"/>
        </w:rPr>
        <w:t>财政</w:t>
      </w:r>
      <w:r>
        <w:rPr>
          <w:rFonts w:hint="eastAsia" w:ascii="Times New Roman" w:hAnsi="Times New Roman" w:cs="Times New Roman"/>
          <w:color w:val="auto"/>
          <w:szCs w:val="32"/>
          <w:highlight w:val="none"/>
          <w:lang w:val="en-US" w:eastAsia="zh-CN"/>
        </w:rPr>
        <w:t>下达预算686.15</w:t>
      </w:r>
      <w:r>
        <w:rPr>
          <w:rFonts w:hint="default" w:ascii="Times New Roman" w:hAnsi="Times New Roman" w:cs="Times New Roman"/>
          <w:color w:val="auto"/>
          <w:szCs w:val="32"/>
          <w:highlight w:val="none"/>
          <w:lang w:val="en-US" w:eastAsia="zh-CN"/>
        </w:rPr>
        <w:t>万元，</w:t>
      </w:r>
      <w:r>
        <w:rPr>
          <w:rFonts w:hint="eastAsia" w:ascii="Times New Roman" w:hAnsi="Times New Roman" w:cs="Times New Roman"/>
          <w:color w:val="auto"/>
          <w:szCs w:val="32"/>
          <w:highlight w:val="none"/>
          <w:lang w:val="en-US" w:eastAsia="zh-CN"/>
        </w:rPr>
        <w:t>其中</w:t>
      </w:r>
      <w:r>
        <w:rPr>
          <w:rFonts w:hint="default" w:ascii="Times New Roman" w:hAnsi="Times New Roman" w:cs="Times New Roman"/>
          <w:color w:val="auto"/>
          <w:szCs w:val="32"/>
          <w:highlight w:val="none"/>
          <w:lang w:val="en-US" w:eastAsia="zh-CN"/>
        </w:rPr>
        <w:t>国有资本经营预算</w:t>
      </w:r>
      <w:r>
        <w:rPr>
          <w:rFonts w:hint="eastAsia" w:ascii="Times New Roman" w:hAnsi="Times New Roman" w:cs="Times New Roman"/>
          <w:color w:val="auto"/>
          <w:szCs w:val="32"/>
          <w:highlight w:val="none"/>
          <w:lang w:val="en-US" w:eastAsia="zh-CN"/>
        </w:rPr>
        <w:t>280万元，</w:t>
      </w:r>
      <w:r>
        <w:rPr>
          <w:rFonts w:hint="default" w:ascii="Times New Roman" w:hAnsi="Times New Roman" w:cs="Times New Roman"/>
          <w:color w:val="auto"/>
          <w:szCs w:val="32"/>
          <w:highlight w:val="none"/>
          <w:lang w:val="en-US" w:eastAsia="zh-CN"/>
        </w:rPr>
        <w:t>计划用于支付</w:t>
      </w:r>
      <w:r>
        <w:rPr>
          <w:rFonts w:hint="eastAsia" w:ascii="Times New Roman" w:hAnsi="Times New Roman" w:cs="Times New Roman"/>
          <w:color w:val="auto"/>
          <w:szCs w:val="32"/>
          <w:highlight w:val="none"/>
          <w:lang w:val="en-US" w:eastAsia="zh-CN"/>
        </w:rPr>
        <w:t>2021年</w:t>
      </w:r>
      <w:r>
        <w:rPr>
          <w:rFonts w:hint="default" w:ascii="Times New Roman" w:hAnsi="Times New Roman" w:cs="Times New Roman"/>
          <w:color w:val="auto"/>
          <w:szCs w:val="32"/>
          <w:highlight w:val="none"/>
          <w:lang w:val="en-US" w:eastAsia="zh-CN"/>
        </w:rPr>
        <w:t>的</w:t>
      </w:r>
      <w:r>
        <w:rPr>
          <w:rFonts w:hint="eastAsia" w:ascii="Times New Roman" w:hAnsi="Times New Roman" w:cs="Times New Roman"/>
          <w:color w:val="auto"/>
          <w:szCs w:val="40"/>
          <w:highlight w:val="none"/>
          <w:lang w:val="en-US" w:eastAsia="zh-CN"/>
        </w:rPr>
        <w:t>超标稻谷收购处置</w:t>
      </w:r>
      <w:r>
        <w:rPr>
          <w:rFonts w:hint="default" w:ascii="Times New Roman" w:hAnsi="Times New Roman" w:cs="Times New Roman"/>
          <w:color w:val="auto"/>
          <w:szCs w:val="40"/>
          <w:highlight w:val="none"/>
          <w:lang w:val="en-US" w:eastAsia="zh-CN"/>
        </w:rPr>
        <w:t>的</w:t>
      </w:r>
      <w:r>
        <w:rPr>
          <w:rFonts w:hint="eastAsia" w:ascii="Times New Roman" w:hAnsi="Times New Roman" w:cs="Times New Roman"/>
          <w:color w:val="auto"/>
          <w:szCs w:val="40"/>
          <w:highlight w:val="none"/>
          <w:lang w:val="en-US" w:eastAsia="zh-CN"/>
        </w:rPr>
        <w:t>价差亏损、利息、收购费、保管费、监管费、出库费、检验费</w:t>
      </w:r>
      <w:r>
        <w:rPr>
          <w:rFonts w:hint="default" w:ascii="Times New Roman" w:hAnsi="Times New Roman" w:cs="Times New Roman"/>
          <w:color w:val="auto"/>
          <w:szCs w:val="40"/>
          <w:highlight w:val="none"/>
          <w:lang w:val="en-US" w:eastAsia="zh-CN"/>
        </w:rPr>
        <w:t>等</w:t>
      </w:r>
      <w:r>
        <w:rPr>
          <w:rFonts w:hint="eastAsia" w:ascii="Times New Roman" w:hAnsi="Times New Roman" w:cs="Times New Roman"/>
          <w:color w:val="auto"/>
          <w:szCs w:val="40"/>
          <w:highlight w:val="none"/>
          <w:lang w:val="en-US" w:eastAsia="zh-CN"/>
        </w:rPr>
        <w:t>费用</w:t>
      </w:r>
      <w:r>
        <w:rPr>
          <w:rFonts w:hint="default" w:ascii="Times New Roman" w:hAnsi="Times New Roman" w:cs="Times New Roman"/>
          <w:color w:val="auto"/>
          <w:szCs w:val="32"/>
          <w:highlight w:val="none"/>
          <w:lang w:val="en-US" w:eastAsia="zh-CN"/>
        </w:rPr>
        <w:t>。</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2022年</w:t>
      </w:r>
      <w:r>
        <w:rPr>
          <w:rFonts w:hint="default" w:ascii="Times New Roman" w:hAnsi="Times New Roman" w:cs="Times New Roman"/>
          <w:color w:val="auto"/>
          <w:szCs w:val="32"/>
          <w:highlight w:val="none"/>
          <w:lang w:val="en-US" w:eastAsia="zh-CN"/>
        </w:rPr>
        <w:t>的</w:t>
      </w:r>
      <w:r>
        <w:rPr>
          <w:rFonts w:hint="eastAsia" w:ascii="Times New Roman" w:hAnsi="Times New Roman" w:cs="Times New Roman"/>
          <w:color w:val="auto"/>
          <w:szCs w:val="40"/>
          <w:highlight w:val="none"/>
          <w:lang w:val="en-US" w:eastAsia="zh-CN"/>
        </w:rPr>
        <w:t>超标稻谷收购处置</w:t>
      </w:r>
      <w:r>
        <w:rPr>
          <w:rFonts w:hint="default" w:ascii="Times New Roman" w:hAnsi="Times New Roman" w:cs="Times New Roman"/>
          <w:color w:val="auto"/>
          <w:szCs w:val="40"/>
          <w:highlight w:val="none"/>
          <w:lang w:val="en-US" w:eastAsia="zh-CN"/>
        </w:rPr>
        <w:t>的</w:t>
      </w:r>
      <w:r>
        <w:rPr>
          <w:rFonts w:hint="eastAsia" w:ascii="Times New Roman" w:hAnsi="Times New Roman" w:cs="Times New Roman"/>
          <w:color w:val="auto"/>
          <w:szCs w:val="40"/>
          <w:highlight w:val="none"/>
          <w:lang w:val="en-US" w:eastAsia="zh-CN"/>
        </w:rPr>
        <w:t>价差亏损、利息、收购费、保管费、监管费、出库费、检验费</w:t>
      </w:r>
      <w:r>
        <w:rPr>
          <w:rFonts w:hint="default" w:ascii="Times New Roman" w:hAnsi="Times New Roman" w:cs="Times New Roman"/>
          <w:color w:val="auto"/>
          <w:szCs w:val="40"/>
          <w:highlight w:val="none"/>
          <w:lang w:val="en-US" w:eastAsia="zh-CN"/>
        </w:rPr>
        <w:t>等</w:t>
      </w:r>
      <w:r>
        <w:rPr>
          <w:rFonts w:hint="eastAsia" w:ascii="Times New Roman" w:hAnsi="Times New Roman" w:cs="Times New Roman"/>
          <w:color w:val="auto"/>
          <w:szCs w:val="40"/>
          <w:highlight w:val="none"/>
          <w:lang w:val="en-US" w:eastAsia="zh-CN"/>
        </w:rPr>
        <w:t>费用</w:t>
      </w:r>
      <w:r>
        <w:rPr>
          <w:rFonts w:hint="default" w:ascii="Times New Roman" w:hAnsi="Times New Roman" w:cs="Times New Roman"/>
          <w:color w:val="auto"/>
          <w:szCs w:val="32"/>
          <w:highlight w:val="none"/>
          <w:lang w:val="en-US" w:eastAsia="zh-CN"/>
        </w:rPr>
        <w:t>除了涉及国有资本预算资金</w:t>
      </w:r>
      <w:r>
        <w:rPr>
          <w:rFonts w:hint="eastAsia" w:ascii="Times New Roman" w:hAnsi="Times New Roman" w:cs="Times New Roman"/>
          <w:color w:val="auto"/>
          <w:szCs w:val="32"/>
          <w:highlight w:val="none"/>
          <w:lang w:val="en-US" w:eastAsia="zh-CN"/>
        </w:rPr>
        <w:t>280</w:t>
      </w:r>
      <w:r>
        <w:rPr>
          <w:rFonts w:hint="default" w:ascii="Times New Roman" w:hAnsi="Times New Roman" w:cs="Times New Roman"/>
          <w:color w:val="auto"/>
          <w:szCs w:val="32"/>
          <w:highlight w:val="none"/>
          <w:lang w:val="en-US" w:eastAsia="zh-CN"/>
        </w:rPr>
        <w:t>万元外，还使用</w:t>
      </w:r>
      <w:r>
        <w:rPr>
          <w:rFonts w:hint="eastAsia" w:ascii="Times New Roman" w:hAnsi="Times New Roman" w:cs="Times New Roman"/>
          <w:color w:val="auto"/>
          <w:szCs w:val="32"/>
          <w:highlight w:val="none"/>
          <w:lang w:val="en-US" w:eastAsia="zh-CN"/>
        </w:rPr>
        <w:t>当地粮食风险基金</w:t>
      </w:r>
      <w:r>
        <w:rPr>
          <w:rFonts w:hint="default" w:ascii="Times New Roman" w:hAnsi="Times New Roman" w:cs="Times New Roman"/>
          <w:color w:val="auto"/>
          <w:szCs w:val="32"/>
          <w:highlight w:val="none"/>
          <w:lang w:val="en-US" w:eastAsia="zh-CN"/>
        </w:rPr>
        <w:t>，预算单位无法拆分，故绩效评价小组将202</w:t>
      </w:r>
      <w:r>
        <w:rPr>
          <w:rFonts w:hint="eastAsia" w:ascii="Times New Roman" w:hAnsi="Times New Roman" w:cs="Times New Roman"/>
          <w:color w:val="auto"/>
          <w:szCs w:val="32"/>
          <w:highlight w:val="none"/>
          <w:lang w:val="en-US" w:eastAsia="zh-CN"/>
        </w:rPr>
        <w:t>2</w:t>
      </w:r>
      <w:r>
        <w:rPr>
          <w:rFonts w:hint="default" w:ascii="Times New Roman" w:hAnsi="Times New Roman" w:cs="Times New Roman"/>
          <w:color w:val="auto"/>
          <w:szCs w:val="32"/>
          <w:highlight w:val="none"/>
          <w:lang w:val="en-US" w:eastAsia="zh-CN"/>
        </w:rPr>
        <w:t>年</w:t>
      </w:r>
      <w:r>
        <w:rPr>
          <w:rFonts w:hint="eastAsia" w:ascii="Times New Roman" w:hAnsi="Times New Roman" w:cs="Times New Roman"/>
          <w:color w:val="auto"/>
          <w:szCs w:val="32"/>
          <w:highlight w:val="none"/>
          <w:lang w:val="en-US" w:eastAsia="zh-CN"/>
        </w:rPr>
        <w:t>“超标稻谷费用项目”</w:t>
      </w:r>
      <w:r>
        <w:rPr>
          <w:rFonts w:hint="default" w:ascii="Times New Roman" w:hAnsi="Times New Roman" w:cs="Times New Roman"/>
          <w:color w:val="auto"/>
          <w:szCs w:val="32"/>
          <w:highlight w:val="none"/>
          <w:lang w:val="en-US" w:eastAsia="zh-CN"/>
        </w:rPr>
        <w:t>所涉及的资金根据被评价单位提供的数据均纳入本次绩效评价范围。</w:t>
      </w:r>
    </w:p>
    <w:p>
      <w:pPr>
        <w:pStyle w:val="3"/>
        <w:keepNext w:val="0"/>
        <w:keepLines w:val="0"/>
        <w:pageBreakBefore w:val="0"/>
        <w:widowControl w:val="0"/>
        <w:kinsoku/>
        <w:wordWrap/>
        <w:overflowPunct/>
        <w:topLinePunct w:val="0"/>
        <w:autoSpaceDE/>
        <w:autoSpaceDN/>
        <w:bidi w:val="0"/>
        <w:adjustRightInd/>
        <w:snapToGrid/>
        <w:spacing w:before="0" w:beforeLines="0" w:beforeAutospacing="0" w:afterAutospacing="0" w:line="580" w:lineRule="exact"/>
        <w:ind w:firstLine="643"/>
        <w:jc w:val="both"/>
        <w:textAlignment w:val="auto"/>
        <w:rPr>
          <w:rFonts w:hint="default" w:ascii="Times New Roman" w:hAnsi="Times New Roman" w:eastAsia="楷体_GB2312" w:cs="Times New Roman"/>
          <w:color w:val="auto"/>
          <w:sz w:val="32"/>
          <w:szCs w:val="32"/>
          <w:highlight w:val="none"/>
          <w:lang w:val="en-US" w:eastAsia="zh-CN"/>
        </w:rPr>
      </w:pPr>
      <w:bookmarkStart w:id="7" w:name="_Toc14068"/>
      <w:r>
        <w:rPr>
          <w:rFonts w:hint="default" w:ascii="Times New Roman" w:hAnsi="Times New Roman" w:eastAsia="楷体_GB2312" w:cs="Times New Roman"/>
          <w:color w:val="auto"/>
          <w:sz w:val="32"/>
          <w:szCs w:val="32"/>
          <w:highlight w:val="none"/>
          <w:lang w:val="en-US" w:eastAsia="zh-CN"/>
        </w:rPr>
        <w:t>（五）预算执行及实施情况</w:t>
      </w:r>
      <w:bookmarkEnd w:id="7"/>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2"/>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lang w:val="en-US" w:eastAsia="zh-CN"/>
        </w:rPr>
        <w:t>1.</w:t>
      </w:r>
      <w:r>
        <w:rPr>
          <w:rFonts w:hint="default" w:ascii="Times New Roman" w:hAnsi="Times New Roman" w:cs="Times New Roman"/>
          <w:b/>
          <w:bCs/>
          <w:color w:val="auto"/>
          <w:szCs w:val="32"/>
          <w:highlight w:val="none"/>
        </w:rPr>
        <w:t>项目资金使用情况</w:t>
      </w:r>
    </w:p>
    <w:p>
      <w:pPr>
        <w:spacing w:line="580" w:lineRule="exact"/>
        <w:ind w:firstLine="640"/>
        <w:rPr>
          <w:rFonts w:hint="default" w:ascii="Times New Roman" w:hAnsi="Times New Roman" w:cs="Times New Roman"/>
          <w:color w:val="auto"/>
          <w:szCs w:val="32"/>
          <w:highlight w:val="none"/>
          <w:lang w:val="en-US"/>
        </w:rPr>
      </w:pPr>
      <w:bookmarkStart w:id="8" w:name="_Hlk118752362"/>
      <w:r>
        <w:rPr>
          <w:rFonts w:hint="default" w:ascii="Times New Roman" w:hAnsi="Times New Roman" w:cs="Times New Roman"/>
          <w:color w:val="auto"/>
          <w:szCs w:val="32"/>
          <w:highlight w:val="none"/>
        </w:rPr>
        <w:t>经查阅</w:t>
      </w:r>
      <w:r>
        <w:rPr>
          <w:rFonts w:hint="eastAsia" w:ascii="Times New Roman" w:hAnsi="Times New Roman" w:cs="Times New Roman"/>
          <w:color w:val="auto"/>
          <w:szCs w:val="32"/>
          <w:highlight w:val="none"/>
          <w:lang w:eastAsia="zh-CN"/>
        </w:rPr>
        <w:t>“</w:t>
      </w:r>
      <w:r>
        <w:rPr>
          <w:rFonts w:hint="eastAsia" w:ascii="Times New Roman" w:hAnsi="Times New Roman" w:cs="Times New Roman"/>
          <w:color w:val="auto"/>
          <w:highlight w:val="none"/>
          <w:lang w:val="en-US" w:eastAsia="zh-CN"/>
        </w:rPr>
        <w:t>超标稻谷费用项目</w:t>
      </w:r>
      <w:r>
        <w:rPr>
          <w:rFonts w:hint="eastAsia" w:ascii="Times New Roman" w:hAnsi="Times New Roman" w:cs="Times New Roman"/>
          <w:color w:val="auto"/>
          <w:szCs w:val="32"/>
          <w:highlight w:val="none"/>
          <w:lang w:eastAsia="zh-CN"/>
        </w:rPr>
        <w:t>”2022年</w:t>
      </w:r>
      <w:r>
        <w:rPr>
          <w:rFonts w:hint="default" w:ascii="Times New Roman" w:hAnsi="Times New Roman" w:cs="Times New Roman"/>
          <w:color w:val="auto"/>
          <w:szCs w:val="32"/>
          <w:highlight w:val="none"/>
        </w:rPr>
        <w:t>的项目支出明细账、记账凭证、原始凭证等相关财务资料，</w:t>
      </w:r>
      <w:r>
        <w:rPr>
          <w:rFonts w:hint="eastAsia" w:ascii="Times New Roman" w:hAnsi="Times New Roman" w:cs="Times New Roman"/>
          <w:color w:val="auto"/>
          <w:szCs w:val="32"/>
          <w:highlight w:val="none"/>
          <w:lang w:val="en-US" w:eastAsia="zh-CN"/>
        </w:rPr>
        <w:t>超标稻谷费用项目</w:t>
      </w:r>
      <w:r>
        <w:rPr>
          <w:rFonts w:hint="default" w:ascii="Times New Roman" w:hAnsi="Times New Roman" w:cs="Times New Roman"/>
          <w:color w:val="auto"/>
          <w:szCs w:val="32"/>
          <w:highlight w:val="none"/>
        </w:rPr>
        <w:t>资金支付实施进度挂钩。项目完成</w:t>
      </w:r>
      <w:r>
        <w:rPr>
          <w:rFonts w:hint="eastAsia" w:ascii="Times New Roman" w:hAnsi="Times New Roman" w:cs="Times New Roman"/>
          <w:color w:val="auto"/>
          <w:szCs w:val="32"/>
          <w:highlight w:val="none"/>
          <w:lang w:val="en-US" w:eastAsia="zh-CN"/>
        </w:rPr>
        <w:t>100</w:t>
      </w:r>
      <w:r>
        <w:rPr>
          <w:rFonts w:hint="default" w:ascii="Times New Roman" w:hAnsi="Times New Roman" w:cs="Times New Roman"/>
          <w:color w:val="auto"/>
          <w:szCs w:val="32"/>
          <w:highlight w:val="none"/>
        </w:rPr>
        <w:t>%</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highlight w:val="none"/>
        </w:rPr>
        <w:t>德阳市罗江区</w:t>
      </w:r>
      <w:r>
        <w:rPr>
          <w:rFonts w:hint="eastAsia" w:ascii="Times New Roman" w:hAnsi="Times New Roman" w:cs="Times New Roman"/>
          <w:color w:val="auto"/>
          <w:highlight w:val="none"/>
          <w:lang w:val="en-US" w:eastAsia="zh-CN"/>
        </w:rPr>
        <w:t>发展和改革局</w:t>
      </w:r>
      <w:r>
        <w:rPr>
          <w:rFonts w:hint="default" w:ascii="Times New Roman" w:hAnsi="Times New Roman" w:cs="Times New Roman"/>
          <w:color w:val="auto"/>
          <w:szCs w:val="32"/>
          <w:highlight w:val="none"/>
        </w:rPr>
        <w:t>根据合同规定向</w:t>
      </w:r>
      <w:r>
        <w:rPr>
          <w:rFonts w:hint="eastAsia" w:ascii="Times New Roman" w:hAnsi="Times New Roman" w:cs="Times New Roman"/>
          <w:color w:val="auto"/>
          <w:szCs w:val="32"/>
          <w:highlight w:val="none"/>
          <w:lang w:val="en-US" w:eastAsia="zh-CN"/>
        </w:rPr>
        <w:t>德阳市罗江区粮油收储总公司</w:t>
      </w:r>
      <w:r>
        <w:rPr>
          <w:rFonts w:hint="default" w:ascii="Times New Roman" w:hAnsi="Times New Roman" w:cs="Times New Roman"/>
          <w:color w:val="auto"/>
          <w:szCs w:val="32"/>
          <w:highlight w:val="none"/>
        </w:rPr>
        <w:t>拨付资金；截至</w:t>
      </w:r>
      <w:r>
        <w:rPr>
          <w:rFonts w:hint="eastAsia" w:ascii="Times New Roman" w:hAnsi="Times New Roman" w:cs="Times New Roman"/>
          <w:color w:val="auto"/>
          <w:szCs w:val="32"/>
          <w:highlight w:val="none"/>
          <w:lang w:eastAsia="zh-CN"/>
        </w:rPr>
        <w:t>2022年</w:t>
      </w:r>
      <w:r>
        <w:rPr>
          <w:rFonts w:hint="default" w:ascii="Times New Roman" w:hAnsi="Times New Roman" w:cs="Times New Roman"/>
          <w:color w:val="auto"/>
          <w:szCs w:val="32"/>
          <w:highlight w:val="none"/>
        </w:rPr>
        <w:t>12月31日，该项目共计支出</w:t>
      </w:r>
      <w:r>
        <w:rPr>
          <w:rFonts w:hint="eastAsia" w:ascii="Times New Roman" w:hAnsi="Times New Roman" w:cs="Times New Roman"/>
          <w:color w:val="auto"/>
          <w:szCs w:val="32"/>
          <w:highlight w:val="none"/>
          <w:lang w:val="en-US" w:eastAsia="zh-CN"/>
        </w:rPr>
        <w:t>709.77</w:t>
      </w:r>
      <w:r>
        <w:rPr>
          <w:rFonts w:hint="default" w:ascii="Times New Roman" w:hAnsi="Times New Roman" w:cs="Times New Roman"/>
          <w:color w:val="auto"/>
          <w:szCs w:val="32"/>
          <w:highlight w:val="none"/>
        </w:rPr>
        <w:t>万元，其中</w:t>
      </w:r>
      <w:r>
        <w:rPr>
          <w:rFonts w:hint="eastAsia" w:ascii="Times New Roman" w:hAnsi="Times New Roman" w:cs="Times New Roman"/>
          <w:color w:val="auto"/>
          <w:szCs w:val="32"/>
          <w:highlight w:val="none"/>
          <w:lang w:val="en-US" w:eastAsia="zh-CN"/>
        </w:rPr>
        <w:t>返还多核利息1万元，财政</w:t>
      </w:r>
      <w:r>
        <w:rPr>
          <w:rFonts w:hint="default" w:ascii="Times New Roman" w:hAnsi="Times New Roman" w:cs="Times New Roman"/>
          <w:color w:val="auto"/>
          <w:szCs w:val="32"/>
          <w:highlight w:val="none"/>
        </w:rPr>
        <w:t>补助资金支出</w:t>
      </w:r>
      <w:r>
        <w:rPr>
          <w:rFonts w:hint="eastAsia" w:ascii="Times New Roman" w:hAnsi="Times New Roman" w:cs="Times New Roman"/>
          <w:color w:val="auto"/>
          <w:szCs w:val="32"/>
          <w:highlight w:val="none"/>
          <w:lang w:val="en-US" w:eastAsia="zh-CN"/>
        </w:rPr>
        <w:t>686.15</w:t>
      </w:r>
      <w:r>
        <w:rPr>
          <w:rFonts w:hint="default" w:ascii="Times New Roman" w:hAnsi="Times New Roman" w:cs="Times New Roman"/>
          <w:color w:val="auto"/>
          <w:szCs w:val="32"/>
          <w:highlight w:val="none"/>
        </w:rPr>
        <w:t>万元，</w:t>
      </w:r>
      <w:r>
        <w:rPr>
          <w:rFonts w:hint="eastAsia" w:ascii="Times New Roman" w:hAnsi="Times New Roman" w:cs="Times New Roman"/>
          <w:color w:val="auto"/>
          <w:szCs w:val="32"/>
          <w:highlight w:val="none"/>
          <w:lang w:val="en-US" w:eastAsia="zh-CN"/>
        </w:rPr>
        <w:t>超出资金通过其他渠道支付。</w:t>
      </w:r>
    </w:p>
    <w:bookmarkEnd w:id="8"/>
    <w:p>
      <w:pPr>
        <w:pStyle w:val="4"/>
        <w:keepNext/>
        <w:keepLines/>
        <w:pageBreakBefore w:val="0"/>
        <w:widowControl w:val="0"/>
        <w:kinsoku/>
        <w:wordWrap/>
        <w:overflowPunct/>
        <w:topLinePunct w:val="0"/>
        <w:autoSpaceDE/>
        <w:autoSpaceDN/>
        <w:bidi w:val="0"/>
        <w:adjustRightInd/>
        <w:snapToGrid/>
        <w:spacing w:before="0" w:after="0" w:line="580" w:lineRule="exact"/>
        <w:ind w:firstLine="640"/>
        <w:textAlignment w:val="auto"/>
        <w:rPr>
          <w:rFonts w:hint="default" w:ascii="Times New Roman" w:hAnsi="Times New Roman" w:eastAsia="仿宋_GB2312" w:cs="Times New Roman"/>
          <w:b/>
          <w:bCs w:val="0"/>
          <w:color w:val="auto"/>
          <w:szCs w:val="32"/>
          <w:highlight w:val="none"/>
          <w:lang w:val="en-US" w:eastAsia="zh-CN"/>
        </w:rPr>
      </w:pPr>
      <w:r>
        <w:rPr>
          <w:rFonts w:hint="default" w:ascii="Times New Roman" w:hAnsi="Times New Roman" w:cs="Times New Roman"/>
          <w:b/>
          <w:bCs w:val="0"/>
          <w:color w:val="auto"/>
          <w:szCs w:val="32"/>
          <w:highlight w:val="none"/>
        </w:rPr>
        <w:t>2.组织实施</w:t>
      </w:r>
      <w:r>
        <w:rPr>
          <w:rFonts w:hint="default" w:ascii="Times New Roman" w:hAnsi="Times New Roman" w:cs="Times New Roman"/>
          <w:b/>
          <w:bCs w:val="0"/>
          <w:color w:val="auto"/>
          <w:szCs w:val="32"/>
          <w:highlight w:val="none"/>
          <w:lang w:val="en-US" w:eastAsia="zh-CN"/>
        </w:rPr>
        <w:t>情况</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32"/>
          <w:highlight w:val="none"/>
          <w:lang w:val="en-US" w:eastAsia="zh-CN"/>
        </w:rPr>
      </w:pPr>
      <w:r>
        <w:rPr>
          <w:rFonts w:hint="default" w:ascii="Times New Roman" w:hAnsi="Times New Roman" w:cs="Times New Roman"/>
          <w:color w:val="auto"/>
          <w:szCs w:val="32"/>
          <w:highlight w:val="none"/>
          <w:lang w:val="en-US" w:eastAsia="zh-CN"/>
        </w:rPr>
        <w:t>（1）</w:t>
      </w:r>
      <w:r>
        <w:rPr>
          <w:rFonts w:hint="eastAsia" w:ascii="Times New Roman" w:hAnsi="Times New Roman" w:cs="Times New Roman"/>
          <w:color w:val="auto"/>
          <w:szCs w:val="32"/>
          <w:highlight w:val="none"/>
          <w:lang w:val="en-US" w:eastAsia="zh-CN"/>
        </w:rPr>
        <w:t>超标稻谷收购</w:t>
      </w:r>
    </w:p>
    <w:p>
      <w:pPr>
        <w:pStyle w:val="15"/>
        <w:keepNext w:val="0"/>
        <w:keepLines w:val="0"/>
        <w:pageBreakBefore w:val="0"/>
        <w:widowControl w:val="0"/>
        <w:kinsoku/>
        <w:wordWrap/>
        <w:overflowPunct/>
        <w:topLinePunct w:val="0"/>
        <w:autoSpaceDE/>
        <w:autoSpaceDN/>
        <w:bidi w:val="0"/>
        <w:adjustRightInd/>
        <w:snapToGrid/>
        <w:spacing w:after="0" w:line="580" w:lineRule="exact"/>
        <w:ind w:firstLine="640" w:firstLineChars="200"/>
        <w:textAlignment w:val="auto"/>
        <w:rPr>
          <w:rFonts w:hint="default" w:ascii="Times New Roman" w:hAnsi="Times New Roman" w:eastAsia="仿宋_GB2312" w:cs="Times New Roman"/>
          <w:color w:val="auto"/>
          <w:szCs w:val="32"/>
          <w:highlight w:val="none"/>
          <w:lang w:val="en-US" w:eastAsia="zh-CN"/>
        </w:rPr>
      </w:pPr>
      <w:r>
        <w:rPr>
          <w:rFonts w:hint="default" w:ascii="Times New Roman" w:hAnsi="Times New Roman" w:eastAsia="仿宋_GB2312" w:cs="Times New Roman"/>
          <w:color w:val="auto"/>
          <w:szCs w:val="32"/>
          <w:highlight w:val="none"/>
          <w:lang w:val="en-US" w:eastAsia="zh-CN"/>
        </w:rPr>
        <w:t>按照四川省发展和改革委员会 四川省粮食局 四川省财政厅 四川省农业厅 四川省食品药品监督管理局 中国农业发展银行四川省分行文件关于印发《四川省超标稻谷收购处置实施方案》的通知（川粮发〔2018〕2号）文件的要求，收购执行时间为国家规定的中晚籼稻最低收购价预案执行时间，即每年的10月10日至次年的月31日。</w:t>
      </w:r>
      <w:r>
        <w:rPr>
          <w:rFonts w:hint="eastAsia" w:ascii="Times New Roman" w:hAnsi="Times New Roman" w:cs="Times New Roman"/>
          <w:color w:val="auto"/>
          <w:szCs w:val="32"/>
          <w:highlight w:val="none"/>
          <w:lang w:val="en-US" w:eastAsia="zh-CN"/>
        </w:rPr>
        <w:t>德阳市罗江区</w:t>
      </w:r>
      <w:r>
        <w:rPr>
          <w:rFonts w:hint="default" w:ascii="Times New Roman" w:hAnsi="Times New Roman" w:eastAsia="仿宋_GB2312" w:cs="Times New Roman"/>
          <w:color w:val="auto"/>
          <w:szCs w:val="32"/>
          <w:highlight w:val="none"/>
          <w:lang w:val="en-US" w:eastAsia="zh-CN"/>
        </w:rPr>
        <w:t>人民政府按照</w:t>
      </w:r>
      <w:r>
        <w:rPr>
          <w:rFonts w:hint="eastAsia" w:ascii="Times New Roman" w:hAnsi="Times New Roman" w:cs="Times New Roman"/>
          <w:color w:val="auto"/>
          <w:szCs w:val="32"/>
          <w:highlight w:val="none"/>
          <w:lang w:val="en-US" w:eastAsia="zh-CN"/>
        </w:rPr>
        <w:t>“</w:t>
      </w:r>
      <w:r>
        <w:rPr>
          <w:rFonts w:hint="default" w:ascii="Times New Roman" w:hAnsi="Times New Roman" w:eastAsia="仿宋_GB2312" w:cs="Times New Roman"/>
          <w:color w:val="auto"/>
          <w:szCs w:val="32"/>
          <w:highlight w:val="none"/>
          <w:lang w:val="en-US" w:eastAsia="zh-CN"/>
        </w:rPr>
        <w:t>一县一企，一企多点</w:t>
      </w:r>
      <w:r>
        <w:rPr>
          <w:rFonts w:hint="eastAsia" w:ascii="Times New Roman" w:hAnsi="Times New Roman" w:cs="Times New Roman"/>
          <w:color w:val="auto"/>
          <w:szCs w:val="32"/>
          <w:highlight w:val="none"/>
          <w:lang w:val="en-US" w:eastAsia="zh-CN"/>
        </w:rPr>
        <w:t>”</w:t>
      </w:r>
      <w:r>
        <w:rPr>
          <w:rFonts w:hint="default" w:ascii="Times New Roman" w:hAnsi="Times New Roman" w:eastAsia="仿宋_GB2312" w:cs="Times New Roman"/>
          <w:color w:val="auto"/>
          <w:szCs w:val="32"/>
          <w:highlight w:val="none"/>
          <w:lang w:val="en-US" w:eastAsia="zh-CN"/>
        </w:rPr>
        <w:t>的原则，指定辖区内一家国有粮食企业，承担超标稻谷收购任务。收购资金（含收购价款和30元/吨收购费用）通过当地农发行发放省级调控粮贷款解决，农发行要保证超标稻谷收购所需资金，并严格监管。收购结束后，入库的超标稻谷由所在地县（市、区）粮食部门会同财政、农发行共同组织验收，其中质量、食品安全指标检测工作应当委托具有相应资质的检测机构进行。验收结果投本级人民政府，并逐级抄送至省粮食局、财政厅、农发行四川省分行。</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Cs w:val="32"/>
          <w:highlight w:val="none"/>
          <w:lang w:val="en-US" w:eastAsia="zh-CN"/>
        </w:rPr>
      </w:pPr>
      <w:r>
        <w:rPr>
          <w:rFonts w:hint="default" w:ascii="Times New Roman" w:hAnsi="Times New Roman" w:eastAsia="仿宋_GB2312" w:cs="Times New Roman"/>
          <w:color w:val="auto"/>
          <w:szCs w:val="32"/>
          <w:highlight w:val="none"/>
          <w:lang w:val="en-US" w:eastAsia="zh-CN"/>
        </w:rPr>
        <w:t>（2）超标稻谷储存监管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Cs w:val="32"/>
          <w:highlight w:val="none"/>
          <w:lang w:val="en-US" w:eastAsia="zh-CN"/>
        </w:rPr>
      </w:pPr>
      <w:r>
        <w:rPr>
          <w:rFonts w:hint="default" w:ascii="Times New Roman" w:hAnsi="Times New Roman" w:eastAsia="仿宋_GB2312" w:cs="Times New Roman"/>
          <w:color w:val="auto"/>
          <w:szCs w:val="32"/>
          <w:highlight w:val="none"/>
          <w:lang w:val="en-US" w:eastAsia="zh-CN"/>
        </w:rPr>
        <w:t>按照四川省发展和改革委员会 四川省粮食局 四川省财政厅 四川省农业厅 四川省食品药品监督管理局 中国农业发展银行四川省分行文件</w:t>
      </w:r>
      <w:r>
        <w:rPr>
          <w:rFonts w:hint="eastAsia" w:ascii="Times New Roman" w:hAnsi="Times New Roman" w:cs="Times New Roman"/>
          <w:color w:val="auto"/>
          <w:szCs w:val="32"/>
          <w:highlight w:val="none"/>
          <w:lang w:val="en-US" w:eastAsia="zh-CN"/>
        </w:rPr>
        <w:t>《</w:t>
      </w:r>
      <w:r>
        <w:rPr>
          <w:rFonts w:hint="default" w:ascii="Times New Roman" w:hAnsi="Times New Roman" w:eastAsia="仿宋_GB2312" w:cs="Times New Roman"/>
          <w:color w:val="auto"/>
          <w:szCs w:val="32"/>
          <w:highlight w:val="none"/>
          <w:lang w:val="en-US" w:eastAsia="zh-CN"/>
        </w:rPr>
        <w:t>关于印发</w:t>
      </w:r>
      <w:r>
        <w:rPr>
          <w:rFonts w:hint="eastAsia" w:ascii="Times New Roman" w:hAnsi="Times New Roman" w:cs="Times New Roman"/>
          <w:color w:val="auto"/>
          <w:szCs w:val="32"/>
          <w:highlight w:val="none"/>
          <w:lang w:val="en-US" w:eastAsia="zh-CN"/>
        </w:rPr>
        <w:t>〈</w:t>
      </w:r>
      <w:r>
        <w:rPr>
          <w:rFonts w:hint="default" w:ascii="Times New Roman" w:hAnsi="Times New Roman" w:eastAsia="仿宋_GB2312" w:cs="Times New Roman"/>
          <w:color w:val="auto"/>
          <w:szCs w:val="32"/>
          <w:highlight w:val="none"/>
          <w:lang w:val="en-US" w:eastAsia="zh-CN"/>
        </w:rPr>
        <w:t>四川省超标稻谷收购处置实施方案</w:t>
      </w:r>
      <w:r>
        <w:rPr>
          <w:rFonts w:hint="eastAsia" w:ascii="Times New Roman" w:hAnsi="Times New Roman" w:cs="Times New Roman"/>
          <w:color w:val="auto"/>
          <w:szCs w:val="32"/>
          <w:highlight w:val="none"/>
          <w:lang w:val="en-US" w:eastAsia="zh-CN"/>
        </w:rPr>
        <w:t>〉</w:t>
      </w:r>
      <w:r>
        <w:rPr>
          <w:rFonts w:hint="default" w:ascii="Times New Roman" w:hAnsi="Times New Roman" w:eastAsia="仿宋_GB2312" w:cs="Times New Roman"/>
          <w:color w:val="auto"/>
          <w:szCs w:val="32"/>
          <w:highlight w:val="none"/>
          <w:lang w:val="en-US" w:eastAsia="zh-CN"/>
        </w:rPr>
        <w:t>的通知</w:t>
      </w:r>
      <w:r>
        <w:rPr>
          <w:rFonts w:hint="eastAsia" w:ascii="Times New Roman" w:hAnsi="Times New Roman" w:cs="Times New Roman"/>
          <w:color w:val="auto"/>
          <w:szCs w:val="32"/>
          <w:highlight w:val="none"/>
          <w:lang w:val="en-US" w:eastAsia="zh-CN"/>
        </w:rPr>
        <w:t>》</w:t>
      </w:r>
      <w:r>
        <w:rPr>
          <w:rFonts w:hint="default" w:ascii="Times New Roman" w:hAnsi="Times New Roman" w:eastAsia="仿宋_GB2312" w:cs="Times New Roman"/>
          <w:color w:val="auto"/>
          <w:szCs w:val="32"/>
          <w:highlight w:val="none"/>
          <w:lang w:val="en-US" w:eastAsia="zh-CN"/>
        </w:rPr>
        <w:t>（川粮发〔2018〕2号）、德阳市罗江区人民政府办公室《关于印发〈德阳市罗江区超标稻谷收购处置实施细则〉的通知》（德市罗府办发〔2018〕103号）</w:t>
      </w:r>
      <w:r>
        <w:rPr>
          <w:rFonts w:hint="eastAsia" w:ascii="Times New Roman" w:hAnsi="Times New Roman" w:cs="Times New Roman"/>
          <w:color w:val="auto"/>
          <w:szCs w:val="32"/>
          <w:highlight w:val="none"/>
          <w:lang w:val="en-US" w:eastAsia="zh-CN"/>
        </w:rPr>
        <w:t>、德阳市罗江区人民政府办公室《关于印发〈德阳市罗江区2021年超标稻谷收购工作方案〉的通知》（德市罗府办发〔2021〕76号）、德阳市罗江区发展和改革局 德阳市罗江区财政局 德阳市罗江区市场监督管理局 德阳市罗江区农业农村局 中国农业发展银行德阳市分行《关于印发〈德阳市罗江区处置2021年超标稻谷实施方案〉的通知》（德市罗发改发〔2022〕16号）</w:t>
      </w:r>
      <w:r>
        <w:rPr>
          <w:rFonts w:hint="default" w:ascii="Times New Roman" w:hAnsi="Times New Roman" w:eastAsia="仿宋_GB2312" w:cs="Times New Roman"/>
          <w:color w:val="auto"/>
          <w:szCs w:val="32"/>
          <w:highlight w:val="none"/>
          <w:lang w:val="en-US" w:eastAsia="zh-CN"/>
        </w:rPr>
        <w:t>文件的要求，确定委托收储库点为四川罗江国家粮食储备库。收购的超标稻谷实行专仓储存、专账记录、专人保管。收购企业应当建立超标稻谷管理档案，详细记录收购、扦样、检验、储存、出库等信息。档案资料保存期限不得少于5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Cs w:val="32"/>
          <w:highlight w:val="none"/>
          <w:lang w:val="en-US" w:eastAsia="zh-CN"/>
        </w:rPr>
      </w:pPr>
      <w:r>
        <w:rPr>
          <w:rFonts w:hint="default" w:ascii="Times New Roman" w:hAnsi="Times New Roman" w:eastAsia="仿宋_GB2312" w:cs="Times New Roman"/>
          <w:color w:val="auto"/>
          <w:szCs w:val="32"/>
          <w:highlight w:val="none"/>
          <w:lang w:val="en-US" w:eastAsia="zh-CN"/>
        </w:rPr>
        <w:t>（3）超标稻谷处置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Cs w:val="32"/>
          <w:highlight w:val="none"/>
          <w:lang w:val="en-US" w:eastAsia="zh-CN"/>
        </w:rPr>
      </w:pPr>
      <w:r>
        <w:rPr>
          <w:rFonts w:hint="default" w:ascii="Times New Roman" w:hAnsi="Times New Roman" w:eastAsia="仿宋_GB2312" w:cs="Times New Roman"/>
          <w:color w:val="auto"/>
          <w:szCs w:val="32"/>
          <w:highlight w:val="none"/>
          <w:lang w:val="en-US" w:eastAsia="zh-CN"/>
        </w:rPr>
        <w:t>按照四川省发展和改革委员会 四川省粮食局 四川省财政厅 四川省农业厅 四川省食品药品监督管理局 中国农业发展银行四川省分行文件</w:t>
      </w:r>
      <w:r>
        <w:rPr>
          <w:rFonts w:hint="eastAsia" w:ascii="Times New Roman" w:hAnsi="Times New Roman" w:cs="Times New Roman"/>
          <w:color w:val="auto"/>
          <w:szCs w:val="32"/>
          <w:highlight w:val="none"/>
          <w:lang w:val="en-US" w:eastAsia="zh-CN"/>
        </w:rPr>
        <w:t>《</w:t>
      </w:r>
      <w:r>
        <w:rPr>
          <w:rFonts w:hint="default" w:ascii="Times New Roman" w:hAnsi="Times New Roman" w:eastAsia="仿宋_GB2312" w:cs="Times New Roman"/>
          <w:color w:val="auto"/>
          <w:szCs w:val="32"/>
          <w:highlight w:val="none"/>
          <w:lang w:val="en-US" w:eastAsia="zh-CN"/>
        </w:rPr>
        <w:t>关于印发</w:t>
      </w:r>
      <w:r>
        <w:rPr>
          <w:rFonts w:hint="eastAsia" w:ascii="Times New Roman" w:hAnsi="Times New Roman" w:cs="Times New Roman"/>
          <w:color w:val="auto"/>
          <w:szCs w:val="32"/>
          <w:highlight w:val="none"/>
          <w:lang w:val="en-US" w:eastAsia="zh-CN"/>
        </w:rPr>
        <w:t>〈</w:t>
      </w:r>
      <w:r>
        <w:rPr>
          <w:rFonts w:hint="default" w:ascii="Times New Roman" w:hAnsi="Times New Roman" w:eastAsia="仿宋_GB2312" w:cs="Times New Roman"/>
          <w:color w:val="auto"/>
          <w:szCs w:val="32"/>
          <w:highlight w:val="none"/>
          <w:lang w:val="en-US" w:eastAsia="zh-CN"/>
        </w:rPr>
        <w:t>四川省超标稻谷收购处置实施方案</w:t>
      </w:r>
      <w:r>
        <w:rPr>
          <w:rFonts w:hint="eastAsia" w:ascii="Times New Roman" w:hAnsi="Times New Roman" w:cs="Times New Roman"/>
          <w:color w:val="auto"/>
          <w:szCs w:val="32"/>
          <w:highlight w:val="none"/>
          <w:lang w:val="en-US" w:eastAsia="zh-CN"/>
        </w:rPr>
        <w:t>〉</w:t>
      </w:r>
      <w:r>
        <w:rPr>
          <w:rFonts w:hint="default" w:ascii="Times New Roman" w:hAnsi="Times New Roman" w:eastAsia="仿宋_GB2312" w:cs="Times New Roman"/>
          <w:color w:val="auto"/>
          <w:szCs w:val="32"/>
          <w:highlight w:val="none"/>
          <w:lang w:val="en-US" w:eastAsia="zh-CN"/>
        </w:rPr>
        <w:t>的通知</w:t>
      </w:r>
      <w:r>
        <w:rPr>
          <w:rFonts w:hint="eastAsia" w:ascii="Times New Roman" w:hAnsi="Times New Roman" w:cs="Times New Roman"/>
          <w:color w:val="auto"/>
          <w:szCs w:val="32"/>
          <w:highlight w:val="none"/>
          <w:lang w:val="en-US" w:eastAsia="zh-CN"/>
        </w:rPr>
        <w:t>》</w:t>
      </w:r>
      <w:r>
        <w:rPr>
          <w:rFonts w:hint="default" w:ascii="Times New Roman" w:hAnsi="Times New Roman" w:eastAsia="仿宋_GB2312" w:cs="Times New Roman"/>
          <w:color w:val="auto"/>
          <w:szCs w:val="32"/>
          <w:highlight w:val="none"/>
          <w:lang w:val="en-US" w:eastAsia="zh-CN"/>
        </w:rPr>
        <w:t>（川粮发〔2018〕2号）文件的要求，超标稻谷实行分类处置。不符合质量标准的稻谷，按其用途规范处置。不符合食品安全指标的稻谷，按国家规定用途单独处置。超标稻谷处置必须符合国家食品安全标准或相关产品安全标准。经检验符合</w:t>
      </w:r>
      <w:r>
        <w:rPr>
          <w:rFonts w:hint="eastAsia" w:ascii="Times New Roman" w:hAnsi="Times New Roman" w:cs="Times New Roman"/>
          <w:color w:val="auto"/>
          <w:szCs w:val="32"/>
          <w:highlight w:val="none"/>
          <w:lang w:val="en-US" w:eastAsia="zh-CN"/>
        </w:rPr>
        <w:t>饲料用</w:t>
      </w:r>
      <w:r>
        <w:rPr>
          <w:rFonts w:hint="default" w:ascii="Times New Roman" w:hAnsi="Times New Roman" w:eastAsia="仿宋_GB2312" w:cs="Times New Roman"/>
          <w:color w:val="auto"/>
          <w:szCs w:val="32"/>
          <w:highlight w:val="none"/>
          <w:lang w:val="en-US" w:eastAsia="zh-CN"/>
        </w:rPr>
        <w:t>粮标准的，</w:t>
      </w:r>
      <w:r>
        <w:rPr>
          <w:rFonts w:hint="eastAsia" w:ascii="Times New Roman" w:hAnsi="Times New Roman" w:cs="Times New Roman"/>
          <w:color w:val="auto"/>
          <w:szCs w:val="32"/>
          <w:highlight w:val="none"/>
          <w:lang w:val="en-US" w:eastAsia="zh-CN"/>
        </w:rPr>
        <w:t>按照饲料用</w:t>
      </w:r>
      <w:r>
        <w:rPr>
          <w:rFonts w:hint="default" w:ascii="Times New Roman" w:hAnsi="Times New Roman" w:eastAsia="仿宋_GB2312" w:cs="Times New Roman"/>
          <w:color w:val="auto"/>
          <w:szCs w:val="32"/>
          <w:highlight w:val="none"/>
          <w:lang w:val="en-US" w:eastAsia="zh-CN"/>
        </w:rPr>
        <w:t>粮或非食用工业用粮处置；经检验符合工业用粮标准的，按照非食用工业用粮处置；经检验无以上使用价值的，进行无害化处置。属重金属超标的，可参照省上有关规定执行。</w:t>
      </w:r>
    </w:p>
    <w:p>
      <w:pPr>
        <w:pStyle w:val="15"/>
        <w:keepNext w:val="0"/>
        <w:keepLines w:val="0"/>
        <w:pageBreakBefore w:val="0"/>
        <w:widowControl w:val="0"/>
        <w:kinsoku/>
        <w:wordWrap/>
        <w:overflowPunct/>
        <w:topLinePunct w:val="0"/>
        <w:autoSpaceDE/>
        <w:autoSpaceDN/>
        <w:bidi w:val="0"/>
        <w:adjustRightInd/>
        <w:snapToGrid/>
        <w:spacing w:after="0" w:line="580" w:lineRule="exact"/>
        <w:ind w:firstLine="64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超标稻谷处置原则上应在收购结束后当年内完成。参与超标稻谷处置的企业应当向所在地县（市、区）粮食部门签订承诺书，承诺按规定用途使用超标稻谷，自觉接受有关职能部门的全程监管，按照质量追随要求，建立专账、专表，并及时向县级有关部门报送有关情况，保证经处置后的上市产品符合《食品安全国家标准粮食》</w:t>
      </w:r>
      <w:r>
        <w:rPr>
          <w:rFonts w:hint="eastAsia" w:ascii="Times New Roman" w:hAnsi="Times New Roman" w:cs="Times New Roman"/>
          <w:lang w:val="en-US" w:eastAsia="zh-CN"/>
        </w:rPr>
        <w:t>（</w:t>
      </w:r>
      <w:r>
        <w:rPr>
          <w:rFonts w:hint="default" w:ascii="Times New Roman" w:hAnsi="Times New Roman" w:eastAsia="仿宋_GB2312" w:cs="Times New Roman"/>
          <w:lang w:val="en-US" w:eastAsia="zh-CN"/>
        </w:rPr>
        <w:t>GB2715--2016）和《饲料卫生标准》(GB13078—2017)，如违反规定</w:t>
      </w:r>
      <w:r>
        <w:rPr>
          <w:rFonts w:hint="eastAsia" w:ascii="Times New Roman" w:hAnsi="Times New Roman" w:cs="Times New Roman"/>
          <w:lang w:val="en-US" w:eastAsia="zh-CN"/>
        </w:rPr>
        <w:t>将</w:t>
      </w:r>
      <w:r>
        <w:rPr>
          <w:rFonts w:hint="default" w:ascii="Times New Roman" w:hAnsi="Times New Roman" w:eastAsia="仿宋_GB2312" w:cs="Times New Roman"/>
          <w:lang w:val="en-US" w:eastAsia="zh-CN"/>
        </w:rPr>
        <w:t>承担一切责任。</w:t>
      </w:r>
    </w:p>
    <w:p>
      <w:pPr>
        <w:pStyle w:val="15"/>
        <w:keepNext w:val="0"/>
        <w:keepLines w:val="0"/>
        <w:pageBreakBefore w:val="0"/>
        <w:widowControl w:val="0"/>
        <w:kinsoku/>
        <w:wordWrap/>
        <w:overflowPunct/>
        <w:topLinePunct w:val="0"/>
        <w:autoSpaceDE/>
        <w:autoSpaceDN/>
        <w:bidi w:val="0"/>
        <w:adjustRightInd/>
        <w:snapToGrid/>
        <w:spacing w:after="0" w:line="580" w:lineRule="exact"/>
        <w:ind w:firstLine="64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超标稻谷收购处置费用（含价差亏损、利息、收购费、保管费、监管费、出库费、检验费等）由县（市、区</w:t>
      </w:r>
      <w:r>
        <w:rPr>
          <w:rFonts w:hint="eastAsia" w:ascii="Times New Roman" w:hAnsi="Times New Roman" w:cs="Times New Roman"/>
          <w:lang w:val="en-US" w:eastAsia="zh-CN"/>
        </w:rPr>
        <w:t>）</w:t>
      </w:r>
      <w:r>
        <w:rPr>
          <w:rFonts w:hint="default" w:ascii="Times New Roman" w:hAnsi="Times New Roman" w:eastAsia="仿宋_GB2312" w:cs="Times New Roman"/>
          <w:lang w:val="en-US" w:eastAsia="zh-CN"/>
        </w:rPr>
        <w:t>人民政府负责。费用从当地粮食风险基金中列支，风险基金不足的由县（市、区</w:t>
      </w:r>
      <w:r>
        <w:rPr>
          <w:rFonts w:hint="eastAsia" w:ascii="Times New Roman" w:hAnsi="Times New Roman" w:cs="Times New Roman"/>
          <w:lang w:val="en-US" w:eastAsia="zh-CN"/>
        </w:rPr>
        <w:t>）</w:t>
      </w:r>
      <w:r>
        <w:rPr>
          <w:rFonts w:hint="default" w:ascii="Times New Roman" w:hAnsi="Times New Roman" w:eastAsia="仿宋_GB2312" w:cs="Times New Roman"/>
          <w:lang w:val="en-US" w:eastAsia="zh-CN"/>
        </w:rPr>
        <w:t>财政列入预算解决。</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Cs w:val="32"/>
          <w:highlight w:val="none"/>
          <w:lang w:val="en-US" w:eastAsia="zh-CN"/>
        </w:rPr>
      </w:pPr>
      <w:r>
        <w:rPr>
          <w:rFonts w:hint="default" w:ascii="Times New Roman" w:hAnsi="Times New Roman" w:eastAsia="仿宋_GB2312" w:cs="Times New Roman"/>
          <w:lang w:val="en-US" w:eastAsia="zh-CN"/>
        </w:rPr>
        <w:t>超标稻谷所有权属当地县（市、区）人民政府。未经批准任何单位和个人不得擅自处置或移动。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Cs w:val="32"/>
          <w:highlight w:val="none"/>
          <w:lang w:val="en-US" w:eastAsia="zh-CN"/>
        </w:rPr>
      </w:pPr>
      <w:r>
        <w:rPr>
          <w:rFonts w:hint="default" w:ascii="Times New Roman" w:hAnsi="Times New Roman" w:eastAsia="仿宋_GB2312" w:cs="Times New Roman"/>
          <w:color w:val="auto"/>
          <w:szCs w:val="32"/>
          <w:highlight w:val="none"/>
          <w:lang w:val="en-US" w:eastAsia="zh-CN"/>
        </w:rPr>
        <w:t>（4）监督检查</w:t>
      </w:r>
    </w:p>
    <w:p>
      <w:pPr>
        <w:pStyle w:val="15"/>
        <w:keepNext w:val="0"/>
        <w:keepLines w:val="0"/>
        <w:pageBreakBefore w:val="0"/>
        <w:widowControl w:val="0"/>
        <w:kinsoku/>
        <w:wordWrap/>
        <w:overflowPunct/>
        <w:topLinePunct w:val="0"/>
        <w:autoSpaceDE/>
        <w:autoSpaceDN/>
        <w:bidi w:val="0"/>
        <w:adjustRightInd/>
        <w:snapToGrid/>
        <w:spacing w:after="0" w:line="580" w:lineRule="exact"/>
        <w:ind w:firstLine="640" w:firstLineChars="200"/>
        <w:textAlignment w:val="auto"/>
        <w:rPr>
          <w:rFonts w:hint="default"/>
          <w:lang w:val="en-US" w:eastAsia="zh-CN"/>
        </w:rPr>
      </w:pPr>
      <w:r>
        <w:rPr>
          <w:rFonts w:hint="default" w:ascii="Times New Roman" w:hAnsi="Times New Roman" w:eastAsia="仿宋_GB2312" w:cs="Times New Roman"/>
          <w:color w:val="auto"/>
          <w:szCs w:val="32"/>
          <w:highlight w:val="none"/>
          <w:lang w:val="en-US" w:eastAsia="zh-CN"/>
        </w:rPr>
        <w:t>按照四川省发展和改革委员会 四川省粮食局 四川省财政厅 四川省农业厅 四川省食品药品监督管理局 中国农业发展银行四川省分行文件</w:t>
      </w:r>
      <w:r>
        <w:rPr>
          <w:rFonts w:hint="eastAsia" w:ascii="Times New Roman" w:hAnsi="Times New Roman" w:cs="Times New Roman"/>
          <w:color w:val="auto"/>
          <w:szCs w:val="32"/>
          <w:highlight w:val="none"/>
          <w:lang w:val="en-US" w:eastAsia="zh-CN"/>
        </w:rPr>
        <w:t>《关于印发〈四川省超标稻谷收购处置实施方案〉的通知》</w:t>
      </w:r>
      <w:r>
        <w:rPr>
          <w:rFonts w:hint="default" w:ascii="Times New Roman" w:hAnsi="Times New Roman" w:eastAsia="仿宋_GB2312" w:cs="Times New Roman"/>
          <w:color w:val="auto"/>
          <w:szCs w:val="32"/>
          <w:highlight w:val="none"/>
          <w:lang w:val="en-US" w:eastAsia="zh-CN"/>
        </w:rPr>
        <w:t>（川粮发〔2018〕2号）的要求，县（市、区</w:t>
      </w:r>
      <w:r>
        <w:rPr>
          <w:rFonts w:hint="eastAsia" w:ascii="Times New Roman" w:hAnsi="Times New Roman" w:cs="Times New Roman"/>
          <w:color w:val="auto"/>
          <w:szCs w:val="32"/>
          <w:highlight w:val="none"/>
          <w:lang w:val="en-US" w:eastAsia="zh-CN"/>
        </w:rPr>
        <w:t>）</w:t>
      </w:r>
      <w:r>
        <w:rPr>
          <w:rFonts w:hint="default" w:ascii="Times New Roman" w:hAnsi="Times New Roman" w:eastAsia="仿宋_GB2312" w:cs="Times New Roman"/>
          <w:color w:val="auto"/>
          <w:szCs w:val="32"/>
          <w:highlight w:val="none"/>
          <w:lang w:val="en-US" w:eastAsia="zh-CN"/>
        </w:rPr>
        <w:t>人民政府要组织相关部门按照各自职责分工，在超标稻谷收购、储存、处置过程中实行全程跟踪监管，确保问题可倒查，责任可追究；建立驻库监管制度，超标稻谷在收购和处置期间，县（市、区）相关部门要向收购处量企业安排驻库监管员，对收购处置全过程进行监管；建立严格的处罚制度，凡未按规定收购、储存、处置以及发现虚报冒领、</w:t>
      </w:r>
      <w:r>
        <w:rPr>
          <w:rFonts w:hint="eastAsia" w:ascii="Times New Roman" w:hAnsi="Times New Roman" w:cs="Times New Roman"/>
          <w:color w:val="auto"/>
          <w:szCs w:val="32"/>
          <w:highlight w:val="none"/>
          <w:lang w:val="en-US" w:eastAsia="zh-CN"/>
        </w:rPr>
        <w:t>“</w:t>
      </w:r>
      <w:r>
        <w:rPr>
          <w:rFonts w:hint="default" w:ascii="Times New Roman" w:hAnsi="Times New Roman" w:eastAsia="仿宋_GB2312" w:cs="Times New Roman"/>
          <w:color w:val="auto"/>
          <w:szCs w:val="32"/>
          <w:highlight w:val="none"/>
          <w:lang w:val="en-US" w:eastAsia="zh-CN"/>
        </w:rPr>
        <w:t>转圈粮</w:t>
      </w:r>
      <w:r>
        <w:rPr>
          <w:rFonts w:hint="eastAsia" w:ascii="Times New Roman" w:hAnsi="Times New Roman" w:cs="Times New Roman"/>
          <w:color w:val="auto"/>
          <w:szCs w:val="32"/>
          <w:highlight w:val="none"/>
          <w:lang w:val="en-US" w:eastAsia="zh-CN"/>
        </w:rPr>
        <w:t>”</w:t>
      </w:r>
      <w:r>
        <w:rPr>
          <w:rFonts w:hint="default" w:ascii="Times New Roman" w:hAnsi="Times New Roman" w:eastAsia="仿宋_GB2312" w:cs="Times New Roman"/>
          <w:color w:val="auto"/>
          <w:szCs w:val="32"/>
          <w:highlight w:val="none"/>
          <w:lang w:val="en-US" w:eastAsia="zh-CN"/>
        </w:rPr>
        <w:t>、低收高转等违法遗规行为的，由所在地政府追回粮款归还农发行贷款，核减收购企业的收购进度和库存统计，扣回其费用，将收购企业列入</w:t>
      </w:r>
      <w:r>
        <w:rPr>
          <w:rFonts w:hint="eastAsia" w:ascii="Times New Roman" w:hAnsi="Times New Roman" w:cs="Times New Roman"/>
          <w:color w:val="auto"/>
          <w:szCs w:val="32"/>
          <w:highlight w:val="none"/>
          <w:lang w:val="en-US" w:eastAsia="zh-CN"/>
        </w:rPr>
        <w:t>“</w:t>
      </w:r>
      <w:r>
        <w:rPr>
          <w:rFonts w:hint="default" w:ascii="Times New Roman" w:hAnsi="Times New Roman" w:eastAsia="仿宋_GB2312" w:cs="Times New Roman"/>
          <w:color w:val="auto"/>
          <w:szCs w:val="32"/>
          <w:highlight w:val="none"/>
          <w:lang w:val="en-US" w:eastAsia="zh-CN"/>
        </w:rPr>
        <w:t>黑名单</w:t>
      </w:r>
      <w:r>
        <w:rPr>
          <w:rFonts w:hint="eastAsia" w:ascii="Times New Roman" w:hAnsi="Times New Roman" w:cs="Times New Roman"/>
          <w:color w:val="auto"/>
          <w:szCs w:val="32"/>
          <w:highlight w:val="none"/>
          <w:lang w:val="en-US" w:eastAsia="zh-CN"/>
        </w:rPr>
        <w:t>”</w:t>
      </w:r>
      <w:r>
        <w:rPr>
          <w:rFonts w:hint="default" w:ascii="Times New Roman" w:hAnsi="Times New Roman" w:eastAsia="仿宋_GB2312" w:cs="Times New Roman"/>
          <w:color w:val="auto"/>
          <w:szCs w:val="32"/>
          <w:highlight w:val="none"/>
          <w:lang w:val="en-US" w:eastAsia="zh-CN"/>
        </w:rPr>
        <w:t>，并按《财政违法行为处罚处分条例》及相关法律法规追究收购企业主要负责人和相关责任人的责任，涉嫌违法犯罪移送司法机关依法处理。全省各地各有关部门及收购处置企业要严格按照保密工作要求，做好敏感数据保密工作；并将超标稻谷收购处置工作列入各级粮食安全责任制考核内容。</w:t>
      </w:r>
    </w:p>
    <w:p>
      <w:pPr>
        <w:pStyle w:val="4"/>
        <w:pageBreakBefore w:val="0"/>
        <w:kinsoku/>
        <w:wordWrap/>
        <w:overflowPunct/>
        <w:topLinePunct w:val="0"/>
        <w:autoSpaceDE/>
        <w:autoSpaceDN/>
        <w:bidi w:val="0"/>
        <w:adjustRightInd/>
        <w:snapToGrid/>
        <w:spacing w:before="0" w:after="0" w:line="580" w:lineRule="exact"/>
        <w:ind w:firstLine="640"/>
        <w:rPr>
          <w:rFonts w:hint="default" w:ascii="Times New Roman" w:hAnsi="Times New Roman" w:cs="Times New Roman"/>
          <w:b/>
          <w:bCs w:val="0"/>
          <w:color w:val="auto"/>
          <w:szCs w:val="32"/>
          <w:highlight w:val="none"/>
        </w:rPr>
      </w:pPr>
      <w:r>
        <w:rPr>
          <w:rFonts w:hint="default" w:ascii="Times New Roman" w:hAnsi="Times New Roman" w:cs="Times New Roman"/>
          <w:b/>
          <w:bCs w:val="0"/>
          <w:color w:val="auto"/>
          <w:szCs w:val="32"/>
          <w:highlight w:val="none"/>
        </w:rPr>
        <w:t>3.完成情况</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根据德阳市罗江区人民政府办公室《关于印发〈德阳市罗江区2021年超标稻谷收购工作方案〉的通知》（德市罗府办发〔2021〕76号）和德阳市罗江区发展和改革局 德阳市罗江区财政局 德阳市罗江区市场监督管理局 德阳市罗江区农业农村局 中国农业发展银行德阳市分行《关于印发〈德阳市罗江区处置2021年超标稻谷实施方案〉的通知》（德市罗发改发〔2022〕16号）要求</w:t>
      </w:r>
      <w:r>
        <w:rPr>
          <w:rFonts w:hint="default" w:ascii="Times New Roman" w:hAnsi="Times New Roman" w:cs="Times New Roman"/>
          <w:color w:val="auto"/>
          <w:szCs w:val="32"/>
          <w:highlight w:val="none"/>
          <w:lang w:val="en-US" w:eastAsia="zh-CN"/>
        </w:rPr>
        <w:t>，</w:t>
      </w:r>
      <w:r>
        <w:rPr>
          <w:rFonts w:hint="eastAsia" w:ascii="Times New Roman" w:hAnsi="Times New Roman" w:cs="Times New Roman"/>
          <w:color w:val="auto"/>
          <w:szCs w:val="32"/>
          <w:highlight w:val="none"/>
          <w:lang w:val="en-US" w:eastAsia="zh-CN"/>
        </w:rPr>
        <w:t>罗江区</w:t>
      </w:r>
      <w:r>
        <w:rPr>
          <w:rFonts w:hint="default" w:ascii="Times New Roman" w:hAnsi="Times New Roman" w:cs="Times New Roman"/>
          <w:color w:val="auto"/>
          <w:szCs w:val="32"/>
          <w:highlight w:val="none"/>
          <w:lang w:val="en-US" w:eastAsia="zh-CN"/>
        </w:rPr>
        <w:t>粮油收储总公司共</w:t>
      </w:r>
      <w:r>
        <w:rPr>
          <w:rFonts w:hint="eastAsia" w:ascii="Times New Roman" w:hAnsi="Times New Roman" w:cs="Times New Roman"/>
          <w:color w:val="auto"/>
          <w:szCs w:val="32"/>
          <w:highlight w:val="none"/>
          <w:lang w:val="en-US" w:eastAsia="zh-CN"/>
        </w:rPr>
        <w:t>收购超标</w:t>
      </w:r>
      <w:r>
        <w:rPr>
          <w:rFonts w:hint="default" w:ascii="Times New Roman" w:hAnsi="Times New Roman" w:cs="Times New Roman"/>
          <w:color w:val="auto"/>
          <w:szCs w:val="32"/>
          <w:highlight w:val="none"/>
          <w:lang w:val="en-US" w:eastAsia="zh-CN"/>
        </w:rPr>
        <w:t>稻谷</w:t>
      </w:r>
      <w:r>
        <w:rPr>
          <w:rFonts w:hint="eastAsia" w:ascii="Times New Roman" w:hAnsi="Times New Roman" w:cs="Times New Roman"/>
          <w:color w:val="auto"/>
          <w:szCs w:val="32"/>
          <w:highlight w:val="none"/>
          <w:lang w:val="en-US" w:eastAsia="zh-CN"/>
        </w:rPr>
        <w:t>8220.006</w:t>
      </w:r>
      <w:r>
        <w:rPr>
          <w:rFonts w:hint="default" w:ascii="Times New Roman" w:hAnsi="Times New Roman" w:cs="Times New Roman"/>
          <w:color w:val="auto"/>
          <w:szCs w:val="32"/>
          <w:highlight w:val="none"/>
          <w:lang w:val="en-US" w:eastAsia="zh-CN"/>
        </w:rPr>
        <w:t>吨</w:t>
      </w:r>
      <w:r>
        <w:rPr>
          <w:rFonts w:hint="eastAsia" w:ascii="Times New Roman" w:hAnsi="Times New Roman" w:cs="Times New Roman"/>
          <w:color w:val="auto"/>
          <w:szCs w:val="32"/>
          <w:highlight w:val="none"/>
          <w:lang w:val="en-US" w:eastAsia="zh-CN"/>
        </w:rPr>
        <w:t>，其中：镉值为0.2mg/kg-0.4mg/kg的超标稻谷收购4651.736吨，镉值为0.4mg/kg以上的超标稻谷收购3568.27吨；处置超标稻谷8220.006</w:t>
      </w:r>
      <w:r>
        <w:rPr>
          <w:rFonts w:hint="default" w:ascii="Times New Roman" w:hAnsi="Times New Roman" w:cs="Times New Roman"/>
          <w:color w:val="auto"/>
          <w:szCs w:val="32"/>
          <w:highlight w:val="none"/>
          <w:lang w:val="en-US" w:eastAsia="zh-CN"/>
        </w:rPr>
        <w:t>吨</w:t>
      </w:r>
      <w:r>
        <w:rPr>
          <w:rFonts w:hint="eastAsia" w:ascii="Times New Roman" w:hAnsi="Times New Roman" w:cs="Times New Roman"/>
          <w:color w:val="auto"/>
          <w:szCs w:val="32"/>
          <w:highlight w:val="none"/>
          <w:lang w:val="en-US" w:eastAsia="zh-CN"/>
        </w:rPr>
        <w:t>，参考底价1800元/吨（由区发改局会同区财政局、农发行德阳市分行根据市场行情共同确定）。</w:t>
      </w:r>
      <w:r>
        <w:rPr>
          <w:rFonts w:hint="default" w:ascii="Times New Roman" w:hAnsi="Times New Roman" w:eastAsia="仿宋_GB2312" w:cs="Times New Roman"/>
          <w:color w:val="auto"/>
          <w:sz w:val="32"/>
          <w:szCs w:val="32"/>
          <w:highlight w:val="none"/>
          <w:lang w:val="en-US" w:eastAsia="zh-CN"/>
        </w:rPr>
        <w:t>按照粮食安全党政同责和食品安全党政同责的要求，</w:t>
      </w:r>
      <w:r>
        <w:rPr>
          <w:rFonts w:hint="eastAsia" w:ascii="Times New Roman" w:hAnsi="Times New Roman" w:cs="Times New Roman"/>
          <w:color w:val="auto"/>
          <w:sz w:val="32"/>
          <w:szCs w:val="32"/>
          <w:highlight w:val="none"/>
          <w:lang w:val="en-US" w:eastAsia="zh-CN"/>
        </w:rPr>
        <w:t>完成了超标稻谷的收购与处置任务，保障了农民种粮的利益，一定程度上防范了超标稻谷流入口粮市场的危机，对安全用粮起到了保障作用，群众满意度较高。</w:t>
      </w:r>
    </w:p>
    <w:p>
      <w:pPr>
        <w:pStyle w:val="2"/>
        <w:keepNext/>
        <w:keepLines/>
        <w:pageBreakBefore w:val="0"/>
        <w:widowControl w:val="0"/>
        <w:kinsoku/>
        <w:wordWrap/>
        <w:overflowPunct/>
        <w:topLinePunct w:val="0"/>
        <w:autoSpaceDE/>
        <w:autoSpaceDN/>
        <w:bidi w:val="0"/>
        <w:adjustRightInd/>
        <w:snapToGrid/>
        <w:spacing w:before="0" w:after="0" w:line="580" w:lineRule="exact"/>
        <w:ind w:left="0" w:leftChars="0" w:firstLine="640" w:firstLineChars="200"/>
        <w:textAlignment w:val="auto"/>
        <w:rPr>
          <w:rFonts w:hint="default" w:ascii="Times New Roman" w:hAnsi="Times New Roman" w:eastAsia="黑体" w:cs="Times New Roman"/>
          <w:b w:val="0"/>
          <w:bCs/>
          <w:color w:val="auto"/>
          <w:sz w:val="32"/>
          <w:szCs w:val="20"/>
          <w:highlight w:val="none"/>
        </w:rPr>
      </w:pPr>
      <w:bookmarkStart w:id="9" w:name="_Toc31948"/>
      <w:r>
        <w:rPr>
          <w:rFonts w:hint="default" w:ascii="Times New Roman" w:hAnsi="Times New Roman" w:eastAsia="黑体" w:cs="Times New Roman"/>
          <w:b w:val="0"/>
          <w:bCs/>
          <w:color w:val="auto"/>
          <w:sz w:val="32"/>
          <w:szCs w:val="20"/>
          <w:highlight w:val="none"/>
        </w:rPr>
        <w:t>二、评价工作开展情况</w:t>
      </w:r>
      <w:bookmarkEnd w:id="9"/>
    </w:p>
    <w:p>
      <w:pPr>
        <w:pStyle w:val="3"/>
        <w:pageBreakBefore w:val="0"/>
        <w:widowControl w:val="0"/>
        <w:kinsoku/>
        <w:wordWrap/>
        <w:overflowPunct/>
        <w:topLinePunct w:val="0"/>
        <w:autoSpaceDE/>
        <w:autoSpaceDN/>
        <w:bidi w:val="0"/>
        <w:adjustRightInd/>
        <w:snapToGrid/>
        <w:spacing w:beforeAutospacing="0" w:afterAutospacing="0" w:line="580" w:lineRule="exact"/>
        <w:ind w:firstLine="643"/>
        <w:jc w:val="both"/>
        <w:textAlignment w:val="auto"/>
        <w:rPr>
          <w:rFonts w:hint="default" w:ascii="Times New Roman" w:hAnsi="Times New Roman" w:eastAsia="楷体_GB2312" w:cs="Times New Roman"/>
          <w:color w:val="auto"/>
          <w:sz w:val="32"/>
          <w:szCs w:val="32"/>
          <w:highlight w:val="none"/>
        </w:rPr>
      </w:pPr>
      <w:bookmarkStart w:id="10" w:name="_Toc22062"/>
      <w:r>
        <w:rPr>
          <w:rFonts w:hint="default" w:ascii="Times New Roman" w:hAnsi="Times New Roman" w:eastAsia="楷体_GB2312" w:cs="Times New Roman"/>
          <w:color w:val="auto"/>
          <w:sz w:val="32"/>
          <w:szCs w:val="32"/>
          <w:highlight w:val="none"/>
        </w:rPr>
        <w:t>（一）绩效评价的目的</w:t>
      </w:r>
      <w:bookmarkEnd w:id="10"/>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rPr>
      </w:pPr>
      <w:r>
        <w:rPr>
          <w:rFonts w:hint="default" w:ascii="Times New Roman" w:hAnsi="Times New Roman" w:cs="Times New Roman"/>
          <w:color w:val="auto"/>
        </w:rPr>
        <w:t>本次以评价</w:t>
      </w:r>
      <w:r>
        <w:rPr>
          <w:rFonts w:hint="default" w:ascii="Times New Roman" w:hAnsi="Times New Roman" w:cs="Times New Roman"/>
          <w:color w:val="auto"/>
          <w:lang w:eastAsia="zh-CN"/>
        </w:rPr>
        <w:t>德阳市罗江区发展和改革局202</w:t>
      </w:r>
      <w:r>
        <w:rPr>
          <w:rFonts w:hint="eastAsia" w:ascii="Times New Roman" w:hAnsi="Times New Roman" w:cs="Times New Roman"/>
          <w:color w:val="auto"/>
          <w:lang w:val="en-US" w:eastAsia="zh-CN"/>
        </w:rPr>
        <w:t>2</w:t>
      </w:r>
      <w:r>
        <w:rPr>
          <w:rFonts w:hint="default" w:ascii="Times New Roman" w:hAnsi="Times New Roman" w:cs="Times New Roman"/>
          <w:color w:val="auto"/>
          <w:lang w:eastAsia="zh-CN"/>
        </w:rPr>
        <w:t>年</w:t>
      </w:r>
      <w:r>
        <w:rPr>
          <w:rFonts w:hint="eastAsia" w:ascii="Times New Roman" w:hAnsi="Times New Roman" w:cs="Times New Roman"/>
          <w:color w:val="auto"/>
          <w:lang w:eastAsia="zh-CN"/>
        </w:rPr>
        <w:t>“超标稻谷费用项目”</w:t>
      </w:r>
      <w:r>
        <w:rPr>
          <w:rFonts w:hint="default" w:ascii="Times New Roman" w:hAnsi="Times New Roman" w:cs="Times New Roman"/>
          <w:color w:val="auto"/>
          <w:lang w:val="en-US" w:eastAsia="zh-CN"/>
        </w:rPr>
        <w:t>项目</w:t>
      </w:r>
      <w:r>
        <w:rPr>
          <w:rFonts w:hint="default" w:ascii="Times New Roman" w:hAnsi="Times New Roman" w:cs="Times New Roman"/>
          <w:color w:val="auto"/>
        </w:rPr>
        <w:t>产生的效果为导向，通过系统整理和分析项目的</w:t>
      </w:r>
      <w:r>
        <w:rPr>
          <w:rFonts w:hint="eastAsia" w:ascii="Times New Roman" w:hAnsi="Times New Roman" w:cs="Times New Roman"/>
          <w:color w:val="auto"/>
          <w:lang w:eastAsia="zh-CN"/>
        </w:rPr>
        <w:t>“</w:t>
      </w:r>
      <w:r>
        <w:rPr>
          <w:rFonts w:hint="default" w:ascii="Times New Roman" w:hAnsi="Times New Roman" w:cs="Times New Roman"/>
          <w:color w:val="auto"/>
        </w:rPr>
        <w:t>决策投入</w:t>
      </w:r>
      <w:r>
        <w:rPr>
          <w:rFonts w:hint="eastAsia" w:ascii="Times New Roman" w:hAnsi="Times New Roman" w:cs="Times New Roman"/>
          <w:color w:val="auto"/>
          <w:lang w:eastAsia="zh-CN"/>
        </w:rPr>
        <w:t>”“</w:t>
      </w:r>
      <w:r>
        <w:rPr>
          <w:rFonts w:hint="default" w:ascii="Times New Roman" w:hAnsi="Times New Roman" w:cs="Times New Roman"/>
          <w:color w:val="auto"/>
        </w:rPr>
        <w:t>过程管理</w:t>
      </w:r>
      <w:r>
        <w:rPr>
          <w:rFonts w:hint="eastAsia" w:ascii="Times New Roman" w:hAnsi="Times New Roman" w:cs="Times New Roman"/>
          <w:color w:val="auto"/>
          <w:lang w:eastAsia="zh-CN"/>
        </w:rPr>
        <w:t>”“</w:t>
      </w:r>
      <w:r>
        <w:rPr>
          <w:rFonts w:hint="default" w:ascii="Times New Roman" w:hAnsi="Times New Roman" w:cs="Times New Roman"/>
          <w:color w:val="auto"/>
        </w:rPr>
        <w:t>产出</w:t>
      </w:r>
      <w:r>
        <w:rPr>
          <w:rFonts w:hint="eastAsia" w:ascii="Times New Roman" w:hAnsi="Times New Roman" w:cs="Times New Roman"/>
          <w:color w:val="auto"/>
          <w:lang w:eastAsia="zh-CN"/>
        </w:rPr>
        <w:t>”“</w:t>
      </w:r>
      <w:r>
        <w:rPr>
          <w:rFonts w:hint="default" w:ascii="Times New Roman" w:hAnsi="Times New Roman" w:cs="Times New Roman"/>
          <w:color w:val="auto"/>
        </w:rPr>
        <w:t>效果</w:t>
      </w:r>
      <w:r>
        <w:rPr>
          <w:rFonts w:hint="eastAsia" w:ascii="Times New Roman" w:hAnsi="Times New Roman" w:cs="Times New Roman"/>
          <w:color w:val="auto"/>
          <w:lang w:eastAsia="zh-CN"/>
        </w:rPr>
        <w:t>”</w:t>
      </w:r>
      <w:r>
        <w:rPr>
          <w:rFonts w:hint="default" w:ascii="Times New Roman" w:hAnsi="Times New Roman" w:cs="Times New Roman"/>
          <w:color w:val="auto"/>
        </w:rPr>
        <w:t>等情况，对本项目的经济性、效率性、效益性和公平性进行客观、</w:t>
      </w:r>
      <w:r>
        <w:rPr>
          <w:rFonts w:hint="default" w:ascii="Times New Roman" w:hAnsi="Times New Roman" w:cs="Times New Roman"/>
          <w:color w:val="auto"/>
          <w:lang w:eastAsia="zh-CN"/>
        </w:rPr>
        <w:t>公正</w:t>
      </w:r>
      <w:r>
        <w:rPr>
          <w:rFonts w:hint="eastAsia" w:ascii="Times New Roman" w:hAnsi="Times New Roman" w:cs="Times New Roman"/>
          <w:color w:val="auto"/>
          <w:lang w:eastAsia="zh-CN"/>
        </w:rPr>
        <w:t>地</w:t>
      </w:r>
      <w:r>
        <w:rPr>
          <w:rFonts w:hint="default" w:ascii="Times New Roman" w:hAnsi="Times New Roman" w:cs="Times New Roman"/>
          <w:color w:val="auto"/>
          <w:lang w:eastAsia="zh-CN"/>
        </w:rPr>
        <w:t>测量</w:t>
      </w:r>
      <w:r>
        <w:rPr>
          <w:rFonts w:hint="default" w:ascii="Times New Roman" w:hAnsi="Times New Roman" w:cs="Times New Roman"/>
          <w:color w:val="auto"/>
        </w:rPr>
        <w:t>、分析和评判。同时，梳理项目存在的主要问题，提出改善后继管理的建议，为优化财政支出管理，进一步完善和实施绩效目标制定、绩效动态跟踪、绩效评价、结果应用等全过程预算绩效管理提供决策依据，为下一步实施预算绩效管理奠定基础。具体目标如下：</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rPr>
      </w:pPr>
      <w:r>
        <w:rPr>
          <w:rFonts w:hint="default" w:ascii="Times New Roman" w:hAnsi="Times New Roman" w:cs="Times New Roman"/>
          <w:color w:val="auto"/>
        </w:rPr>
        <w:t>1.通过评价，了解</w:t>
      </w:r>
      <w:r>
        <w:rPr>
          <w:rFonts w:hint="default" w:ascii="Times New Roman" w:hAnsi="Times New Roman" w:cs="Times New Roman"/>
          <w:color w:val="auto"/>
          <w:lang w:eastAsia="zh-CN"/>
        </w:rPr>
        <w:t>德阳市罗江区发展和改革局202</w:t>
      </w:r>
      <w:r>
        <w:rPr>
          <w:rFonts w:hint="eastAsia" w:ascii="Times New Roman" w:hAnsi="Times New Roman" w:cs="Times New Roman"/>
          <w:color w:val="auto"/>
          <w:lang w:val="en-US" w:eastAsia="zh-CN"/>
        </w:rPr>
        <w:t>2</w:t>
      </w:r>
      <w:r>
        <w:rPr>
          <w:rFonts w:hint="default" w:ascii="Times New Roman" w:hAnsi="Times New Roman" w:cs="Times New Roman"/>
          <w:color w:val="auto"/>
          <w:lang w:eastAsia="zh-CN"/>
        </w:rPr>
        <w:t>年</w:t>
      </w:r>
      <w:r>
        <w:rPr>
          <w:rFonts w:hint="eastAsia" w:ascii="Times New Roman" w:hAnsi="Times New Roman" w:cs="Times New Roman"/>
          <w:color w:val="auto"/>
          <w:lang w:eastAsia="zh-CN"/>
        </w:rPr>
        <w:t>“超标稻谷费用项目”</w:t>
      </w:r>
      <w:r>
        <w:rPr>
          <w:rFonts w:hint="default" w:ascii="Times New Roman" w:hAnsi="Times New Roman" w:cs="Times New Roman"/>
          <w:color w:val="auto"/>
        </w:rPr>
        <w:t>的基本状况，对</w:t>
      </w:r>
      <w:r>
        <w:rPr>
          <w:rFonts w:hint="default" w:ascii="Times New Roman" w:hAnsi="Times New Roman" w:cs="Times New Roman"/>
          <w:color w:val="auto"/>
          <w:lang w:val="en-US" w:eastAsia="zh-CN"/>
        </w:rPr>
        <w:t>项目</w:t>
      </w:r>
      <w:r>
        <w:rPr>
          <w:rFonts w:hint="default" w:ascii="Times New Roman" w:hAnsi="Times New Roman" w:cs="Times New Roman"/>
          <w:color w:val="auto"/>
        </w:rPr>
        <w:t>的实施背景和目的、实施内容和现状、预算安排及使用情况深入调研和分析；</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rPr>
      </w:pPr>
      <w:r>
        <w:rPr>
          <w:rFonts w:hint="default" w:ascii="Times New Roman" w:hAnsi="Times New Roman" w:cs="Times New Roman"/>
          <w:color w:val="auto"/>
        </w:rPr>
        <w:t>2.通过评价，了解</w:t>
      </w:r>
      <w:r>
        <w:rPr>
          <w:rFonts w:hint="default" w:ascii="Times New Roman" w:hAnsi="Times New Roman" w:cs="Times New Roman"/>
          <w:color w:val="auto"/>
          <w:lang w:eastAsia="zh-CN"/>
        </w:rPr>
        <w:t>德阳市罗江区发展和改革局202</w:t>
      </w:r>
      <w:r>
        <w:rPr>
          <w:rFonts w:hint="eastAsia" w:ascii="Times New Roman" w:hAnsi="Times New Roman" w:cs="Times New Roman"/>
          <w:color w:val="auto"/>
          <w:lang w:val="en-US" w:eastAsia="zh-CN"/>
        </w:rPr>
        <w:t>2</w:t>
      </w:r>
      <w:r>
        <w:rPr>
          <w:rFonts w:hint="default" w:ascii="Times New Roman" w:hAnsi="Times New Roman" w:cs="Times New Roman"/>
          <w:color w:val="auto"/>
          <w:lang w:eastAsia="zh-CN"/>
        </w:rPr>
        <w:t>年</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超标稻谷费用</w:t>
      </w:r>
      <w:r>
        <w:rPr>
          <w:rFonts w:hint="eastAsia" w:ascii="Times New Roman" w:hAnsi="Times New Roman" w:cs="Times New Roman"/>
          <w:color w:val="auto"/>
          <w:lang w:eastAsia="zh-CN"/>
        </w:rPr>
        <w:t>”</w:t>
      </w:r>
      <w:r>
        <w:rPr>
          <w:rFonts w:hint="default" w:ascii="Times New Roman" w:hAnsi="Times New Roman" w:cs="Times New Roman"/>
          <w:color w:val="auto"/>
        </w:rPr>
        <w:t>的实际完成情况，了解项目相关组织实施主体在实施过程中的履职情况，评估项目的整体绩效状况；</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rPr>
      </w:pPr>
      <w:r>
        <w:rPr>
          <w:rFonts w:hint="default" w:ascii="Times New Roman" w:hAnsi="Times New Roman" w:cs="Times New Roman"/>
          <w:color w:val="auto"/>
        </w:rPr>
        <w:t>3.通过评价，发掘</w:t>
      </w:r>
      <w:r>
        <w:rPr>
          <w:rFonts w:hint="default" w:ascii="Times New Roman" w:hAnsi="Times New Roman" w:cs="Times New Roman"/>
          <w:color w:val="auto"/>
          <w:lang w:eastAsia="zh-CN"/>
        </w:rPr>
        <w:t>德阳市罗江区发展和改革局202</w:t>
      </w:r>
      <w:r>
        <w:rPr>
          <w:rFonts w:hint="eastAsia" w:ascii="Times New Roman" w:hAnsi="Times New Roman" w:cs="Times New Roman"/>
          <w:color w:val="auto"/>
          <w:lang w:val="en-US" w:eastAsia="zh-CN"/>
        </w:rPr>
        <w:t>2</w:t>
      </w:r>
      <w:r>
        <w:rPr>
          <w:rFonts w:hint="default" w:ascii="Times New Roman" w:hAnsi="Times New Roman" w:cs="Times New Roman"/>
          <w:color w:val="auto"/>
          <w:lang w:eastAsia="zh-CN"/>
        </w:rPr>
        <w:t>年</w:t>
      </w:r>
      <w:r>
        <w:rPr>
          <w:rFonts w:hint="eastAsia" w:ascii="Times New Roman" w:hAnsi="Times New Roman" w:cs="Times New Roman"/>
          <w:color w:val="auto"/>
          <w:lang w:eastAsia="zh-CN"/>
        </w:rPr>
        <w:t>“超标稻谷费用项目”</w:t>
      </w:r>
      <w:r>
        <w:rPr>
          <w:rFonts w:hint="default" w:ascii="Times New Roman" w:hAnsi="Times New Roman" w:cs="Times New Roman"/>
          <w:color w:val="auto"/>
        </w:rPr>
        <w:t>所产生的现实意义和实际价值，总结本项目对促进</w:t>
      </w:r>
      <w:r>
        <w:rPr>
          <w:rFonts w:hint="default" w:ascii="Times New Roman" w:hAnsi="Times New Roman" w:cs="Times New Roman"/>
          <w:color w:val="auto"/>
          <w:lang w:val="en-US" w:eastAsia="zh-CN"/>
        </w:rPr>
        <w:t>相关领域</w:t>
      </w:r>
      <w:r>
        <w:rPr>
          <w:rFonts w:hint="default" w:ascii="Times New Roman" w:hAnsi="Times New Roman" w:cs="Times New Roman"/>
          <w:color w:val="auto"/>
        </w:rPr>
        <w:t>发展的现实指导意义；</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rPr>
      </w:pPr>
      <w:r>
        <w:rPr>
          <w:rFonts w:hint="default" w:ascii="Times New Roman" w:hAnsi="Times New Roman" w:cs="Times New Roman"/>
          <w:color w:val="auto"/>
        </w:rPr>
        <w:t>4.通过评价，从</w:t>
      </w:r>
      <w:r>
        <w:rPr>
          <w:rFonts w:hint="eastAsia" w:ascii="Times New Roman" w:hAnsi="Times New Roman" w:cs="Times New Roman"/>
          <w:color w:val="auto"/>
          <w:lang w:eastAsia="zh-CN"/>
        </w:rPr>
        <w:t>“</w:t>
      </w:r>
      <w:r>
        <w:rPr>
          <w:rFonts w:hint="default" w:ascii="Times New Roman" w:hAnsi="Times New Roman" w:cs="Times New Roman"/>
          <w:color w:val="auto"/>
        </w:rPr>
        <w:t>全面预算绩效管理</w:t>
      </w:r>
      <w:r>
        <w:rPr>
          <w:rFonts w:hint="eastAsia" w:ascii="Times New Roman" w:hAnsi="Times New Roman" w:cs="Times New Roman"/>
          <w:color w:val="auto"/>
          <w:lang w:eastAsia="zh-CN"/>
        </w:rPr>
        <w:t>”</w:t>
      </w:r>
      <w:r>
        <w:rPr>
          <w:rFonts w:hint="default" w:ascii="Times New Roman" w:hAnsi="Times New Roman" w:cs="Times New Roman"/>
          <w:color w:val="auto"/>
        </w:rPr>
        <w:t>的角度发现项目在决策、实施和管理过程中存在的问题，寻求解决方案，为进一步深化项目管理工作提供依据，促进</w:t>
      </w:r>
      <w:r>
        <w:rPr>
          <w:rFonts w:hint="default" w:ascii="Times New Roman" w:hAnsi="Times New Roman" w:cs="Times New Roman"/>
          <w:color w:val="auto"/>
          <w:lang w:eastAsia="zh-CN"/>
        </w:rPr>
        <w:t>德阳市罗江区发展和改革局</w:t>
      </w:r>
      <w:r>
        <w:rPr>
          <w:rFonts w:hint="default" w:ascii="Times New Roman" w:hAnsi="Times New Roman" w:cs="Times New Roman"/>
          <w:color w:val="auto"/>
        </w:rPr>
        <w:t>的管理水平，提高财政资金的使用效率和效果，推进预算绩效管理。</w:t>
      </w:r>
    </w:p>
    <w:p>
      <w:pPr>
        <w:pStyle w:val="3"/>
        <w:pageBreakBefore w:val="0"/>
        <w:kinsoku/>
        <w:wordWrap/>
        <w:overflowPunct/>
        <w:topLinePunct w:val="0"/>
        <w:autoSpaceDE/>
        <w:autoSpaceDN/>
        <w:bidi w:val="0"/>
        <w:adjustRightInd/>
        <w:snapToGrid/>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11" w:name="_Toc27002"/>
      <w:r>
        <w:rPr>
          <w:rFonts w:hint="default" w:ascii="Times New Roman" w:hAnsi="Times New Roman" w:eastAsia="楷体_GB2312" w:cs="Times New Roman"/>
          <w:color w:val="auto"/>
          <w:sz w:val="32"/>
          <w:szCs w:val="32"/>
          <w:highlight w:val="none"/>
        </w:rPr>
        <w:t>（二）评价的思路、原则、依据及方法</w:t>
      </w:r>
      <w:bookmarkEnd w:id="11"/>
    </w:p>
    <w:p>
      <w:pPr>
        <w:pStyle w:val="4"/>
        <w:keepNext/>
        <w:keepLines/>
        <w:pageBreakBefore w:val="0"/>
        <w:widowControl w:val="0"/>
        <w:kinsoku/>
        <w:wordWrap/>
        <w:overflowPunct/>
        <w:topLinePunct w:val="0"/>
        <w:autoSpaceDE/>
        <w:autoSpaceDN/>
        <w:bidi w:val="0"/>
        <w:adjustRightInd/>
        <w:snapToGrid/>
        <w:spacing w:before="0" w:after="0" w:line="580" w:lineRule="exact"/>
        <w:ind w:firstLine="640"/>
        <w:textAlignment w:val="auto"/>
        <w:rPr>
          <w:rFonts w:hint="default" w:ascii="Times New Roman" w:hAnsi="Times New Roman" w:cs="Times New Roman"/>
          <w:b/>
          <w:bCs/>
          <w:color w:val="auto"/>
          <w:szCs w:val="32"/>
        </w:rPr>
      </w:pPr>
      <w:r>
        <w:rPr>
          <w:rFonts w:hint="default" w:ascii="Times New Roman" w:hAnsi="Times New Roman" w:cs="Times New Roman"/>
          <w:b/>
          <w:bCs/>
          <w:color w:val="auto"/>
          <w:szCs w:val="32"/>
        </w:rPr>
        <w:t>1.评价思路</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32"/>
        </w:rPr>
      </w:pPr>
      <w:r>
        <w:rPr>
          <w:rFonts w:hint="default" w:ascii="Times New Roman" w:hAnsi="Times New Roman" w:cs="Times New Roman"/>
          <w:color w:val="auto"/>
          <w:szCs w:val="32"/>
        </w:rPr>
        <w:t>评价小组以既顾及全面，又突出重点作为本次绩效评价工作的总体思路开展绩效评价工作。通过分析</w:t>
      </w:r>
      <w:r>
        <w:rPr>
          <w:rFonts w:hint="default" w:ascii="Times New Roman" w:hAnsi="Times New Roman" w:cs="Times New Roman"/>
          <w:color w:val="auto"/>
          <w:szCs w:val="32"/>
          <w:lang w:eastAsia="zh-CN"/>
        </w:rPr>
        <w:t>德阳市罗江区发展和改革局</w:t>
      </w:r>
      <w:r>
        <w:rPr>
          <w:rFonts w:hint="default" w:ascii="Times New Roman" w:hAnsi="Times New Roman" w:cs="Times New Roman"/>
          <w:color w:val="auto"/>
          <w:lang w:val="en-US" w:eastAsia="zh-CN"/>
        </w:rPr>
        <w:t>等</w:t>
      </w:r>
      <w:r>
        <w:rPr>
          <w:rFonts w:hint="default" w:ascii="Times New Roman" w:hAnsi="Times New Roman" w:cs="Times New Roman"/>
          <w:color w:val="auto"/>
          <w:szCs w:val="32"/>
        </w:rPr>
        <w:t>组织实施主体提供的</w:t>
      </w:r>
      <w:r>
        <w:rPr>
          <w:rFonts w:hint="default" w:ascii="Times New Roman" w:hAnsi="Times New Roman" w:cs="Times New Roman"/>
          <w:color w:val="auto"/>
          <w:szCs w:val="32"/>
          <w:lang w:val="en-US" w:eastAsia="zh-CN"/>
        </w:rPr>
        <w:t>立项文件及合同、资金使用明细、质量验收</w:t>
      </w:r>
      <w:r>
        <w:rPr>
          <w:rFonts w:hint="default" w:ascii="Times New Roman" w:hAnsi="Times New Roman" w:cs="Times New Roman"/>
          <w:color w:val="auto"/>
          <w:szCs w:val="32"/>
        </w:rPr>
        <w:t>等</w:t>
      </w:r>
      <w:r>
        <w:rPr>
          <w:rFonts w:hint="default" w:ascii="Times New Roman" w:hAnsi="Times New Roman" w:cs="Times New Roman"/>
          <w:color w:val="auto"/>
          <w:szCs w:val="32"/>
          <w:lang w:val="en-US" w:eastAsia="zh-CN"/>
        </w:rPr>
        <w:t>资料</w:t>
      </w:r>
      <w:r>
        <w:rPr>
          <w:rFonts w:hint="default" w:ascii="Times New Roman" w:hAnsi="Times New Roman" w:cs="Times New Roman"/>
          <w:color w:val="auto"/>
          <w:szCs w:val="32"/>
        </w:rPr>
        <w:t>，全面把握</w:t>
      </w:r>
      <w:r>
        <w:rPr>
          <w:rFonts w:hint="default" w:ascii="Times New Roman" w:hAnsi="Times New Roman" w:cs="Times New Roman"/>
          <w:color w:val="auto"/>
          <w:szCs w:val="32"/>
          <w:lang w:eastAsia="zh-CN"/>
        </w:rPr>
        <w:t>202</w:t>
      </w:r>
      <w:r>
        <w:rPr>
          <w:rFonts w:hint="eastAsia" w:ascii="Times New Roman" w:hAnsi="Times New Roman" w:cs="Times New Roman"/>
          <w:color w:val="auto"/>
          <w:szCs w:val="32"/>
          <w:lang w:val="en-US" w:eastAsia="zh-CN"/>
        </w:rPr>
        <w:t>2</w:t>
      </w:r>
      <w:r>
        <w:rPr>
          <w:rFonts w:hint="default" w:ascii="Times New Roman" w:hAnsi="Times New Roman" w:cs="Times New Roman"/>
          <w:color w:val="auto"/>
          <w:szCs w:val="32"/>
          <w:lang w:eastAsia="zh-CN"/>
        </w:rPr>
        <w:t>年</w:t>
      </w:r>
      <w:r>
        <w:rPr>
          <w:rFonts w:hint="eastAsia" w:ascii="Times New Roman" w:hAnsi="Times New Roman" w:cs="Times New Roman"/>
          <w:color w:val="auto"/>
          <w:szCs w:val="32"/>
          <w:lang w:eastAsia="zh-CN"/>
        </w:rPr>
        <w:t>“超标稻谷费用项目”</w:t>
      </w:r>
      <w:r>
        <w:rPr>
          <w:rFonts w:hint="default" w:ascii="Times New Roman" w:hAnsi="Times New Roman" w:cs="Times New Roman"/>
          <w:color w:val="auto"/>
          <w:szCs w:val="32"/>
        </w:rPr>
        <w:t>的</w:t>
      </w:r>
      <w:r>
        <w:rPr>
          <w:rFonts w:hint="default" w:ascii="Times New Roman" w:hAnsi="Times New Roman" w:cs="Times New Roman"/>
          <w:color w:val="auto"/>
          <w:szCs w:val="32"/>
          <w:highlight w:val="none"/>
        </w:rPr>
        <w:t>总体目标及资金使用情况，全面了解项目的立项、预算申请与批复、组织实施、项目验收移交、决算、资金拨付、监督管理等工作流程。通过社会调研、访谈等途径获取</w:t>
      </w:r>
      <w:r>
        <w:rPr>
          <w:rFonts w:hint="eastAsia" w:ascii="Times New Roman" w:hAnsi="Times New Roman" w:cs="Times New Roman"/>
          <w:color w:val="auto"/>
          <w:szCs w:val="32"/>
          <w:highlight w:val="none"/>
          <w:lang w:eastAsia="zh-CN"/>
        </w:rPr>
        <w:t>“超标稻谷费用项目”</w:t>
      </w:r>
      <w:r>
        <w:rPr>
          <w:rFonts w:hint="default" w:ascii="Times New Roman" w:hAnsi="Times New Roman" w:cs="Times New Roman"/>
          <w:color w:val="auto"/>
          <w:szCs w:val="32"/>
          <w:highlight w:val="none"/>
        </w:rPr>
        <w:t>的基础资</w:t>
      </w:r>
      <w:r>
        <w:rPr>
          <w:rFonts w:hint="default" w:ascii="Times New Roman" w:hAnsi="Times New Roman" w:cs="Times New Roman"/>
          <w:color w:val="auto"/>
          <w:szCs w:val="32"/>
        </w:rPr>
        <w:t>料，综合使用政策研究、数据分析、归纳总结等方式，深挖项目中存在的问题，并提出切实可行的解决方案。</w:t>
      </w:r>
    </w:p>
    <w:p>
      <w:pPr>
        <w:pStyle w:val="4"/>
        <w:keepNext/>
        <w:keepLines/>
        <w:pageBreakBefore w:val="0"/>
        <w:widowControl w:val="0"/>
        <w:kinsoku/>
        <w:wordWrap/>
        <w:overflowPunct/>
        <w:topLinePunct w:val="0"/>
        <w:autoSpaceDE/>
        <w:autoSpaceDN/>
        <w:bidi w:val="0"/>
        <w:adjustRightInd/>
        <w:snapToGrid/>
        <w:spacing w:before="0" w:after="0" w:line="580" w:lineRule="exact"/>
        <w:ind w:firstLine="640"/>
        <w:textAlignment w:val="auto"/>
        <w:rPr>
          <w:rFonts w:hint="default" w:ascii="Times New Roman" w:hAnsi="Times New Roman" w:cs="Times New Roman"/>
          <w:b/>
          <w:bCs/>
          <w:color w:val="auto"/>
          <w:szCs w:val="32"/>
        </w:rPr>
      </w:pPr>
      <w:r>
        <w:rPr>
          <w:rFonts w:hint="default" w:ascii="Times New Roman" w:hAnsi="Times New Roman" w:cs="Times New Roman"/>
          <w:b/>
          <w:bCs/>
          <w:color w:val="auto"/>
          <w:szCs w:val="32"/>
        </w:rPr>
        <w:t>2.评价原则</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32"/>
        </w:rPr>
      </w:pPr>
      <w:r>
        <w:rPr>
          <w:rFonts w:hint="default" w:ascii="Times New Roman" w:hAnsi="Times New Roman" w:cs="Times New Roman"/>
          <w:color w:val="auto"/>
          <w:szCs w:val="32"/>
        </w:rPr>
        <w:t>（1）科学规范原则</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szCs w:val="32"/>
        </w:rPr>
        <w:t>根据《关于全面实施预算绩效管理的意见》（中发〔2018〕</w:t>
      </w:r>
      <w:r>
        <w:rPr>
          <w:rFonts w:hint="default" w:ascii="Times New Roman" w:hAnsi="Times New Roman" w:cs="Times New Roman"/>
          <w:color w:val="auto"/>
        </w:rPr>
        <w:t>34号）、财政部《关于印发〈预算绩效评价共性指标体系框架〉的通知》（财预〔2013〕53号）及《项目支出绩效评价管理办法》（财预〔2020〕10号）、</w:t>
      </w:r>
      <w:r>
        <w:rPr>
          <w:rFonts w:hint="default" w:ascii="Times New Roman" w:hAnsi="Times New Roman" w:cs="Times New Roman"/>
          <w:color w:val="auto"/>
          <w:szCs w:val="32"/>
        </w:rPr>
        <w:t>《中共四川省委</w:t>
      </w:r>
      <w:r>
        <w:rPr>
          <w:rFonts w:hint="default" w:ascii="Times New Roman" w:hAnsi="Times New Roman" w:cs="Times New Roman"/>
          <w:color w:val="auto"/>
          <w:szCs w:val="32"/>
          <w:lang w:val="en-US" w:eastAsia="zh-CN"/>
        </w:rPr>
        <w:t xml:space="preserve"> </w:t>
      </w:r>
      <w:r>
        <w:rPr>
          <w:rFonts w:hint="default" w:ascii="Times New Roman" w:hAnsi="Times New Roman" w:cs="Times New Roman"/>
          <w:color w:val="auto"/>
          <w:szCs w:val="32"/>
        </w:rPr>
        <w:t>四川省人民政府关于全面实施预算绩效管理的实施意见》（川委发〔2019〕8号）、</w:t>
      </w:r>
      <w:r>
        <w:rPr>
          <w:rFonts w:hint="eastAsia" w:ascii="Times New Roman" w:hAnsi="Times New Roman" w:cs="Times New Roman"/>
          <w:color w:val="auto"/>
          <w:szCs w:val="32"/>
          <w:lang w:eastAsia="zh-CN"/>
        </w:rPr>
        <w:t>《德阳市罗江区财政局关于开展2023年重点绩效评价工作的通知》（德市罗财绩〔2023〕6号）</w:t>
      </w:r>
      <w:r>
        <w:rPr>
          <w:rFonts w:hint="default" w:ascii="Times New Roman" w:hAnsi="Times New Roman" w:cs="Times New Roman"/>
          <w:color w:val="auto"/>
        </w:rPr>
        <w:t>中对项目支出绩效</w:t>
      </w:r>
      <w:r>
        <w:rPr>
          <w:rFonts w:hint="default" w:ascii="Times New Roman" w:hAnsi="Times New Roman" w:cs="Times New Roman"/>
          <w:color w:val="auto"/>
          <w:highlight w:val="none"/>
        </w:rPr>
        <w:t>评价的相关要求，评价小组对收集到的数据进行整理，并对发现</w:t>
      </w:r>
      <w:r>
        <w:rPr>
          <w:rFonts w:hint="default" w:ascii="Times New Roman" w:hAnsi="Times New Roman" w:cs="Times New Roman"/>
          <w:color w:val="auto"/>
          <w:highlight w:val="none"/>
          <w:lang w:val="en-US" w:eastAsia="zh-CN"/>
        </w:rPr>
        <w:t>的问题</w:t>
      </w:r>
      <w:r>
        <w:rPr>
          <w:rFonts w:hint="default" w:ascii="Times New Roman" w:hAnsi="Times New Roman" w:cs="Times New Roman"/>
          <w:color w:val="auto"/>
          <w:highlight w:val="none"/>
        </w:rPr>
        <w:t>及时处理，保证评价程序的科学性、规范性。</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（2）公开公正原则</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从评价目标的设定、指标体系的设计、数据收集与填报、复核等所有环节，都必须保障评价过程的公开性、程序的规范性和合理性，</w:t>
      </w:r>
      <w:r>
        <w:rPr>
          <w:rFonts w:hint="default" w:ascii="Times New Roman" w:hAnsi="Times New Roman" w:cs="Times New Roman"/>
          <w:color w:val="auto"/>
          <w:highlight w:val="none"/>
          <w:lang w:val="en-US" w:eastAsia="zh-CN"/>
        </w:rPr>
        <w:t>评价小组</w:t>
      </w:r>
      <w:r>
        <w:rPr>
          <w:rFonts w:hint="default" w:ascii="Times New Roman" w:hAnsi="Times New Roman" w:cs="Times New Roman"/>
          <w:color w:val="auto"/>
          <w:highlight w:val="none"/>
        </w:rPr>
        <w:t>应及时处理评价过程中</w:t>
      </w:r>
      <w:r>
        <w:rPr>
          <w:rFonts w:hint="default" w:ascii="Times New Roman" w:hAnsi="Times New Roman" w:cs="Times New Roman"/>
          <w:color w:val="auto"/>
          <w:highlight w:val="none"/>
          <w:lang w:val="en-US" w:eastAsia="zh-CN"/>
        </w:rPr>
        <w:t>发现</w:t>
      </w:r>
      <w:r>
        <w:rPr>
          <w:rFonts w:hint="default" w:ascii="Times New Roman" w:hAnsi="Times New Roman" w:cs="Times New Roman"/>
          <w:color w:val="auto"/>
          <w:highlight w:val="none"/>
        </w:rPr>
        <w:t>的问题，以</w:t>
      </w:r>
      <w:r>
        <w:rPr>
          <w:rFonts w:hint="default" w:ascii="Times New Roman" w:hAnsi="Times New Roman" w:cs="Times New Roman"/>
          <w:color w:val="auto"/>
          <w:highlight w:val="none"/>
          <w:lang w:val="en-US" w:eastAsia="zh-CN"/>
        </w:rPr>
        <w:t>此</w:t>
      </w:r>
      <w:r>
        <w:rPr>
          <w:rFonts w:hint="default" w:ascii="Times New Roman" w:hAnsi="Times New Roman" w:cs="Times New Roman"/>
          <w:color w:val="auto"/>
          <w:highlight w:val="none"/>
        </w:rPr>
        <w:t>保证评价结果的准确</w:t>
      </w:r>
      <w:r>
        <w:rPr>
          <w:rFonts w:hint="default" w:ascii="Times New Roman" w:hAnsi="Times New Roman" w:cs="Times New Roman"/>
          <w:color w:val="auto"/>
          <w:highlight w:val="none"/>
          <w:lang w:val="en-US" w:eastAsia="zh-CN"/>
        </w:rPr>
        <w:t>性</w:t>
      </w:r>
      <w:r>
        <w:rPr>
          <w:rFonts w:hint="default" w:ascii="Times New Roman" w:hAnsi="Times New Roman" w:cs="Times New Roman"/>
          <w:color w:val="auto"/>
          <w:highlight w:val="none"/>
        </w:rPr>
        <w:t>和科学</w:t>
      </w:r>
      <w:r>
        <w:rPr>
          <w:rFonts w:hint="default" w:ascii="Times New Roman" w:hAnsi="Times New Roman" w:cs="Times New Roman"/>
          <w:color w:val="auto"/>
          <w:highlight w:val="none"/>
          <w:lang w:val="en-US" w:eastAsia="zh-CN"/>
        </w:rPr>
        <w:t>性</w:t>
      </w:r>
      <w:r>
        <w:rPr>
          <w:rFonts w:hint="default" w:ascii="Times New Roman" w:hAnsi="Times New Roman" w:cs="Times New Roman"/>
          <w:color w:val="auto"/>
          <w:highlight w:val="none"/>
        </w:rPr>
        <w:t>。</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rPr>
      </w:pPr>
      <w:r>
        <w:rPr>
          <w:rFonts w:hint="default" w:ascii="Times New Roman" w:hAnsi="Times New Roman" w:cs="Times New Roman"/>
          <w:color w:val="auto"/>
        </w:rPr>
        <w:t>（3）</w:t>
      </w:r>
      <w:r>
        <w:rPr>
          <w:rFonts w:hint="default" w:ascii="Times New Roman" w:hAnsi="Times New Roman" w:cs="Times New Roman"/>
          <w:color w:val="auto"/>
          <w:lang w:val="en-US" w:eastAsia="zh-CN"/>
        </w:rPr>
        <w:t>独立客观</w:t>
      </w:r>
      <w:r>
        <w:rPr>
          <w:rFonts w:hint="default" w:ascii="Times New Roman" w:hAnsi="Times New Roman" w:cs="Times New Roman"/>
          <w:color w:val="auto"/>
        </w:rPr>
        <w:t>原则</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评价以数据为准绳，坚持评价的客观性。即由相关部门填报或提供数据，评价小组根据填报或提供的数据，在进行汇总、分析、评价的基础上独立开展</w:t>
      </w:r>
      <w:r>
        <w:rPr>
          <w:rFonts w:hint="default" w:ascii="Times New Roman" w:hAnsi="Times New Roman" w:cs="Times New Roman"/>
          <w:color w:val="auto"/>
          <w:highlight w:val="none"/>
          <w:lang w:val="en-US" w:eastAsia="zh-CN"/>
        </w:rPr>
        <w:t>绩效</w:t>
      </w:r>
      <w:r>
        <w:rPr>
          <w:rFonts w:hint="default" w:ascii="Times New Roman" w:hAnsi="Times New Roman" w:cs="Times New Roman"/>
          <w:color w:val="auto"/>
          <w:highlight w:val="none"/>
        </w:rPr>
        <w:t>评价</w:t>
      </w:r>
      <w:r>
        <w:rPr>
          <w:rFonts w:hint="default" w:ascii="Times New Roman" w:hAnsi="Times New Roman" w:cs="Times New Roman"/>
          <w:color w:val="auto"/>
          <w:highlight w:val="none"/>
          <w:lang w:val="en-US" w:eastAsia="zh-CN"/>
        </w:rPr>
        <w:t>工作</w:t>
      </w:r>
      <w:r>
        <w:rPr>
          <w:rFonts w:hint="default" w:ascii="Times New Roman" w:hAnsi="Times New Roman" w:cs="Times New Roman"/>
          <w:color w:val="auto"/>
          <w:highlight w:val="none"/>
        </w:rPr>
        <w:t>，得出评价结论，并形成评价报告。</w:t>
      </w:r>
    </w:p>
    <w:p>
      <w:pPr>
        <w:pStyle w:val="4"/>
        <w:keepNext/>
        <w:keepLines/>
        <w:pageBreakBefore w:val="0"/>
        <w:widowControl w:val="0"/>
        <w:kinsoku/>
        <w:wordWrap/>
        <w:overflowPunct/>
        <w:topLinePunct w:val="0"/>
        <w:autoSpaceDE/>
        <w:autoSpaceDN/>
        <w:bidi w:val="0"/>
        <w:adjustRightInd/>
        <w:snapToGrid/>
        <w:spacing w:before="0" w:after="0" w:line="580" w:lineRule="exact"/>
        <w:ind w:firstLine="640"/>
        <w:textAlignment w:val="auto"/>
        <w:rPr>
          <w:rFonts w:hint="default" w:ascii="Times New Roman" w:hAnsi="Times New Roman" w:cs="Times New Roman"/>
          <w:b/>
          <w:bCs/>
          <w:color w:val="auto"/>
          <w:szCs w:val="32"/>
        </w:rPr>
      </w:pPr>
      <w:r>
        <w:rPr>
          <w:rFonts w:hint="default" w:ascii="Times New Roman" w:hAnsi="Times New Roman" w:cs="Times New Roman"/>
          <w:b/>
          <w:bCs/>
          <w:color w:val="auto"/>
          <w:szCs w:val="32"/>
        </w:rPr>
        <w:t>3.评价依据及方法</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rPr>
        <w:t>评价小组在绩效评价过程中，参照的评价依据包括但不限于：国家、省、市、区或县相关法律法规、方针政策、规章制度；国家、省、市、区或县各级政府制定的国民经济与社会发展规划；各级财政部门制定的绩效管理制度及工作规范；部门（单位）职能职责</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中长期发展规划和年度工作计划</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绩效目标等</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具体如下：</w:t>
      </w:r>
    </w:p>
    <w:p>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default" w:ascii="Times New Roman" w:hAnsi="Times New Roman" w:cs="Times New Roman"/>
          <w:b/>
          <w:bCs/>
          <w:color w:val="auto"/>
          <w:sz w:val="28"/>
          <w:szCs w:val="28"/>
        </w:rPr>
      </w:pPr>
      <w:r>
        <w:rPr>
          <w:rFonts w:hint="default" w:ascii="Times New Roman" w:hAnsi="Times New Roman" w:cs="Times New Roman"/>
          <w:b/>
          <w:bCs/>
          <w:color w:val="auto"/>
          <w:sz w:val="28"/>
          <w:szCs w:val="28"/>
        </w:rPr>
        <w:t>表2-1 项目支出绩效评价依据</w:t>
      </w:r>
    </w:p>
    <w:tbl>
      <w:tblPr>
        <w:tblStyle w:val="1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76"/>
        <w:gridCol w:w="578"/>
        <w:gridCol w:w="69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 w:hRule="atLeast"/>
          <w:tblHeader/>
        </w:trPr>
        <w:tc>
          <w:tcPr>
            <w:tcW w:w="775"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b/>
                <w:color w:val="auto"/>
                <w:sz w:val="24"/>
              </w:rPr>
            </w:pPr>
            <w:r>
              <w:rPr>
                <w:rFonts w:hint="default" w:ascii="Times New Roman" w:hAnsi="Times New Roman" w:cs="Times New Roman"/>
                <w:b/>
                <w:color w:val="auto"/>
                <w:kern w:val="0"/>
                <w:sz w:val="24"/>
                <w:lang w:bidi="ar"/>
              </w:rPr>
              <w:t>类型</w:t>
            </w:r>
          </w:p>
        </w:tc>
        <w:tc>
          <w:tcPr>
            <w:tcW w:w="325"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b/>
                <w:color w:val="auto"/>
                <w:sz w:val="24"/>
              </w:rPr>
            </w:pPr>
            <w:r>
              <w:rPr>
                <w:rFonts w:hint="default" w:ascii="Times New Roman" w:hAnsi="Times New Roman" w:cs="Times New Roman"/>
                <w:b/>
                <w:color w:val="auto"/>
                <w:kern w:val="0"/>
                <w:sz w:val="24"/>
                <w:lang w:bidi="ar"/>
              </w:rPr>
              <w:t>序号</w:t>
            </w:r>
          </w:p>
        </w:tc>
        <w:tc>
          <w:tcPr>
            <w:tcW w:w="389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b/>
                <w:color w:val="auto"/>
                <w:sz w:val="24"/>
              </w:rPr>
            </w:pPr>
            <w:r>
              <w:rPr>
                <w:rFonts w:hint="default" w:ascii="Times New Roman" w:hAnsi="Times New Roman" w:cs="Times New Roman"/>
                <w:b/>
                <w:color w:val="auto"/>
                <w:kern w:val="0"/>
                <w:sz w:val="24"/>
                <w:lang w:bidi="ar"/>
              </w:rPr>
              <w:t>文件名称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775" w:type="pct"/>
            <w:vMerge w:val="restar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lang w:bidi="ar"/>
              </w:rPr>
              <w:t>绩效管理类</w:t>
            </w:r>
          </w:p>
        </w:tc>
        <w:tc>
          <w:tcPr>
            <w:tcW w:w="325"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lang w:bidi="ar"/>
              </w:rPr>
              <w:t>1</w:t>
            </w:r>
          </w:p>
        </w:tc>
        <w:tc>
          <w:tcPr>
            <w:tcW w:w="389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center"/>
              <w:rPr>
                <w:rFonts w:hint="default" w:ascii="Times New Roman" w:hAnsi="Times New Roman" w:cs="Times New Roman"/>
                <w:color w:val="auto"/>
                <w:sz w:val="24"/>
              </w:rPr>
            </w:pPr>
            <w:r>
              <w:rPr>
                <w:rFonts w:hint="default" w:ascii="Times New Roman" w:hAnsi="Times New Roman" w:cs="Times New Roman"/>
                <w:color w:val="auto"/>
                <w:sz w:val="24"/>
              </w:rPr>
              <w:t>《关于全面实施预算绩效管理的意见》（中发〔2018〕34号）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775" w:type="pct"/>
            <w:vMerge w:val="continue"/>
            <w:tcBorders>
              <w:tl2br w:val="nil"/>
              <w:tr2bl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color w:val="auto"/>
                <w:sz w:val="24"/>
              </w:rPr>
            </w:pPr>
          </w:p>
        </w:tc>
        <w:tc>
          <w:tcPr>
            <w:tcW w:w="325"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lang w:bidi="ar"/>
              </w:rPr>
              <w:t>2</w:t>
            </w:r>
          </w:p>
        </w:tc>
        <w:tc>
          <w:tcPr>
            <w:tcW w:w="389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center"/>
              <w:rPr>
                <w:rFonts w:hint="default" w:ascii="Times New Roman" w:hAnsi="Times New Roman" w:cs="Times New Roman"/>
                <w:color w:val="auto"/>
                <w:sz w:val="24"/>
              </w:rPr>
            </w:pPr>
            <w:r>
              <w:rPr>
                <w:rFonts w:hint="default" w:ascii="Times New Roman" w:hAnsi="Times New Roman" w:cs="Times New Roman"/>
                <w:color w:val="auto"/>
                <w:sz w:val="24"/>
              </w:rPr>
              <w:t>《关于印发〈预算绩效评价共性指标体系框架〉的通知》（财预〔2013〕53号）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775" w:type="pct"/>
            <w:vMerge w:val="continue"/>
            <w:tcBorders>
              <w:tl2br w:val="nil"/>
              <w:tr2bl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color w:val="auto"/>
                <w:sz w:val="24"/>
              </w:rPr>
            </w:pPr>
          </w:p>
        </w:tc>
        <w:tc>
          <w:tcPr>
            <w:tcW w:w="325"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lang w:bidi="ar"/>
              </w:rPr>
              <w:t>3</w:t>
            </w:r>
          </w:p>
        </w:tc>
        <w:tc>
          <w:tcPr>
            <w:tcW w:w="389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center"/>
              <w:rPr>
                <w:rFonts w:hint="default" w:ascii="Times New Roman" w:hAnsi="Times New Roman" w:cs="Times New Roman"/>
                <w:color w:val="auto"/>
                <w:sz w:val="24"/>
              </w:rPr>
            </w:pPr>
            <w:r>
              <w:rPr>
                <w:rFonts w:hint="default" w:ascii="Times New Roman" w:hAnsi="Times New Roman" w:cs="Times New Roman"/>
                <w:color w:val="auto"/>
                <w:sz w:val="24"/>
              </w:rPr>
              <w:t>《项目支出绩效评价管理办法》（财预〔2020〕10号）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775" w:type="pct"/>
            <w:vMerge w:val="continue"/>
            <w:tcBorders>
              <w:tl2br w:val="nil"/>
              <w:tr2bl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color w:val="auto"/>
                <w:sz w:val="24"/>
              </w:rPr>
            </w:pPr>
          </w:p>
        </w:tc>
        <w:tc>
          <w:tcPr>
            <w:tcW w:w="325"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lang w:bidi="ar"/>
              </w:rPr>
              <w:t>4</w:t>
            </w:r>
          </w:p>
        </w:tc>
        <w:tc>
          <w:tcPr>
            <w:tcW w:w="389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center"/>
              <w:rPr>
                <w:rFonts w:hint="default" w:ascii="Times New Roman" w:hAnsi="Times New Roman" w:cs="Times New Roman"/>
                <w:color w:val="auto"/>
                <w:sz w:val="24"/>
              </w:rPr>
            </w:pPr>
            <w:r>
              <w:rPr>
                <w:rFonts w:hint="default" w:ascii="Times New Roman" w:hAnsi="Times New Roman" w:cs="Times New Roman"/>
                <w:color w:val="auto"/>
                <w:sz w:val="24"/>
              </w:rPr>
              <w:t>《中共四川省委 四川省人民政府关于全面实施预算绩效管理的实施意见》（川委发〔2019〕8号）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775" w:type="pct"/>
            <w:vMerge w:val="continue"/>
            <w:tcBorders>
              <w:tl2br w:val="nil"/>
              <w:tr2bl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color w:val="auto"/>
                <w:sz w:val="24"/>
              </w:rPr>
            </w:pPr>
          </w:p>
        </w:tc>
        <w:tc>
          <w:tcPr>
            <w:tcW w:w="325"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lang w:bidi="ar"/>
              </w:rPr>
              <w:t>5</w:t>
            </w:r>
          </w:p>
        </w:tc>
        <w:tc>
          <w:tcPr>
            <w:tcW w:w="389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center"/>
              <w:rPr>
                <w:rFonts w:hint="default" w:ascii="Times New Roman" w:hAnsi="Times New Roman" w:cs="Times New Roman"/>
                <w:color w:val="auto"/>
                <w:sz w:val="24"/>
              </w:rPr>
            </w:pPr>
            <w:r>
              <w:rPr>
                <w:rFonts w:hint="eastAsia" w:ascii="Times New Roman" w:hAnsi="Times New Roman" w:cs="Times New Roman"/>
                <w:color w:val="auto"/>
                <w:sz w:val="24"/>
                <w:lang w:eastAsia="zh-CN"/>
              </w:rPr>
              <w:t>《德阳市罗江区财政局关于开展2023年重点绩效评价工作的通知》（德市罗财绩〔2023〕6号）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775" w:type="pct"/>
            <w:vMerge w:val="restar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lang w:bidi="ar"/>
              </w:rPr>
              <w:t>业务相关类</w:t>
            </w:r>
          </w:p>
        </w:tc>
        <w:tc>
          <w:tcPr>
            <w:tcW w:w="325"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_GB2312" w:cs="Times New Roman"/>
                <w:color w:val="auto"/>
                <w:kern w:val="0"/>
                <w:sz w:val="24"/>
                <w:lang w:val="en-US" w:eastAsia="zh-CN" w:bidi="ar"/>
              </w:rPr>
            </w:pPr>
            <w:r>
              <w:rPr>
                <w:rFonts w:hint="eastAsia" w:ascii="Times New Roman" w:hAnsi="Times New Roman" w:cs="Times New Roman"/>
                <w:color w:val="auto"/>
                <w:kern w:val="0"/>
                <w:sz w:val="24"/>
                <w:lang w:val="en-US" w:eastAsia="zh-CN" w:bidi="ar"/>
              </w:rPr>
              <w:t>6</w:t>
            </w:r>
          </w:p>
        </w:tc>
        <w:tc>
          <w:tcPr>
            <w:tcW w:w="389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center"/>
              <w:rPr>
                <w:rFonts w:hint="default" w:ascii="Times New Roman" w:hAnsi="Times New Roman" w:cs="Times New Roman"/>
                <w:color w:val="auto"/>
                <w:sz w:val="24"/>
                <w:lang w:eastAsia="zh-CN"/>
              </w:rPr>
            </w:pPr>
            <w:r>
              <w:rPr>
                <w:rFonts w:hint="default" w:ascii="Times New Roman" w:hAnsi="Times New Roman" w:cs="Times New Roman"/>
                <w:color w:val="auto"/>
                <w:sz w:val="24"/>
                <w:lang w:val="en-US" w:eastAsia="zh-CN"/>
              </w:rPr>
              <w:t>按照四川省发展和改革委员会 四川省粮食局 四川省财政厅 四川省农业厅 四川省食品药品监督管理局 中国农业发展银行四川省分行文件</w:t>
            </w:r>
            <w:r>
              <w:rPr>
                <w:rFonts w:hint="eastAsia" w:ascii="Times New Roman" w:hAnsi="Times New Roman" w:cs="Times New Roman"/>
                <w:color w:val="auto"/>
                <w:sz w:val="24"/>
                <w:lang w:val="en-US" w:eastAsia="zh-CN"/>
              </w:rPr>
              <w:t>《关于印发〈四川省超标稻谷收购处置实施方案〉的通知》</w:t>
            </w:r>
            <w:r>
              <w:rPr>
                <w:rFonts w:hint="default" w:ascii="Times New Roman" w:hAnsi="Times New Roman" w:cs="Times New Roman"/>
                <w:color w:val="auto"/>
                <w:sz w:val="24"/>
                <w:lang w:val="en-US" w:eastAsia="zh-CN"/>
              </w:rPr>
              <w:t>（川粮发〔2018〕2号）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775" w:type="pct"/>
            <w:vMerge w:val="continue"/>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color w:val="auto"/>
                <w:sz w:val="24"/>
              </w:rPr>
            </w:pPr>
          </w:p>
        </w:tc>
        <w:tc>
          <w:tcPr>
            <w:tcW w:w="325"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_GB2312" w:cs="Times New Roman"/>
                <w:color w:val="auto"/>
                <w:sz w:val="24"/>
                <w:lang w:eastAsia="zh-CN"/>
              </w:rPr>
            </w:pPr>
            <w:r>
              <w:rPr>
                <w:rFonts w:hint="eastAsia" w:ascii="Times New Roman" w:hAnsi="Times New Roman" w:cs="Times New Roman"/>
                <w:color w:val="auto"/>
                <w:kern w:val="0"/>
                <w:sz w:val="24"/>
                <w:lang w:val="en-US" w:eastAsia="zh-CN" w:bidi="ar"/>
              </w:rPr>
              <w:t>7</w:t>
            </w:r>
          </w:p>
        </w:tc>
        <w:tc>
          <w:tcPr>
            <w:tcW w:w="389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sz w:val="24"/>
                <w:highlight w:val="yellow"/>
                <w:lang w:val="en-US" w:eastAsia="zh-CN"/>
              </w:rPr>
            </w:pPr>
            <w:r>
              <w:rPr>
                <w:rFonts w:hint="default" w:ascii="Times New Roman" w:hAnsi="Times New Roman" w:eastAsia="仿宋_GB2312" w:cs="Times New Roman"/>
                <w:color w:val="auto"/>
                <w:sz w:val="24"/>
                <w:highlight w:val="none"/>
                <w:lang w:val="en-US" w:eastAsia="zh-CN"/>
              </w:rPr>
              <w:t>德阳市罗江区发展和改革局 德阳市罗江区财政局 德阳市罗江区市场监督管理局 德阳市罗江区农业农村局 中国农业发展银行德阳市分行《关于印发〈德阳市罗江区处置2021年超标稻谷实施方案〉的通知》（德市罗发改发〔2022〕16号）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775" w:type="pct"/>
            <w:vMerge w:val="continue"/>
            <w:tcBorders>
              <w:tl2br w:val="nil"/>
              <w:tr2bl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color w:val="auto"/>
                <w:sz w:val="24"/>
              </w:rPr>
            </w:pPr>
          </w:p>
        </w:tc>
        <w:tc>
          <w:tcPr>
            <w:tcW w:w="325"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color w:val="auto"/>
                <w:kern w:val="0"/>
                <w:sz w:val="24"/>
                <w:lang w:val="en-US" w:eastAsia="zh-CN" w:bidi="ar"/>
              </w:rPr>
            </w:pPr>
            <w:r>
              <w:rPr>
                <w:rFonts w:hint="eastAsia" w:ascii="Times New Roman" w:hAnsi="Times New Roman" w:cs="Times New Roman"/>
                <w:color w:val="auto"/>
                <w:kern w:val="0"/>
                <w:sz w:val="24"/>
                <w:lang w:val="en-US" w:eastAsia="zh-CN" w:bidi="ar"/>
              </w:rPr>
              <w:t>8</w:t>
            </w:r>
          </w:p>
        </w:tc>
        <w:tc>
          <w:tcPr>
            <w:tcW w:w="389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color w:val="auto"/>
                <w:kern w:val="0"/>
                <w:sz w:val="24"/>
                <w:highlight w:val="yellow"/>
                <w:lang w:val="en-US" w:bidi="ar"/>
              </w:rPr>
            </w:pPr>
            <w:r>
              <w:rPr>
                <w:rFonts w:hint="eastAsia" w:ascii="Times New Roman" w:hAnsi="Times New Roman" w:cs="Times New Roman"/>
                <w:color w:val="auto"/>
                <w:sz w:val="24"/>
                <w:highlight w:val="none"/>
                <w:lang w:val="en-US" w:eastAsia="zh-CN"/>
              </w:rPr>
              <w:t>德阳市罗江区人民政府办公室《关于印发〈德阳市罗江区2021年超标稻谷收购工作方案〉的通知》（德市罗府办发〔2021〕76号）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775" w:type="pct"/>
            <w:vMerge w:val="continue"/>
            <w:tcBorders>
              <w:tl2br w:val="nil"/>
              <w:tr2bl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color w:val="auto"/>
                <w:sz w:val="24"/>
              </w:rPr>
            </w:pPr>
          </w:p>
        </w:tc>
        <w:tc>
          <w:tcPr>
            <w:tcW w:w="325"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color w:val="auto"/>
                <w:kern w:val="0"/>
                <w:sz w:val="24"/>
                <w:lang w:val="en-US" w:eastAsia="zh-CN" w:bidi="ar"/>
              </w:rPr>
            </w:pPr>
            <w:r>
              <w:rPr>
                <w:rFonts w:hint="eastAsia" w:ascii="Times New Roman" w:hAnsi="Times New Roman" w:cs="Times New Roman"/>
                <w:color w:val="auto"/>
                <w:kern w:val="0"/>
                <w:sz w:val="24"/>
                <w:lang w:val="en-US" w:eastAsia="zh-CN" w:bidi="ar"/>
              </w:rPr>
              <w:t>9</w:t>
            </w:r>
          </w:p>
        </w:tc>
        <w:tc>
          <w:tcPr>
            <w:tcW w:w="389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color w:val="auto"/>
                <w:kern w:val="0"/>
                <w:sz w:val="24"/>
                <w:highlight w:val="none"/>
                <w:lang w:val="en-US" w:bidi="ar"/>
              </w:rPr>
            </w:pPr>
            <w:r>
              <w:rPr>
                <w:rFonts w:hint="default" w:ascii="Times New Roman" w:hAnsi="Times New Roman" w:eastAsia="仿宋_GB2312" w:cs="Times New Roman"/>
                <w:color w:val="auto"/>
                <w:sz w:val="24"/>
                <w:highlight w:val="none"/>
                <w:lang w:val="en-US" w:eastAsia="zh-CN"/>
              </w:rPr>
              <w:t>德阳市罗江区人民政府办公室《关于印发〈德阳市罗江区超标稻谷收购处置实施细则〉的通知》（德市罗府办发〔2018〕103号）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775" w:type="pct"/>
            <w:vMerge w:val="continue"/>
            <w:tcBorders>
              <w:tl2br w:val="nil"/>
              <w:tr2bl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color w:val="auto"/>
                <w:sz w:val="24"/>
              </w:rPr>
            </w:pPr>
          </w:p>
        </w:tc>
        <w:tc>
          <w:tcPr>
            <w:tcW w:w="325"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color w:val="auto"/>
                <w:kern w:val="0"/>
                <w:sz w:val="24"/>
                <w:lang w:val="en-US" w:eastAsia="zh-CN" w:bidi="ar"/>
              </w:rPr>
            </w:pPr>
            <w:r>
              <w:rPr>
                <w:rFonts w:hint="eastAsia" w:ascii="Times New Roman" w:hAnsi="Times New Roman" w:cs="Times New Roman"/>
                <w:color w:val="auto"/>
                <w:kern w:val="0"/>
                <w:sz w:val="24"/>
                <w:lang w:val="en-US" w:eastAsia="zh-CN" w:bidi="ar"/>
              </w:rPr>
              <w:t>10</w:t>
            </w:r>
          </w:p>
        </w:tc>
        <w:tc>
          <w:tcPr>
            <w:tcW w:w="389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德阳市罗江区发展和改革局《关于2021年超标稻谷收购工作的总结报告》</w:t>
            </w:r>
            <w:r>
              <w:rPr>
                <w:rFonts w:hint="default" w:ascii="Times New Roman" w:hAnsi="Times New Roman" w:eastAsia="仿宋_GB2312" w:cs="Times New Roman"/>
                <w:color w:val="auto"/>
                <w:sz w:val="24"/>
                <w:highlight w:val="none"/>
                <w:lang w:val="en-US" w:eastAsia="zh-CN"/>
              </w:rPr>
              <w:t>（德市罗发</w:t>
            </w:r>
            <w:r>
              <w:rPr>
                <w:rFonts w:hint="eastAsia" w:ascii="Times New Roman" w:hAnsi="Times New Roman" w:cs="Times New Roman"/>
                <w:color w:val="auto"/>
                <w:sz w:val="24"/>
                <w:highlight w:val="none"/>
                <w:lang w:val="en-US" w:eastAsia="zh-CN"/>
              </w:rPr>
              <w:t>改</w:t>
            </w:r>
            <w:r>
              <w:rPr>
                <w:rFonts w:hint="default" w:ascii="Times New Roman" w:hAnsi="Times New Roman" w:eastAsia="仿宋_GB2312" w:cs="Times New Roman"/>
                <w:color w:val="auto"/>
                <w:sz w:val="24"/>
                <w:highlight w:val="none"/>
                <w:lang w:val="en-US" w:eastAsia="zh-CN"/>
              </w:rPr>
              <w:t>〔20</w:t>
            </w:r>
            <w:r>
              <w:rPr>
                <w:rFonts w:hint="eastAsia" w:ascii="Times New Roman" w:hAnsi="Times New Roman" w:cs="Times New Roman"/>
                <w:color w:val="auto"/>
                <w:sz w:val="24"/>
                <w:highlight w:val="none"/>
                <w:lang w:val="en-US" w:eastAsia="zh-CN"/>
              </w:rPr>
              <w:t>22</w:t>
            </w:r>
            <w:r>
              <w:rPr>
                <w:rFonts w:hint="default" w:ascii="Times New Roman" w:hAnsi="Times New Roman" w:eastAsia="仿宋_GB2312" w:cs="Times New Roman"/>
                <w:color w:val="auto"/>
                <w:sz w:val="24"/>
                <w:highlight w:val="none"/>
                <w:lang w:val="en-US" w:eastAsia="zh-CN"/>
              </w:rPr>
              <w:t>〕</w:t>
            </w:r>
            <w:r>
              <w:rPr>
                <w:rFonts w:hint="eastAsia" w:ascii="Times New Roman" w:hAnsi="Times New Roman" w:cs="Times New Roman"/>
                <w:color w:val="auto"/>
                <w:sz w:val="24"/>
                <w:highlight w:val="none"/>
                <w:lang w:val="en-US" w:eastAsia="zh-CN"/>
              </w:rPr>
              <w:t>20</w:t>
            </w:r>
            <w:r>
              <w:rPr>
                <w:rFonts w:hint="default" w:ascii="Times New Roman" w:hAnsi="Times New Roman" w:eastAsia="仿宋_GB2312" w:cs="Times New Roman"/>
                <w:color w:val="auto"/>
                <w:sz w:val="24"/>
                <w:highlight w:val="none"/>
                <w:lang w:val="en-US" w:eastAsia="zh-CN"/>
              </w:rPr>
              <w:t>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775" w:type="pct"/>
            <w:vMerge w:val="continue"/>
            <w:tcBorders>
              <w:tl2br w:val="nil"/>
              <w:tr2bl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color w:val="auto"/>
                <w:sz w:val="24"/>
              </w:rPr>
            </w:pPr>
          </w:p>
        </w:tc>
        <w:tc>
          <w:tcPr>
            <w:tcW w:w="325"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color w:val="auto"/>
                <w:kern w:val="0"/>
                <w:sz w:val="24"/>
                <w:lang w:val="en-US" w:eastAsia="zh-CN" w:bidi="ar"/>
              </w:rPr>
            </w:pPr>
            <w:r>
              <w:rPr>
                <w:rFonts w:hint="eastAsia" w:ascii="Times New Roman" w:hAnsi="Times New Roman" w:cs="Times New Roman"/>
                <w:color w:val="auto"/>
                <w:kern w:val="0"/>
                <w:sz w:val="24"/>
                <w:lang w:val="en-US" w:eastAsia="zh-CN" w:bidi="ar"/>
              </w:rPr>
              <w:t>11</w:t>
            </w:r>
          </w:p>
        </w:tc>
        <w:tc>
          <w:tcPr>
            <w:tcW w:w="389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color w:val="auto"/>
                <w:kern w:val="0"/>
                <w:sz w:val="24"/>
                <w:highlight w:val="none"/>
                <w:lang w:val="en-US" w:bidi="ar"/>
              </w:rPr>
            </w:pPr>
            <w:r>
              <w:rPr>
                <w:rFonts w:hint="eastAsia" w:ascii="Times New Roman" w:hAnsi="Times New Roman" w:cs="Times New Roman"/>
                <w:color w:val="auto"/>
                <w:sz w:val="24"/>
                <w:highlight w:val="none"/>
                <w:lang w:val="en-US" w:eastAsia="zh-CN"/>
              </w:rPr>
              <w:t>《德阳市罗江区2021年超标稻谷处置合同》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775" w:type="pct"/>
            <w:vMerge w:val="continue"/>
            <w:tcBorders>
              <w:tl2br w:val="nil"/>
              <w:tr2bl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color w:val="auto"/>
                <w:sz w:val="24"/>
              </w:rPr>
            </w:pPr>
          </w:p>
        </w:tc>
        <w:tc>
          <w:tcPr>
            <w:tcW w:w="325"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color w:val="auto"/>
                <w:kern w:val="0"/>
                <w:sz w:val="24"/>
                <w:lang w:val="en-US" w:eastAsia="zh-CN" w:bidi="ar"/>
              </w:rPr>
            </w:pPr>
            <w:r>
              <w:rPr>
                <w:rFonts w:hint="eastAsia" w:ascii="Times New Roman" w:hAnsi="Times New Roman" w:cs="Times New Roman"/>
                <w:color w:val="auto"/>
                <w:kern w:val="0"/>
                <w:sz w:val="24"/>
                <w:lang w:val="en-US" w:eastAsia="zh-CN" w:bidi="ar"/>
              </w:rPr>
              <w:t>12</w:t>
            </w:r>
          </w:p>
        </w:tc>
        <w:tc>
          <w:tcPr>
            <w:tcW w:w="389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中标通知书、中标公告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775" w:type="pct"/>
            <w:vMerge w:val="continue"/>
            <w:tcBorders>
              <w:tl2br w:val="nil"/>
              <w:tr2bl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color w:val="auto"/>
                <w:sz w:val="24"/>
              </w:rPr>
            </w:pPr>
          </w:p>
        </w:tc>
        <w:tc>
          <w:tcPr>
            <w:tcW w:w="325"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color w:val="auto"/>
                <w:kern w:val="0"/>
                <w:sz w:val="24"/>
                <w:lang w:val="en-US" w:eastAsia="zh-CN" w:bidi="ar"/>
              </w:rPr>
            </w:pPr>
            <w:r>
              <w:rPr>
                <w:rFonts w:hint="eastAsia" w:ascii="Times New Roman" w:hAnsi="Times New Roman" w:cs="Times New Roman"/>
                <w:color w:val="auto"/>
                <w:kern w:val="0"/>
                <w:sz w:val="24"/>
                <w:lang w:val="en-US" w:eastAsia="zh-CN" w:bidi="ar"/>
              </w:rPr>
              <w:t>13</w:t>
            </w:r>
          </w:p>
        </w:tc>
        <w:tc>
          <w:tcPr>
            <w:tcW w:w="3899" w:type="pct"/>
            <w:tcBorders>
              <w:tl2br w:val="nil"/>
              <w:tr2bl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财务凭证费用明细账</w:t>
            </w:r>
          </w:p>
        </w:tc>
      </w:tr>
    </w:tbl>
    <w:p>
      <w:pPr>
        <w:keepNext w:val="0"/>
        <w:keepLines w:val="0"/>
        <w:pageBreakBefore w:val="0"/>
        <w:widowControl w:val="0"/>
        <w:kinsoku/>
        <w:wordWrap/>
        <w:overflowPunct/>
        <w:topLinePunct w:val="0"/>
        <w:autoSpaceDE/>
        <w:autoSpaceDN/>
        <w:bidi w:val="0"/>
        <w:adjustRightInd/>
        <w:snapToGrid/>
        <w:spacing w:before="313" w:beforeLines="100" w:line="580" w:lineRule="exact"/>
        <w:ind w:firstLine="640"/>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rPr>
        <w:t>本项目采用的绩效评价方法主要包括文献研究法、目标评价法、抽样复核法、公众评判法、逻辑分析法等。</w:t>
      </w:r>
    </w:p>
    <w:p>
      <w:pPr>
        <w:pStyle w:val="3"/>
        <w:pageBreakBefore w:val="0"/>
        <w:kinsoku/>
        <w:wordWrap/>
        <w:overflowPunct/>
        <w:topLinePunct w:val="0"/>
        <w:autoSpaceDE/>
        <w:autoSpaceDN/>
        <w:bidi w:val="0"/>
        <w:adjustRightInd/>
        <w:snapToGrid/>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12" w:name="_Toc12465"/>
      <w:r>
        <w:rPr>
          <w:rFonts w:hint="default" w:ascii="Times New Roman" w:hAnsi="Times New Roman" w:eastAsia="楷体_GB2312" w:cs="Times New Roman"/>
          <w:color w:val="auto"/>
          <w:sz w:val="32"/>
          <w:szCs w:val="32"/>
          <w:highlight w:val="none"/>
        </w:rPr>
        <w:t>（三）数据采集方法及过程</w:t>
      </w:r>
      <w:bookmarkEnd w:id="12"/>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本次绩效评价工作需要的数据包括定性数据和定量数据两种类别，定性数据主要是通过实地考察、现场访谈、电话沟通等社会调查方式进行采集，定量数据主要通过项目单位和其他相关单位填报基础数据采集表的方式进行采集；此外，</w:t>
      </w:r>
      <w:r>
        <w:rPr>
          <w:rFonts w:hint="default" w:ascii="Times New Roman" w:hAnsi="Times New Roman" w:cs="Times New Roman"/>
          <w:color w:val="auto"/>
          <w:highlight w:val="none"/>
          <w:lang w:val="en-US" w:eastAsia="zh-CN"/>
        </w:rPr>
        <w:t>调查组</w:t>
      </w:r>
      <w:r>
        <w:rPr>
          <w:rFonts w:hint="default" w:ascii="Times New Roman" w:hAnsi="Times New Roman" w:cs="Times New Roman"/>
          <w:color w:val="auto"/>
          <w:highlight w:val="none"/>
        </w:rPr>
        <w:t>对采集的数据进行了复核，确保数据的准确性。</w:t>
      </w:r>
    </w:p>
    <w:p>
      <w:pPr>
        <w:pStyle w:val="3"/>
        <w:pageBreakBefore w:val="0"/>
        <w:kinsoku/>
        <w:wordWrap/>
        <w:overflowPunct/>
        <w:topLinePunct w:val="0"/>
        <w:autoSpaceDE/>
        <w:autoSpaceDN/>
        <w:bidi w:val="0"/>
        <w:adjustRightInd/>
        <w:snapToGrid/>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13" w:name="_Toc31077"/>
      <w:r>
        <w:rPr>
          <w:rFonts w:hint="default" w:ascii="Times New Roman" w:hAnsi="Times New Roman" w:eastAsia="楷体_GB2312" w:cs="Times New Roman"/>
          <w:color w:val="auto"/>
          <w:sz w:val="32"/>
          <w:szCs w:val="32"/>
          <w:highlight w:val="none"/>
        </w:rPr>
        <w:t>（四）绩效评价实施过程</w:t>
      </w:r>
      <w:bookmarkEnd w:id="13"/>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lang w:eastAsia="zh-CN"/>
        </w:rPr>
        <w:t>德阳市罗江区发展和改革局202</w:t>
      </w:r>
      <w:r>
        <w:rPr>
          <w:rFonts w:hint="eastAsia" w:ascii="Times New Roman" w:hAnsi="Times New Roman" w:cs="Times New Roman"/>
          <w:color w:val="auto"/>
          <w:lang w:val="en-US" w:eastAsia="zh-CN"/>
        </w:rPr>
        <w:t>2</w:t>
      </w:r>
      <w:r>
        <w:rPr>
          <w:rFonts w:hint="default" w:ascii="Times New Roman" w:hAnsi="Times New Roman" w:cs="Times New Roman"/>
          <w:color w:val="auto"/>
          <w:lang w:eastAsia="zh-CN"/>
        </w:rPr>
        <w:t>年</w:t>
      </w:r>
      <w:r>
        <w:rPr>
          <w:rFonts w:hint="eastAsia" w:ascii="Times New Roman" w:hAnsi="Times New Roman" w:cs="Times New Roman"/>
          <w:color w:val="auto"/>
          <w:szCs w:val="32"/>
          <w:lang w:eastAsia="zh-CN"/>
        </w:rPr>
        <w:t>“超标稻谷费用项目”</w:t>
      </w:r>
      <w:r>
        <w:rPr>
          <w:rFonts w:hint="default" w:ascii="Times New Roman" w:hAnsi="Times New Roman" w:cs="Times New Roman"/>
          <w:color w:val="auto"/>
          <w:szCs w:val="32"/>
          <w:highlight w:val="none"/>
        </w:rPr>
        <w:t>绩效评价的具体实施程序如下：</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1.前期沟通与基础资料收集</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成立绩效评价小组，搜集项目资料，全面了解项目基本情况，就项目内容和绩效评价中的关键问题同</w:t>
      </w:r>
      <w:r>
        <w:rPr>
          <w:rFonts w:hint="default" w:ascii="Times New Roman" w:hAnsi="Times New Roman" w:cs="Times New Roman"/>
          <w:color w:val="auto"/>
          <w:szCs w:val="32"/>
          <w:highlight w:val="none"/>
          <w:lang w:eastAsia="zh-CN"/>
        </w:rPr>
        <w:t>德阳市罗江区</w:t>
      </w:r>
      <w:r>
        <w:rPr>
          <w:rFonts w:hint="default" w:ascii="Times New Roman" w:hAnsi="Times New Roman" w:cs="Times New Roman"/>
          <w:color w:val="auto"/>
          <w:szCs w:val="32"/>
          <w:highlight w:val="none"/>
        </w:rPr>
        <w:t>财政局、</w:t>
      </w:r>
      <w:r>
        <w:rPr>
          <w:rFonts w:hint="default" w:ascii="Times New Roman" w:hAnsi="Times New Roman" w:cs="Times New Roman"/>
          <w:color w:val="auto"/>
          <w:szCs w:val="32"/>
          <w:highlight w:val="none"/>
          <w:lang w:eastAsia="zh-CN"/>
        </w:rPr>
        <w:t>德阳市罗江区发展和改革局</w:t>
      </w:r>
      <w:r>
        <w:rPr>
          <w:rFonts w:hint="default" w:ascii="Times New Roman" w:hAnsi="Times New Roman" w:cs="Times New Roman"/>
          <w:color w:val="auto"/>
          <w:szCs w:val="32"/>
          <w:highlight w:val="none"/>
        </w:rPr>
        <w:t>等部门进行初步沟通，完成项目基础资料收集，该阶段的实施时间为：202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月</w:t>
      </w:r>
      <w:r>
        <w:rPr>
          <w:rFonts w:hint="default" w:ascii="Times New Roman" w:hAnsi="Times New Roman" w:cs="Times New Roman"/>
          <w:color w:val="auto"/>
          <w:szCs w:val="32"/>
          <w:highlight w:val="none"/>
          <w:lang w:val="en-US" w:eastAsia="zh-CN"/>
        </w:rPr>
        <w:t>1</w:t>
      </w:r>
      <w:r>
        <w:rPr>
          <w:rFonts w:hint="eastAsia"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日至202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月</w:t>
      </w:r>
      <w:r>
        <w:rPr>
          <w:rFonts w:hint="default" w:ascii="Times New Roman" w:hAnsi="Times New Roman" w:cs="Times New Roman"/>
          <w:color w:val="auto"/>
          <w:szCs w:val="32"/>
          <w:highlight w:val="none"/>
          <w:lang w:val="en-US" w:eastAsia="zh-CN"/>
        </w:rPr>
        <w:t>21</w:t>
      </w:r>
      <w:r>
        <w:rPr>
          <w:rFonts w:hint="default" w:ascii="Times New Roman" w:hAnsi="Times New Roman" w:cs="Times New Roman"/>
          <w:color w:val="auto"/>
          <w:szCs w:val="32"/>
          <w:highlight w:val="none"/>
        </w:rPr>
        <w:t>日。</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2.评价方案设计阶段</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lang w:val="en-US" w:eastAsia="zh-CN"/>
        </w:rPr>
        <w:t>评价小组</w:t>
      </w:r>
      <w:r>
        <w:rPr>
          <w:rFonts w:hint="default" w:ascii="Times New Roman" w:hAnsi="Times New Roman" w:cs="Times New Roman"/>
          <w:color w:val="auto"/>
          <w:szCs w:val="32"/>
          <w:highlight w:val="none"/>
        </w:rPr>
        <w:t>根据前期调研材料梳理项目背景，</w:t>
      </w:r>
      <w:r>
        <w:rPr>
          <w:rFonts w:hint="default" w:ascii="Times New Roman" w:hAnsi="Times New Roman" w:cs="Times New Roman"/>
          <w:color w:val="auto"/>
          <w:szCs w:val="32"/>
          <w:highlight w:val="none"/>
          <w:lang w:val="en-US" w:eastAsia="zh-CN"/>
        </w:rPr>
        <w:t>同时</w:t>
      </w:r>
      <w:r>
        <w:rPr>
          <w:rFonts w:hint="default" w:ascii="Times New Roman" w:hAnsi="Times New Roman" w:cs="Times New Roman"/>
          <w:color w:val="auto"/>
          <w:szCs w:val="32"/>
          <w:highlight w:val="none"/>
        </w:rPr>
        <w:t>根据项目特点及项目绩效目标有</w:t>
      </w:r>
      <w:r>
        <w:rPr>
          <w:rFonts w:hint="eastAsia" w:ascii="Times New Roman" w:hAnsi="Times New Roman" w:cs="Times New Roman"/>
          <w:color w:val="auto"/>
          <w:szCs w:val="32"/>
          <w:highlight w:val="none"/>
          <w:lang w:eastAsia="zh-CN"/>
        </w:rPr>
        <w:t>针对性地设计了</w:t>
      </w:r>
      <w:r>
        <w:rPr>
          <w:rFonts w:hint="default" w:ascii="Times New Roman" w:hAnsi="Times New Roman" w:cs="Times New Roman"/>
          <w:color w:val="auto"/>
          <w:szCs w:val="32"/>
          <w:highlight w:val="none"/>
        </w:rPr>
        <w:t>评价指标体系、调查问卷、访谈提纲等，并确定科学、合理的评价方法和评价标准，设计绩效评价工作整体时间</w:t>
      </w:r>
      <w:r>
        <w:rPr>
          <w:rFonts w:hint="default" w:ascii="Times New Roman" w:hAnsi="Times New Roman" w:cs="Times New Roman"/>
          <w:color w:val="auto"/>
          <w:szCs w:val="32"/>
          <w:highlight w:val="none"/>
          <w:lang w:val="en-US" w:eastAsia="zh-CN"/>
        </w:rPr>
        <w:t>进度</w:t>
      </w:r>
      <w:r>
        <w:rPr>
          <w:rFonts w:hint="default" w:ascii="Times New Roman" w:hAnsi="Times New Roman" w:cs="Times New Roman"/>
          <w:color w:val="auto"/>
          <w:szCs w:val="32"/>
          <w:highlight w:val="none"/>
        </w:rPr>
        <w:t>表。对项目执行</w:t>
      </w:r>
      <w:r>
        <w:rPr>
          <w:rFonts w:hint="default" w:ascii="Times New Roman" w:hAnsi="Times New Roman" w:cs="Times New Roman"/>
          <w:color w:val="auto"/>
          <w:szCs w:val="32"/>
          <w:highlight w:val="none"/>
          <w:lang w:val="en-US" w:eastAsia="zh-CN"/>
        </w:rPr>
        <w:t>过程</w:t>
      </w:r>
      <w:r>
        <w:rPr>
          <w:rFonts w:hint="default" w:ascii="Times New Roman" w:hAnsi="Times New Roman" w:cs="Times New Roman"/>
          <w:color w:val="auto"/>
          <w:szCs w:val="32"/>
          <w:highlight w:val="none"/>
        </w:rPr>
        <w:t>中</w:t>
      </w:r>
      <w:r>
        <w:rPr>
          <w:rFonts w:hint="default" w:ascii="Times New Roman" w:hAnsi="Times New Roman" w:cs="Times New Roman"/>
          <w:color w:val="auto"/>
          <w:szCs w:val="32"/>
          <w:highlight w:val="none"/>
          <w:lang w:val="en-US" w:eastAsia="zh-CN"/>
        </w:rPr>
        <w:t>可能</w:t>
      </w:r>
      <w:r>
        <w:rPr>
          <w:rFonts w:hint="default" w:ascii="Times New Roman" w:hAnsi="Times New Roman" w:cs="Times New Roman"/>
          <w:color w:val="auto"/>
          <w:szCs w:val="32"/>
          <w:highlight w:val="none"/>
        </w:rPr>
        <w:t>存在的问题进行预估，并细化评分标准和取证所需的材料。</w:t>
      </w:r>
      <w:r>
        <w:rPr>
          <w:rFonts w:hint="default" w:ascii="Times New Roman" w:hAnsi="Times New Roman" w:cs="Times New Roman"/>
          <w:color w:val="auto"/>
          <w:szCs w:val="32"/>
          <w:highlight w:val="none"/>
          <w:lang w:val="en-US" w:eastAsia="zh-CN"/>
        </w:rPr>
        <w:t>同时，</w:t>
      </w:r>
      <w:r>
        <w:rPr>
          <w:rFonts w:hint="default" w:ascii="Times New Roman" w:hAnsi="Times New Roman" w:cs="Times New Roman"/>
          <w:color w:val="auto"/>
          <w:szCs w:val="32"/>
          <w:highlight w:val="none"/>
        </w:rPr>
        <w:t>作为受托方，我司</w:t>
      </w:r>
      <w:r>
        <w:rPr>
          <w:rFonts w:hint="default" w:ascii="Times New Roman" w:hAnsi="Times New Roman" w:cs="Times New Roman"/>
          <w:color w:val="auto"/>
          <w:szCs w:val="32"/>
          <w:highlight w:val="none"/>
          <w:lang w:val="en-US" w:eastAsia="zh-CN"/>
        </w:rPr>
        <w:t>建立了专门的质量控制部门，质控部门的</w:t>
      </w:r>
      <w:r>
        <w:rPr>
          <w:rFonts w:hint="default" w:ascii="Times New Roman" w:hAnsi="Times New Roman" w:cs="Times New Roman"/>
          <w:color w:val="auto"/>
          <w:szCs w:val="32"/>
          <w:highlight w:val="none"/>
        </w:rPr>
        <w:t>质控师针对</w:t>
      </w:r>
      <w:r>
        <w:rPr>
          <w:rFonts w:hint="default" w:ascii="Times New Roman" w:hAnsi="Times New Roman" w:cs="Times New Roman"/>
          <w:color w:val="auto"/>
          <w:szCs w:val="32"/>
          <w:highlight w:val="none"/>
          <w:lang w:val="en-US" w:eastAsia="zh-CN"/>
        </w:rPr>
        <w:t>评价</w:t>
      </w:r>
      <w:r>
        <w:rPr>
          <w:rFonts w:hint="default" w:ascii="Times New Roman" w:hAnsi="Times New Roman" w:cs="Times New Roman"/>
          <w:color w:val="auto"/>
          <w:szCs w:val="32"/>
          <w:highlight w:val="none"/>
        </w:rPr>
        <w:t>方案的可行性、全面性、简明性等提出</w:t>
      </w:r>
      <w:r>
        <w:rPr>
          <w:rFonts w:hint="default" w:ascii="Times New Roman" w:hAnsi="Times New Roman" w:cs="Times New Roman"/>
          <w:color w:val="auto"/>
          <w:szCs w:val="32"/>
          <w:highlight w:val="none"/>
          <w:lang w:val="en-US" w:eastAsia="zh-CN"/>
        </w:rPr>
        <w:t>了</w:t>
      </w:r>
      <w:r>
        <w:rPr>
          <w:rFonts w:hint="default" w:ascii="Times New Roman" w:hAnsi="Times New Roman" w:cs="Times New Roman"/>
          <w:color w:val="auto"/>
          <w:szCs w:val="32"/>
          <w:highlight w:val="none"/>
        </w:rPr>
        <w:t>独立、客观、公正的评审意见。评价小组根据质控意见，对项目工作方案进行</w:t>
      </w:r>
      <w:r>
        <w:rPr>
          <w:rFonts w:hint="default" w:ascii="Times New Roman" w:hAnsi="Times New Roman" w:cs="Times New Roman"/>
          <w:color w:val="auto"/>
          <w:szCs w:val="32"/>
          <w:highlight w:val="none"/>
          <w:lang w:val="en-US" w:eastAsia="zh-CN"/>
        </w:rPr>
        <w:t>了调整</w:t>
      </w:r>
      <w:r>
        <w:rPr>
          <w:rFonts w:hint="default" w:ascii="Times New Roman" w:hAnsi="Times New Roman" w:cs="Times New Roman"/>
          <w:color w:val="auto"/>
          <w:szCs w:val="32"/>
          <w:highlight w:val="none"/>
        </w:rPr>
        <w:t>和完善。该阶段的实施时间为：202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lang w:val="en-US" w:eastAsia="zh-CN"/>
        </w:rPr>
        <w:t>月22</w:t>
      </w:r>
      <w:r>
        <w:rPr>
          <w:rFonts w:hint="default" w:ascii="Times New Roman" w:hAnsi="Times New Roman" w:cs="Times New Roman"/>
          <w:color w:val="auto"/>
          <w:szCs w:val="32"/>
          <w:highlight w:val="none"/>
        </w:rPr>
        <w:t>日至202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月</w:t>
      </w:r>
      <w:r>
        <w:rPr>
          <w:rFonts w:hint="default" w:ascii="Times New Roman" w:hAnsi="Times New Roman" w:cs="Times New Roman"/>
          <w:color w:val="auto"/>
          <w:szCs w:val="32"/>
          <w:highlight w:val="none"/>
          <w:lang w:val="en-US" w:eastAsia="zh-CN"/>
        </w:rPr>
        <w:t>2</w:t>
      </w:r>
      <w:r>
        <w:rPr>
          <w:rFonts w:hint="eastAsia" w:ascii="Times New Roman" w:hAnsi="Times New Roman" w:cs="Times New Roman"/>
          <w:color w:val="auto"/>
          <w:szCs w:val="32"/>
          <w:highlight w:val="none"/>
          <w:lang w:val="en-US" w:eastAsia="zh-CN"/>
        </w:rPr>
        <w:t>5</w:t>
      </w:r>
      <w:r>
        <w:rPr>
          <w:rFonts w:hint="default" w:ascii="Times New Roman" w:hAnsi="Times New Roman" w:cs="Times New Roman"/>
          <w:color w:val="auto"/>
          <w:szCs w:val="32"/>
          <w:highlight w:val="none"/>
        </w:rPr>
        <w:t>日。</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3.实地调研与数据分析</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（1）开展社会调研及数据采集</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lang w:val="en-US" w:eastAsia="zh-CN"/>
        </w:rPr>
        <w:t>评价小组对</w:t>
      </w:r>
      <w:r>
        <w:rPr>
          <w:rFonts w:hint="default" w:ascii="Times New Roman" w:hAnsi="Times New Roman" w:cs="Times New Roman"/>
          <w:color w:val="auto"/>
          <w:szCs w:val="32"/>
          <w:highlight w:val="none"/>
          <w:lang w:eastAsia="zh-CN"/>
        </w:rPr>
        <w:t>德阳市罗江区发展和改革局202</w:t>
      </w:r>
      <w:r>
        <w:rPr>
          <w:rFonts w:hint="eastAsia" w:ascii="Times New Roman" w:hAnsi="Times New Roman" w:cs="Times New Roman"/>
          <w:color w:val="auto"/>
          <w:szCs w:val="32"/>
          <w:highlight w:val="none"/>
          <w:lang w:val="en-US" w:eastAsia="zh-CN"/>
        </w:rPr>
        <w:t>2</w:t>
      </w:r>
      <w:r>
        <w:rPr>
          <w:rFonts w:hint="default" w:ascii="Times New Roman" w:hAnsi="Times New Roman" w:cs="Times New Roman"/>
          <w:color w:val="auto"/>
          <w:szCs w:val="32"/>
          <w:highlight w:val="none"/>
          <w:lang w:eastAsia="zh-CN"/>
        </w:rPr>
        <w:t>年</w:t>
      </w:r>
      <w:r>
        <w:rPr>
          <w:rFonts w:hint="eastAsia" w:ascii="Times New Roman" w:hAnsi="Times New Roman" w:cs="Times New Roman"/>
          <w:color w:val="auto"/>
          <w:szCs w:val="32"/>
          <w:highlight w:val="none"/>
          <w:lang w:val="en-US" w:eastAsia="zh-CN"/>
        </w:rPr>
        <w:t>“超标稻谷费用项目”</w:t>
      </w:r>
      <w:r>
        <w:rPr>
          <w:rFonts w:hint="default" w:ascii="Times New Roman" w:hAnsi="Times New Roman" w:cs="Times New Roman"/>
          <w:color w:val="auto"/>
          <w:szCs w:val="32"/>
          <w:highlight w:val="none"/>
          <w:lang w:val="en-US" w:eastAsia="zh-CN"/>
        </w:rPr>
        <w:t>绩效评价</w:t>
      </w:r>
      <w:r>
        <w:rPr>
          <w:rFonts w:hint="default" w:ascii="Times New Roman" w:hAnsi="Times New Roman" w:cs="Times New Roman"/>
          <w:color w:val="auto"/>
          <w:szCs w:val="32"/>
          <w:highlight w:val="none"/>
        </w:rPr>
        <w:t>实地调研阶段所</w:t>
      </w:r>
      <w:r>
        <w:rPr>
          <w:rFonts w:hint="default" w:ascii="Times New Roman" w:hAnsi="Times New Roman" w:cs="Times New Roman"/>
          <w:color w:val="auto"/>
          <w:szCs w:val="32"/>
          <w:highlight w:val="none"/>
          <w:lang w:eastAsia="zh-CN"/>
        </w:rPr>
        <w:t>涉及</w:t>
      </w:r>
      <w:r>
        <w:rPr>
          <w:rFonts w:hint="default" w:ascii="Times New Roman" w:hAnsi="Times New Roman" w:cs="Times New Roman"/>
          <w:color w:val="auto"/>
          <w:szCs w:val="32"/>
          <w:highlight w:val="none"/>
        </w:rPr>
        <w:t>的部门有：</w:t>
      </w:r>
      <w:r>
        <w:rPr>
          <w:rFonts w:hint="default" w:ascii="Times New Roman" w:hAnsi="Times New Roman" w:cs="Times New Roman"/>
          <w:color w:val="auto"/>
          <w:szCs w:val="32"/>
          <w:highlight w:val="none"/>
          <w:lang w:eastAsia="zh-CN"/>
        </w:rPr>
        <w:t>德阳市罗江区发展和改革局</w:t>
      </w:r>
      <w:r>
        <w:rPr>
          <w:rFonts w:hint="default" w:ascii="Times New Roman" w:hAnsi="Times New Roman" w:cs="Times New Roman"/>
          <w:color w:val="auto"/>
          <w:szCs w:val="32"/>
          <w:highlight w:val="none"/>
          <w:lang w:val="en-US" w:eastAsia="zh-CN"/>
        </w:rPr>
        <w:t>财务部门与业务部门，</w:t>
      </w:r>
      <w:r>
        <w:rPr>
          <w:rFonts w:hint="default" w:ascii="Times New Roman" w:hAnsi="Times New Roman" w:cs="Times New Roman"/>
          <w:color w:val="auto"/>
          <w:szCs w:val="32"/>
          <w:highlight w:val="none"/>
        </w:rPr>
        <w:t>采取的</w:t>
      </w:r>
      <w:r>
        <w:rPr>
          <w:rFonts w:hint="default" w:ascii="Times New Roman" w:hAnsi="Times New Roman" w:cs="Times New Roman"/>
          <w:color w:val="auto"/>
          <w:szCs w:val="32"/>
          <w:highlight w:val="none"/>
          <w:lang w:val="en-US" w:eastAsia="zh-CN"/>
        </w:rPr>
        <w:t>主要</w:t>
      </w:r>
      <w:r>
        <w:rPr>
          <w:rFonts w:hint="default" w:ascii="Times New Roman" w:hAnsi="Times New Roman" w:cs="Times New Roman"/>
          <w:color w:val="auto"/>
          <w:szCs w:val="32"/>
          <w:highlight w:val="none"/>
        </w:rPr>
        <w:t>调研手段是资料收集、现场核查、访谈和</w:t>
      </w:r>
      <w:r>
        <w:rPr>
          <w:rFonts w:hint="eastAsia" w:ascii="Times New Roman" w:hAnsi="Times New Roman" w:cs="Times New Roman"/>
          <w:color w:val="auto"/>
          <w:szCs w:val="32"/>
          <w:highlight w:val="none"/>
          <w:lang w:val="en-US" w:eastAsia="zh-CN"/>
        </w:rPr>
        <w:t>问卷</w:t>
      </w:r>
      <w:r>
        <w:rPr>
          <w:rFonts w:hint="default" w:ascii="Times New Roman" w:hAnsi="Times New Roman" w:cs="Times New Roman"/>
          <w:color w:val="auto"/>
          <w:szCs w:val="32"/>
          <w:highlight w:val="none"/>
        </w:rPr>
        <w:t>调查。该阶段的实施时间为：202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lang w:val="en-US" w:eastAsia="zh-CN"/>
        </w:rPr>
        <w:t>月2</w:t>
      </w:r>
      <w:r>
        <w:rPr>
          <w:rFonts w:hint="eastAsia" w:ascii="Times New Roman" w:hAnsi="Times New Roman" w:cs="Times New Roman"/>
          <w:color w:val="auto"/>
          <w:szCs w:val="32"/>
          <w:highlight w:val="none"/>
          <w:lang w:val="en-US" w:eastAsia="zh-CN"/>
        </w:rPr>
        <w:t>6</w:t>
      </w:r>
      <w:r>
        <w:rPr>
          <w:rFonts w:hint="default" w:ascii="Times New Roman" w:hAnsi="Times New Roman" w:cs="Times New Roman"/>
          <w:color w:val="auto"/>
          <w:szCs w:val="32"/>
          <w:highlight w:val="none"/>
        </w:rPr>
        <w:t>日至202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lang w:val="en-US" w:eastAsia="zh-CN"/>
        </w:rPr>
        <w:t>1</w:t>
      </w:r>
      <w:r>
        <w:rPr>
          <w:rFonts w:hint="default" w:ascii="Times New Roman" w:hAnsi="Times New Roman" w:cs="Times New Roman"/>
          <w:color w:val="auto"/>
          <w:szCs w:val="32"/>
          <w:highlight w:val="none"/>
        </w:rPr>
        <w:t>日。</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（2）数据整理和分析</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lang w:val="en-US" w:eastAsia="zh-CN"/>
        </w:rPr>
        <w:t>评价小组</w:t>
      </w:r>
      <w:r>
        <w:rPr>
          <w:rFonts w:hint="default" w:ascii="Times New Roman" w:hAnsi="Times New Roman" w:cs="Times New Roman"/>
          <w:color w:val="auto"/>
          <w:szCs w:val="32"/>
          <w:highlight w:val="none"/>
        </w:rPr>
        <w:t>对采集的数据进行</w:t>
      </w:r>
      <w:r>
        <w:rPr>
          <w:rFonts w:hint="default" w:ascii="Times New Roman" w:hAnsi="Times New Roman" w:cs="Times New Roman"/>
          <w:color w:val="auto"/>
          <w:szCs w:val="32"/>
          <w:highlight w:val="none"/>
          <w:lang w:val="en-US" w:eastAsia="zh-CN"/>
        </w:rPr>
        <w:t>了</w:t>
      </w:r>
      <w:r>
        <w:rPr>
          <w:rFonts w:hint="default" w:ascii="Times New Roman" w:hAnsi="Times New Roman" w:cs="Times New Roman"/>
          <w:color w:val="auto"/>
          <w:szCs w:val="32"/>
          <w:highlight w:val="none"/>
        </w:rPr>
        <w:t>整理</w:t>
      </w:r>
      <w:r>
        <w:rPr>
          <w:rFonts w:hint="default" w:ascii="Times New Roman" w:hAnsi="Times New Roman" w:cs="Times New Roman"/>
          <w:color w:val="auto"/>
          <w:szCs w:val="32"/>
          <w:highlight w:val="none"/>
          <w:lang w:val="en-US" w:eastAsia="zh-CN"/>
        </w:rPr>
        <w:t>并</w:t>
      </w:r>
      <w:r>
        <w:rPr>
          <w:rFonts w:hint="default" w:ascii="Times New Roman" w:hAnsi="Times New Roman" w:cs="Times New Roman"/>
          <w:color w:val="auto"/>
          <w:szCs w:val="32"/>
          <w:highlight w:val="none"/>
        </w:rPr>
        <w:t>剔除</w:t>
      </w:r>
      <w:r>
        <w:rPr>
          <w:rFonts w:hint="default" w:ascii="Times New Roman" w:hAnsi="Times New Roman" w:cs="Times New Roman"/>
          <w:color w:val="auto"/>
          <w:szCs w:val="32"/>
          <w:highlight w:val="none"/>
          <w:lang w:val="en-US" w:eastAsia="zh-CN"/>
        </w:rPr>
        <w:t>了部分</w:t>
      </w:r>
      <w:r>
        <w:rPr>
          <w:rFonts w:hint="default" w:ascii="Times New Roman" w:hAnsi="Times New Roman" w:cs="Times New Roman"/>
          <w:color w:val="auto"/>
          <w:szCs w:val="32"/>
          <w:highlight w:val="none"/>
        </w:rPr>
        <w:t>错误数据，根据整理后的数据和一定的基准衡量指标</w:t>
      </w:r>
      <w:r>
        <w:rPr>
          <w:rFonts w:hint="default" w:ascii="Times New Roman" w:hAnsi="Times New Roman" w:cs="Times New Roman"/>
          <w:color w:val="auto"/>
          <w:szCs w:val="32"/>
          <w:highlight w:val="none"/>
          <w:lang w:val="en-US" w:eastAsia="zh-CN"/>
        </w:rPr>
        <w:t>开展</w:t>
      </w:r>
      <w:r>
        <w:rPr>
          <w:rFonts w:hint="default" w:ascii="Times New Roman" w:hAnsi="Times New Roman" w:cs="Times New Roman"/>
          <w:color w:val="auto"/>
          <w:szCs w:val="32"/>
          <w:highlight w:val="none"/>
        </w:rPr>
        <w:t>数据分析</w:t>
      </w:r>
      <w:r>
        <w:rPr>
          <w:rFonts w:hint="default" w:ascii="Times New Roman" w:hAnsi="Times New Roman" w:cs="Times New Roman"/>
          <w:color w:val="auto"/>
          <w:szCs w:val="32"/>
          <w:highlight w:val="none"/>
          <w:lang w:val="en-US" w:eastAsia="zh-CN"/>
        </w:rPr>
        <w:t>工作</w:t>
      </w:r>
      <w:r>
        <w:rPr>
          <w:rFonts w:hint="default" w:ascii="Times New Roman" w:hAnsi="Times New Roman" w:cs="Times New Roman"/>
          <w:color w:val="auto"/>
          <w:szCs w:val="32"/>
          <w:highlight w:val="none"/>
        </w:rPr>
        <w:t>，回答</w:t>
      </w:r>
      <w:r>
        <w:rPr>
          <w:rFonts w:hint="default" w:ascii="Times New Roman" w:hAnsi="Times New Roman" w:cs="Times New Roman"/>
          <w:color w:val="auto"/>
          <w:szCs w:val="32"/>
          <w:highlight w:val="none"/>
          <w:lang w:val="en-US" w:eastAsia="zh-CN"/>
        </w:rPr>
        <w:t>了</w:t>
      </w:r>
      <w:r>
        <w:rPr>
          <w:rFonts w:hint="default" w:ascii="Times New Roman" w:hAnsi="Times New Roman" w:cs="Times New Roman"/>
          <w:color w:val="auto"/>
          <w:szCs w:val="32"/>
          <w:highlight w:val="none"/>
        </w:rPr>
        <w:t>关键评价问题</w:t>
      </w:r>
      <w:r>
        <w:rPr>
          <w:rFonts w:hint="default"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lang w:val="en-US" w:eastAsia="zh-CN"/>
        </w:rPr>
        <w:t>并对发现的问题进行了</w:t>
      </w:r>
      <w:r>
        <w:rPr>
          <w:rFonts w:hint="default" w:ascii="Times New Roman" w:hAnsi="Times New Roman" w:cs="Times New Roman"/>
          <w:color w:val="auto"/>
          <w:szCs w:val="32"/>
          <w:highlight w:val="none"/>
        </w:rPr>
        <w:t>原因解释。该阶段的实施时间为：202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1</w:t>
      </w:r>
      <w:r>
        <w:rPr>
          <w:rFonts w:hint="default" w:ascii="Times New Roman" w:hAnsi="Times New Roman" w:cs="Times New Roman"/>
          <w:color w:val="auto"/>
          <w:szCs w:val="32"/>
          <w:highlight w:val="none"/>
        </w:rPr>
        <w:t>日至202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5</w:t>
      </w:r>
      <w:r>
        <w:rPr>
          <w:rFonts w:hint="default" w:ascii="Times New Roman" w:hAnsi="Times New Roman" w:cs="Times New Roman"/>
          <w:color w:val="auto"/>
          <w:szCs w:val="32"/>
          <w:highlight w:val="none"/>
        </w:rPr>
        <w:t>日。</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4.报告撰写阶段</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评价报告撰写</w:t>
      </w:r>
      <w:r>
        <w:rPr>
          <w:rFonts w:hint="default" w:ascii="Times New Roman" w:hAnsi="Times New Roman" w:cs="Times New Roman"/>
          <w:color w:val="auto"/>
          <w:szCs w:val="32"/>
          <w:highlight w:val="none"/>
          <w:lang w:val="en-US" w:eastAsia="zh-CN"/>
        </w:rPr>
        <w:t>工作</w:t>
      </w:r>
      <w:r>
        <w:rPr>
          <w:rFonts w:hint="default" w:ascii="Times New Roman" w:hAnsi="Times New Roman" w:cs="Times New Roman"/>
          <w:color w:val="auto"/>
          <w:szCs w:val="32"/>
          <w:highlight w:val="none"/>
        </w:rPr>
        <w:t>的实施时间为：202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6</w:t>
      </w:r>
      <w:r>
        <w:rPr>
          <w:rFonts w:hint="default" w:ascii="Times New Roman" w:hAnsi="Times New Roman" w:cs="Times New Roman"/>
          <w:color w:val="auto"/>
          <w:szCs w:val="32"/>
          <w:highlight w:val="none"/>
        </w:rPr>
        <w:t>日至202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31</w:t>
      </w:r>
      <w:r>
        <w:rPr>
          <w:rFonts w:hint="default" w:ascii="Times New Roman" w:hAnsi="Times New Roman" w:cs="Times New Roman"/>
          <w:color w:val="auto"/>
          <w:szCs w:val="32"/>
          <w:highlight w:val="none"/>
        </w:rPr>
        <w:t>日。</w:t>
      </w:r>
      <w:r>
        <w:rPr>
          <w:rFonts w:hint="default" w:ascii="Times New Roman" w:hAnsi="Times New Roman" w:cs="Times New Roman"/>
          <w:color w:val="auto"/>
          <w:szCs w:val="32"/>
          <w:highlight w:val="none"/>
          <w:lang w:val="en-US" w:eastAsia="zh-CN"/>
        </w:rPr>
        <w:t>评价组</w:t>
      </w:r>
      <w:r>
        <w:rPr>
          <w:rFonts w:hint="default" w:ascii="Times New Roman" w:hAnsi="Times New Roman" w:cs="Times New Roman"/>
          <w:color w:val="auto"/>
          <w:szCs w:val="32"/>
          <w:highlight w:val="none"/>
        </w:rPr>
        <w:t>依据</w:t>
      </w:r>
      <w:r>
        <w:rPr>
          <w:rFonts w:hint="default" w:ascii="Times New Roman" w:hAnsi="Times New Roman" w:cs="Times New Roman"/>
          <w:color w:val="auto"/>
          <w:szCs w:val="32"/>
          <w:highlight w:val="none"/>
          <w:lang w:eastAsia="zh-CN"/>
        </w:rPr>
        <w:t>制定</w:t>
      </w:r>
      <w:r>
        <w:rPr>
          <w:rFonts w:hint="default" w:ascii="Times New Roman" w:hAnsi="Times New Roman" w:cs="Times New Roman"/>
          <w:color w:val="auto"/>
          <w:szCs w:val="32"/>
          <w:highlight w:val="none"/>
        </w:rPr>
        <w:t>的评价标准和</w:t>
      </w:r>
      <w:r>
        <w:rPr>
          <w:rFonts w:hint="default" w:ascii="Times New Roman" w:hAnsi="Times New Roman" w:cs="Times New Roman"/>
          <w:color w:val="auto"/>
          <w:szCs w:val="32"/>
          <w:highlight w:val="none"/>
          <w:lang w:val="en-US" w:eastAsia="zh-CN"/>
        </w:rPr>
        <w:t>评分</w:t>
      </w:r>
      <w:r>
        <w:rPr>
          <w:rFonts w:hint="default" w:ascii="Times New Roman" w:hAnsi="Times New Roman" w:cs="Times New Roman"/>
          <w:color w:val="auto"/>
          <w:szCs w:val="32"/>
          <w:highlight w:val="none"/>
        </w:rPr>
        <w:t>规则，对项目进行</w:t>
      </w:r>
      <w:r>
        <w:rPr>
          <w:rFonts w:hint="default" w:ascii="Times New Roman" w:hAnsi="Times New Roman" w:cs="Times New Roman"/>
          <w:color w:val="auto"/>
          <w:szCs w:val="32"/>
          <w:highlight w:val="none"/>
          <w:lang w:val="en-US" w:eastAsia="zh-CN"/>
        </w:rPr>
        <w:t>了</w:t>
      </w:r>
      <w:r>
        <w:rPr>
          <w:rFonts w:hint="default" w:ascii="Times New Roman" w:hAnsi="Times New Roman" w:cs="Times New Roman"/>
          <w:color w:val="auto"/>
          <w:szCs w:val="32"/>
          <w:highlight w:val="none"/>
        </w:rPr>
        <w:t>量化打分。依据评价结论和项目管理机制、项目实施过程及项目取得的成效，撰写绩效评价报告，总结经验、分析不足，并针对存在问题提出改进建议。在202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9</w:t>
      </w:r>
      <w:r>
        <w:rPr>
          <w:rFonts w:hint="default" w:ascii="Times New Roman" w:hAnsi="Times New Roman" w:cs="Times New Roman"/>
          <w:color w:val="auto"/>
          <w:szCs w:val="32"/>
          <w:highlight w:val="none"/>
        </w:rPr>
        <w:t>月</w:t>
      </w:r>
      <w:r>
        <w:rPr>
          <w:rFonts w:hint="default" w:ascii="Times New Roman" w:hAnsi="Times New Roman" w:cs="Times New Roman"/>
          <w:color w:val="auto"/>
          <w:szCs w:val="32"/>
          <w:highlight w:val="none"/>
          <w:lang w:val="en-US" w:eastAsia="zh-CN"/>
        </w:rPr>
        <w:t>1</w:t>
      </w:r>
      <w:r>
        <w:rPr>
          <w:rFonts w:hint="default" w:ascii="Times New Roman" w:hAnsi="Times New Roman" w:cs="Times New Roman"/>
          <w:color w:val="auto"/>
          <w:szCs w:val="32"/>
          <w:highlight w:val="none"/>
        </w:rPr>
        <w:t>日形成了审议稿。</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评价报告修改的实施时间为：202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9</w:t>
      </w:r>
      <w:r>
        <w:rPr>
          <w:rFonts w:hint="default" w:ascii="Times New Roman" w:hAnsi="Times New Roman" w:cs="Times New Roman"/>
          <w:color w:val="auto"/>
          <w:szCs w:val="32"/>
          <w:highlight w:val="none"/>
        </w:rPr>
        <w:t>月</w:t>
      </w:r>
      <w:r>
        <w:rPr>
          <w:rFonts w:hint="default" w:ascii="Times New Roman" w:hAnsi="Times New Roman" w:cs="Times New Roman"/>
          <w:color w:val="auto"/>
          <w:szCs w:val="32"/>
          <w:highlight w:val="none"/>
          <w:lang w:val="en-US" w:eastAsia="zh-CN"/>
        </w:rPr>
        <w:t>1</w:t>
      </w:r>
      <w:r>
        <w:rPr>
          <w:rFonts w:hint="default" w:ascii="Times New Roman" w:hAnsi="Times New Roman" w:cs="Times New Roman"/>
          <w:color w:val="auto"/>
          <w:szCs w:val="32"/>
          <w:highlight w:val="none"/>
        </w:rPr>
        <w:t>日</w:t>
      </w:r>
      <w:r>
        <w:rPr>
          <w:rFonts w:hint="default" w:ascii="Times New Roman" w:hAnsi="Times New Roman" w:cs="Times New Roman"/>
          <w:color w:val="auto"/>
          <w:szCs w:val="32"/>
          <w:highlight w:val="none"/>
          <w:lang w:val="en-US" w:eastAsia="zh-Hans"/>
        </w:rPr>
        <w:t>后</w:t>
      </w:r>
      <w:r>
        <w:rPr>
          <w:rFonts w:hint="default" w:ascii="Times New Roman" w:hAnsi="Times New Roman" w:cs="Times New Roman"/>
          <w:color w:val="auto"/>
          <w:szCs w:val="32"/>
          <w:highlight w:val="none"/>
        </w:rPr>
        <w:t>。我司质控师针对评价报告的可行性、全面性、简明性等提出</w:t>
      </w:r>
      <w:r>
        <w:rPr>
          <w:rFonts w:hint="default" w:ascii="Times New Roman" w:hAnsi="Times New Roman" w:cs="Times New Roman"/>
          <w:color w:val="auto"/>
          <w:szCs w:val="32"/>
          <w:highlight w:val="none"/>
          <w:lang w:val="en-US" w:eastAsia="zh-CN"/>
        </w:rPr>
        <w:t>了</w:t>
      </w:r>
      <w:r>
        <w:rPr>
          <w:rFonts w:hint="default" w:ascii="Times New Roman" w:hAnsi="Times New Roman" w:cs="Times New Roman"/>
          <w:color w:val="auto"/>
          <w:szCs w:val="32"/>
          <w:highlight w:val="none"/>
        </w:rPr>
        <w:t>独立、客观、公正的评审意见。评价小组根据质控意见，对评价报告进行</w:t>
      </w:r>
      <w:r>
        <w:rPr>
          <w:rFonts w:hint="default" w:ascii="Times New Roman" w:hAnsi="Times New Roman" w:cs="Times New Roman"/>
          <w:color w:val="auto"/>
          <w:szCs w:val="32"/>
          <w:highlight w:val="none"/>
          <w:lang w:val="en-US" w:eastAsia="zh-CN"/>
        </w:rPr>
        <w:t>了</w:t>
      </w:r>
      <w:r>
        <w:rPr>
          <w:rFonts w:hint="default" w:ascii="Times New Roman" w:hAnsi="Times New Roman" w:cs="Times New Roman"/>
          <w:color w:val="auto"/>
          <w:szCs w:val="32"/>
          <w:highlight w:val="none"/>
        </w:rPr>
        <w:t>修改</w:t>
      </w:r>
      <w:r>
        <w:rPr>
          <w:rFonts w:hint="default" w:ascii="Times New Roman" w:hAnsi="Times New Roman" w:cs="Times New Roman"/>
          <w:color w:val="auto"/>
          <w:szCs w:val="32"/>
          <w:highlight w:val="none"/>
          <w:lang w:val="en-US" w:eastAsia="zh-CN"/>
        </w:rPr>
        <w:t>和</w:t>
      </w:r>
      <w:r>
        <w:rPr>
          <w:rFonts w:hint="default" w:ascii="Times New Roman" w:hAnsi="Times New Roman" w:cs="Times New Roman"/>
          <w:color w:val="auto"/>
          <w:szCs w:val="32"/>
          <w:highlight w:val="none"/>
        </w:rPr>
        <w:t>完善。</w:t>
      </w:r>
    </w:p>
    <w:p>
      <w:pPr>
        <w:pStyle w:val="2"/>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default" w:ascii="Times New Roman" w:hAnsi="Times New Roman" w:eastAsia="黑体" w:cs="Times New Roman"/>
          <w:b w:val="0"/>
          <w:bCs/>
          <w:color w:val="auto"/>
          <w:sz w:val="32"/>
          <w:szCs w:val="20"/>
          <w:highlight w:val="none"/>
          <w:lang w:val="en-US" w:eastAsia="zh-CN"/>
        </w:rPr>
      </w:pPr>
      <w:bookmarkStart w:id="14" w:name="_Toc7980"/>
      <w:r>
        <w:rPr>
          <w:rFonts w:hint="default" w:ascii="Times New Roman" w:hAnsi="Times New Roman" w:eastAsia="黑体" w:cs="Times New Roman"/>
          <w:b w:val="0"/>
          <w:bCs/>
          <w:color w:val="auto"/>
          <w:sz w:val="32"/>
          <w:szCs w:val="20"/>
          <w:highlight w:val="none"/>
          <w:lang w:val="en-US" w:eastAsia="zh-CN"/>
        </w:rPr>
        <w:t>三</w:t>
      </w:r>
      <w:r>
        <w:rPr>
          <w:rFonts w:hint="default" w:ascii="Times New Roman" w:hAnsi="Times New Roman" w:eastAsia="黑体" w:cs="Times New Roman"/>
          <w:b w:val="0"/>
          <w:bCs/>
          <w:color w:val="auto"/>
          <w:sz w:val="32"/>
          <w:szCs w:val="20"/>
          <w:highlight w:val="none"/>
        </w:rPr>
        <w:t>、</w:t>
      </w:r>
      <w:r>
        <w:rPr>
          <w:rFonts w:hint="default" w:ascii="Times New Roman" w:hAnsi="Times New Roman" w:eastAsia="黑体" w:cs="Times New Roman"/>
          <w:b w:val="0"/>
          <w:bCs/>
          <w:color w:val="auto"/>
          <w:sz w:val="32"/>
          <w:szCs w:val="20"/>
          <w:highlight w:val="none"/>
          <w:lang w:val="en-US" w:eastAsia="zh-CN"/>
        </w:rPr>
        <w:t>评价结果与结论</w:t>
      </w:r>
      <w:bookmarkEnd w:id="14"/>
    </w:p>
    <w:p>
      <w:pPr>
        <w:pStyle w:val="3"/>
        <w:pageBreakBefore w:val="0"/>
        <w:kinsoku/>
        <w:wordWrap/>
        <w:overflowPunct/>
        <w:topLinePunct w:val="0"/>
        <w:autoSpaceDE/>
        <w:autoSpaceDN/>
        <w:bidi w:val="0"/>
        <w:adjustRightInd/>
        <w:snapToGrid/>
        <w:spacing w:beforeAutospacing="0" w:afterAutospacing="0" w:line="580" w:lineRule="exact"/>
        <w:ind w:firstLine="643"/>
        <w:jc w:val="both"/>
        <w:rPr>
          <w:rFonts w:hint="default" w:ascii="Times New Roman" w:hAnsi="Times New Roman" w:eastAsia="楷体_GB2312" w:cs="Times New Roman"/>
          <w:color w:val="auto"/>
          <w:sz w:val="32"/>
          <w:szCs w:val="32"/>
          <w:highlight w:val="none"/>
          <w:lang w:val="en-US" w:eastAsia="zh-CN"/>
        </w:rPr>
      </w:pPr>
      <w:bookmarkStart w:id="15" w:name="_Toc23904"/>
      <w:r>
        <w:rPr>
          <w:rFonts w:hint="default" w:ascii="Times New Roman" w:hAnsi="Times New Roman" w:eastAsia="楷体_GB2312" w:cs="Times New Roman"/>
          <w:color w:val="auto"/>
          <w:sz w:val="32"/>
          <w:szCs w:val="32"/>
          <w:highlight w:val="none"/>
        </w:rPr>
        <w:t>（一）</w:t>
      </w:r>
      <w:r>
        <w:rPr>
          <w:rFonts w:hint="default" w:ascii="Times New Roman" w:hAnsi="Times New Roman" w:eastAsia="楷体_GB2312" w:cs="Times New Roman"/>
          <w:color w:val="auto"/>
          <w:sz w:val="32"/>
          <w:szCs w:val="32"/>
          <w:highlight w:val="none"/>
          <w:lang w:val="en-US" w:eastAsia="zh-CN"/>
        </w:rPr>
        <w:t>评价得分与绩效等级</w:t>
      </w:r>
      <w:bookmarkEnd w:id="15"/>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依据《</w:t>
      </w:r>
      <w:r>
        <w:rPr>
          <w:rFonts w:hint="default" w:ascii="Times New Roman" w:hAnsi="Times New Roman" w:cs="Times New Roman"/>
          <w:color w:val="auto"/>
          <w:szCs w:val="32"/>
          <w:highlight w:val="none"/>
          <w:lang w:val="en-US" w:eastAsia="zh-CN"/>
        </w:rPr>
        <w:t>项目支出绩效评价管理办法</w:t>
      </w:r>
      <w:r>
        <w:rPr>
          <w:rFonts w:hint="default" w:ascii="Times New Roman" w:hAnsi="Times New Roman" w:cs="Times New Roman"/>
          <w:color w:val="auto"/>
          <w:szCs w:val="32"/>
          <w:highlight w:val="none"/>
        </w:rPr>
        <w:t>》（财</w:t>
      </w:r>
      <w:r>
        <w:rPr>
          <w:rFonts w:hint="default" w:ascii="Times New Roman" w:hAnsi="Times New Roman" w:cs="Times New Roman"/>
          <w:color w:val="auto"/>
          <w:szCs w:val="32"/>
          <w:highlight w:val="none"/>
          <w:lang w:val="en-US" w:eastAsia="zh-CN"/>
        </w:rPr>
        <w:t>预</w:t>
      </w:r>
      <w:r>
        <w:rPr>
          <w:rFonts w:hint="default" w:ascii="Times New Roman" w:hAnsi="Times New Roman" w:cs="Times New Roman"/>
          <w:color w:val="auto"/>
          <w:szCs w:val="32"/>
          <w:highlight w:val="none"/>
        </w:rPr>
        <w:t>〔20</w:t>
      </w:r>
      <w:r>
        <w:rPr>
          <w:rFonts w:hint="default" w:ascii="Times New Roman" w:hAnsi="Times New Roman" w:cs="Times New Roman"/>
          <w:color w:val="auto"/>
          <w:szCs w:val="32"/>
          <w:highlight w:val="none"/>
          <w:lang w:val="en-US" w:eastAsia="zh-CN"/>
        </w:rPr>
        <w:t>20</w:t>
      </w:r>
      <w:r>
        <w:rPr>
          <w:rFonts w:hint="default" w:ascii="Times New Roman" w:hAnsi="Times New Roman" w:cs="Times New Roman"/>
          <w:color w:val="auto"/>
          <w:szCs w:val="32"/>
          <w:highlight w:val="none"/>
        </w:rPr>
        <w:t>〕1</w:t>
      </w:r>
      <w:r>
        <w:rPr>
          <w:rFonts w:hint="default" w:ascii="Times New Roman" w:hAnsi="Times New Roman" w:cs="Times New Roman"/>
          <w:color w:val="auto"/>
          <w:szCs w:val="32"/>
          <w:highlight w:val="none"/>
          <w:lang w:val="en-US" w:eastAsia="zh-CN"/>
        </w:rPr>
        <w:t>0</w:t>
      </w:r>
      <w:r>
        <w:rPr>
          <w:rFonts w:hint="default" w:ascii="Times New Roman" w:hAnsi="Times New Roman" w:cs="Times New Roman"/>
          <w:color w:val="auto"/>
          <w:szCs w:val="32"/>
          <w:highlight w:val="none"/>
        </w:rPr>
        <w:t>号）提出的项目支出绩效评价框架体系，结合</w:t>
      </w:r>
      <w:r>
        <w:rPr>
          <w:rFonts w:hint="default" w:ascii="Times New Roman" w:hAnsi="Times New Roman" w:cs="Times New Roman"/>
          <w:color w:val="auto"/>
          <w:szCs w:val="32"/>
          <w:highlight w:val="none"/>
          <w:lang w:val="en-US" w:eastAsia="zh-CN"/>
        </w:rPr>
        <w:t>本</w:t>
      </w:r>
      <w:r>
        <w:rPr>
          <w:rFonts w:hint="default" w:ascii="Times New Roman" w:hAnsi="Times New Roman" w:cs="Times New Roman"/>
          <w:color w:val="auto"/>
          <w:szCs w:val="32"/>
          <w:highlight w:val="none"/>
        </w:rPr>
        <w:t>项目</w:t>
      </w:r>
      <w:r>
        <w:rPr>
          <w:rFonts w:hint="default" w:ascii="Times New Roman" w:hAnsi="Times New Roman" w:cs="Times New Roman"/>
          <w:color w:val="auto"/>
          <w:szCs w:val="32"/>
          <w:highlight w:val="none"/>
          <w:lang w:val="en-US" w:eastAsia="zh-CN"/>
        </w:rPr>
        <w:t>的</w:t>
      </w:r>
      <w:r>
        <w:rPr>
          <w:rFonts w:hint="default" w:ascii="Times New Roman" w:hAnsi="Times New Roman" w:cs="Times New Roman"/>
          <w:color w:val="auto"/>
          <w:szCs w:val="32"/>
          <w:highlight w:val="none"/>
        </w:rPr>
        <w:t>特点，</w:t>
      </w:r>
      <w:r>
        <w:rPr>
          <w:rFonts w:hint="default" w:ascii="Times New Roman" w:hAnsi="Times New Roman" w:cs="Times New Roman"/>
          <w:color w:val="auto"/>
          <w:szCs w:val="32"/>
          <w:highlight w:val="none"/>
          <w:lang w:eastAsia="zh-CN"/>
        </w:rPr>
        <w:t>评价小组</w:t>
      </w:r>
      <w:r>
        <w:rPr>
          <w:rFonts w:hint="default" w:ascii="Times New Roman" w:hAnsi="Times New Roman" w:cs="Times New Roman"/>
          <w:color w:val="auto"/>
          <w:szCs w:val="32"/>
          <w:highlight w:val="none"/>
        </w:rPr>
        <w:t>设计研发了本项目的</w:t>
      </w:r>
      <w:r>
        <w:rPr>
          <w:rFonts w:hint="default" w:ascii="Times New Roman" w:hAnsi="Times New Roman" w:cs="Times New Roman"/>
          <w:color w:val="auto"/>
          <w:szCs w:val="32"/>
          <w:highlight w:val="none"/>
          <w:lang w:val="en-US" w:eastAsia="zh-CN"/>
        </w:rPr>
        <w:t>绩效评价</w:t>
      </w:r>
      <w:r>
        <w:rPr>
          <w:rFonts w:hint="default" w:ascii="Times New Roman" w:hAnsi="Times New Roman" w:cs="Times New Roman"/>
          <w:color w:val="auto"/>
          <w:szCs w:val="32"/>
          <w:highlight w:val="none"/>
        </w:rPr>
        <w:t>指标体系</w:t>
      </w:r>
      <w:r>
        <w:rPr>
          <w:rFonts w:hint="default"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lang w:val="en-US" w:eastAsia="zh-CN"/>
        </w:rPr>
        <w:t>指标、评价要点、评分规则</w:t>
      </w:r>
      <w:r>
        <w:rPr>
          <w:rFonts w:hint="default"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cs="Times New Roman"/>
          <w:b w:val="0"/>
          <w:bCs/>
          <w:color w:val="auto"/>
          <w:szCs w:val="32"/>
          <w:highlight w:val="none"/>
        </w:rPr>
      </w:pPr>
      <w:r>
        <w:rPr>
          <w:rFonts w:hint="default" w:ascii="Times New Roman" w:hAnsi="Times New Roman" w:cs="Times New Roman"/>
          <w:color w:val="auto"/>
          <w:szCs w:val="32"/>
          <w:highlight w:val="none"/>
        </w:rPr>
        <w:t>通过数据采集、访谈等方法，</w:t>
      </w:r>
      <w:r>
        <w:rPr>
          <w:rFonts w:hint="default" w:ascii="Times New Roman" w:hAnsi="Times New Roman" w:cs="Times New Roman"/>
          <w:color w:val="auto"/>
          <w:szCs w:val="32"/>
          <w:highlight w:val="none"/>
          <w:lang w:eastAsia="zh-CN"/>
        </w:rPr>
        <w:t>评价小组</w:t>
      </w:r>
      <w:r>
        <w:rPr>
          <w:rFonts w:hint="default" w:ascii="Times New Roman" w:hAnsi="Times New Roman" w:cs="Times New Roman"/>
          <w:color w:val="auto"/>
          <w:szCs w:val="32"/>
          <w:highlight w:val="none"/>
        </w:rPr>
        <w:t>对</w:t>
      </w:r>
      <w:r>
        <w:rPr>
          <w:rFonts w:hint="default" w:ascii="Times New Roman" w:hAnsi="Times New Roman" w:cs="Times New Roman"/>
          <w:color w:val="auto"/>
          <w:szCs w:val="32"/>
          <w:highlight w:val="none"/>
          <w:lang w:eastAsia="zh-CN"/>
        </w:rPr>
        <w:t>德阳市罗江区发展和改革局202</w:t>
      </w:r>
      <w:r>
        <w:rPr>
          <w:rFonts w:hint="eastAsia" w:ascii="Times New Roman" w:hAnsi="Times New Roman" w:cs="Times New Roman"/>
          <w:color w:val="auto"/>
          <w:szCs w:val="32"/>
          <w:highlight w:val="none"/>
          <w:lang w:val="en-US" w:eastAsia="zh-CN"/>
        </w:rPr>
        <w:t>2</w:t>
      </w:r>
      <w:r>
        <w:rPr>
          <w:rFonts w:hint="default" w:ascii="Times New Roman" w:hAnsi="Times New Roman" w:cs="Times New Roman"/>
          <w:color w:val="auto"/>
          <w:szCs w:val="32"/>
          <w:highlight w:val="none"/>
          <w:lang w:eastAsia="zh-CN"/>
        </w:rPr>
        <w:t>年</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lang w:eastAsia="zh-CN"/>
        </w:rPr>
        <w:t>超标稻谷费用</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进行客观公正的绩效评价，最终评分得分为</w:t>
      </w:r>
      <w:r>
        <w:rPr>
          <w:rFonts w:hint="eastAsia" w:ascii="Times New Roman" w:hAnsi="Times New Roman" w:cs="Times New Roman"/>
          <w:color w:val="auto"/>
          <w:szCs w:val="32"/>
          <w:highlight w:val="none"/>
          <w:lang w:val="en-US" w:eastAsia="zh-CN"/>
        </w:rPr>
        <w:t>96.1</w:t>
      </w:r>
      <w:r>
        <w:rPr>
          <w:rFonts w:hint="default" w:ascii="Times New Roman" w:hAnsi="Times New Roman" w:cs="Times New Roman"/>
          <w:color w:val="auto"/>
          <w:szCs w:val="32"/>
          <w:highlight w:val="none"/>
        </w:rPr>
        <w:t>分，根据</w:t>
      </w:r>
      <w:r>
        <w:rPr>
          <w:rFonts w:hint="default"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项目支</w:t>
      </w:r>
      <w:r>
        <w:rPr>
          <w:rFonts w:hint="default" w:ascii="Times New Roman" w:hAnsi="Times New Roman" w:cs="Times New Roman"/>
          <w:b w:val="0"/>
          <w:bCs/>
          <w:color w:val="auto"/>
          <w:szCs w:val="32"/>
          <w:highlight w:val="none"/>
        </w:rPr>
        <w:t>出绩效评价管理办法</w:t>
      </w:r>
      <w:r>
        <w:rPr>
          <w:rFonts w:hint="default" w:ascii="Times New Roman" w:hAnsi="Times New Roman" w:cs="Times New Roman"/>
          <w:b w:val="0"/>
          <w:bCs/>
          <w:color w:val="auto"/>
          <w:szCs w:val="32"/>
          <w:highlight w:val="none"/>
          <w:lang w:eastAsia="zh-CN"/>
        </w:rPr>
        <w:t>》</w:t>
      </w:r>
      <w:r>
        <w:rPr>
          <w:rFonts w:hint="default" w:ascii="Times New Roman" w:hAnsi="Times New Roman" w:cs="Times New Roman"/>
          <w:b w:val="0"/>
          <w:bCs/>
          <w:color w:val="auto"/>
          <w:szCs w:val="32"/>
          <w:highlight w:val="none"/>
        </w:rPr>
        <w:t>（财预〔2020〕10号）</w:t>
      </w:r>
      <w:r>
        <w:rPr>
          <w:rFonts w:hint="default" w:ascii="Times New Roman" w:hAnsi="Times New Roman" w:cs="Times New Roman"/>
          <w:b w:val="0"/>
          <w:bCs/>
          <w:color w:val="auto"/>
          <w:szCs w:val="32"/>
          <w:highlight w:val="none"/>
          <w:lang w:val="en-US" w:eastAsia="zh-CN"/>
        </w:rPr>
        <w:t>提出的绩效评价等级相关规定</w:t>
      </w:r>
      <w:r>
        <w:rPr>
          <w:rFonts w:hint="default" w:ascii="Times New Roman" w:hAnsi="Times New Roman" w:cs="Times New Roman"/>
          <w:b w:val="0"/>
          <w:bCs/>
          <w:color w:val="auto"/>
          <w:szCs w:val="32"/>
          <w:highlight w:val="none"/>
        </w:rPr>
        <w:t>，</w:t>
      </w:r>
      <w:r>
        <w:rPr>
          <w:rFonts w:hint="default" w:ascii="Times New Roman" w:hAnsi="Times New Roman" w:cs="Times New Roman"/>
          <w:b w:val="0"/>
          <w:bCs/>
          <w:color w:val="auto"/>
          <w:szCs w:val="32"/>
          <w:highlight w:val="none"/>
          <w:lang w:val="en-US" w:eastAsia="zh-CN"/>
        </w:rPr>
        <w:t>本</w:t>
      </w:r>
      <w:r>
        <w:rPr>
          <w:rFonts w:hint="default" w:ascii="Times New Roman" w:hAnsi="Times New Roman" w:cs="Times New Roman"/>
          <w:b w:val="0"/>
          <w:bCs/>
          <w:color w:val="auto"/>
          <w:szCs w:val="32"/>
          <w:highlight w:val="none"/>
        </w:rPr>
        <w:t>项目</w:t>
      </w:r>
      <w:r>
        <w:rPr>
          <w:rFonts w:hint="default" w:ascii="Times New Roman" w:hAnsi="Times New Roman" w:cs="Times New Roman"/>
          <w:b w:val="0"/>
          <w:bCs/>
          <w:color w:val="auto"/>
          <w:szCs w:val="32"/>
          <w:highlight w:val="none"/>
          <w:lang w:val="en-US" w:eastAsia="zh-CN"/>
        </w:rPr>
        <w:t>的</w:t>
      </w:r>
      <w:r>
        <w:rPr>
          <w:rFonts w:hint="default" w:ascii="Times New Roman" w:hAnsi="Times New Roman" w:cs="Times New Roman"/>
          <w:b w:val="0"/>
          <w:bCs/>
          <w:color w:val="auto"/>
          <w:szCs w:val="32"/>
          <w:highlight w:val="none"/>
        </w:rPr>
        <w:t>绩效</w:t>
      </w:r>
      <w:r>
        <w:rPr>
          <w:rFonts w:hint="default" w:ascii="Times New Roman" w:hAnsi="Times New Roman" w:cs="Times New Roman"/>
          <w:b w:val="0"/>
          <w:bCs/>
          <w:color w:val="auto"/>
          <w:szCs w:val="32"/>
          <w:highlight w:val="none"/>
          <w:lang w:val="en-US" w:eastAsia="zh-CN"/>
        </w:rPr>
        <w:t>评价结果定</w:t>
      </w:r>
      <w:r>
        <w:rPr>
          <w:rFonts w:hint="default" w:ascii="Times New Roman" w:hAnsi="Times New Roman" w:cs="Times New Roman"/>
          <w:b w:val="0"/>
          <w:bCs/>
          <w:color w:val="auto"/>
          <w:szCs w:val="32"/>
          <w:highlight w:val="none"/>
        </w:rPr>
        <w:t>级为</w:t>
      </w:r>
      <w:r>
        <w:rPr>
          <w:rFonts w:hint="eastAsia" w:ascii="Times New Roman" w:hAnsi="Times New Roman" w:cs="Times New Roman"/>
          <w:b w:val="0"/>
          <w:bCs/>
          <w:color w:val="auto"/>
          <w:szCs w:val="32"/>
          <w:highlight w:val="none"/>
          <w:lang w:eastAsia="zh-CN"/>
        </w:rPr>
        <w:t>“</w:t>
      </w:r>
      <w:r>
        <w:rPr>
          <w:rFonts w:hint="default" w:ascii="Times New Roman" w:hAnsi="Times New Roman" w:cs="Times New Roman"/>
          <w:b w:val="0"/>
          <w:bCs/>
          <w:color w:val="auto"/>
          <w:szCs w:val="32"/>
          <w:highlight w:val="none"/>
          <w:lang w:eastAsia="zh-CN"/>
        </w:rPr>
        <w:t>优</w:t>
      </w:r>
      <w:r>
        <w:rPr>
          <w:rFonts w:hint="eastAsia" w:ascii="Times New Roman" w:hAnsi="Times New Roman" w:cs="Times New Roman"/>
          <w:b w:val="0"/>
          <w:bCs/>
          <w:color w:val="auto"/>
          <w:szCs w:val="32"/>
          <w:highlight w:val="none"/>
          <w:lang w:eastAsia="zh-CN"/>
        </w:rPr>
        <w:t>”</w:t>
      </w:r>
      <w:r>
        <w:rPr>
          <w:rFonts w:hint="default" w:ascii="Times New Roman" w:hAnsi="Times New Roman" w:cs="Times New Roman"/>
          <w:b w:val="0"/>
          <w:bCs/>
          <w:color w:val="auto"/>
          <w:szCs w:val="32"/>
          <w:highlight w:val="none"/>
          <w:lang w:eastAsia="zh-CN"/>
        </w:rPr>
        <w:t>。</w:t>
      </w:r>
    </w:p>
    <w:p>
      <w:pPr>
        <w:pageBreakBefore w:val="0"/>
        <w:kinsoku/>
        <w:wordWrap/>
        <w:overflowPunct/>
        <w:topLinePunct w:val="0"/>
        <w:autoSpaceDE/>
        <w:autoSpaceDN/>
        <w:bidi w:val="0"/>
        <w:adjustRightInd/>
        <w:snapToGrid/>
        <w:spacing w:line="580" w:lineRule="exact"/>
        <w:ind w:firstLine="640"/>
        <w:rPr>
          <w:rFonts w:hint="default" w:ascii="Times New Roman" w:hAnsi="Times New Roman" w:eastAsia="仿宋_GB2312" w:cs="Times New Roman"/>
          <w:color w:val="auto"/>
          <w:szCs w:val="32"/>
          <w:highlight w:val="none"/>
          <w:lang w:val="en-US" w:eastAsia="zh-CN"/>
        </w:rPr>
      </w:pPr>
      <w:r>
        <w:rPr>
          <w:rFonts w:hint="default" w:ascii="Times New Roman" w:hAnsi="Times New Roman" w:cs="Times New Roman"/>
          <w:color w:val="auto"/>
          <w:szCs w:val="32"/>
          <w:highlight w:val="none"/>
        </w:rPr>
        <w:t>其中，</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lang w:val="en-US" w:eastAsia="zh-CN"/>
        </w:rPr>
        <w:t>决策</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指标权重为</w:t>
      </w:r>
      <w:r>
        <w:rPr>
          <w:rFonts w:hint="default" w:ascii="Times New Roman" w:hAnsi="Times New Roman" w:cs="Times New Roman"/>
          <w:color w:val="auto"/>
          <w:szCs w:val="32"/>
          <w:highlight w:val="none"/>
          <w:lang w:val="en-US" w:eastAsia="zh-CN"/>
        </w:rPr>
        <w:t>12</w:t>
      </w:r>
      <w:r>
        <w:rPr>
          <w:rFonts w:hint="default" w:ascii="Times New Roman" w:hAnsi="Times New Roman" w:cs="Times New Roman"/>
          <w:color w:val="auto"/>
          <w:szCs w:val="32"/>
          <w:highlight w:val="none"/>
        </w:rPr>
        <w:t>分，得分为</w:t>
      </w:r>
      <w:r>
        <w:rPr>
          <w:rFonts w:hint="eastAsia" w:ascii="Times New Roman" w:hAnsi="Times New Roman" w:cs="Times New Roman"/>
          <w:color w:val="auto"/>
          <w:szCs w:val="32"/>
          <w:highlight w:val="none"/>
          <w:lang w:val="en-US" w:eastAsia="zh-CN"/>
        </w:rPr>
        <w:t>10.83</w:t>
      </w:r>
      <w:r>
        <w:rPr>
          <w:rFonts w:hint="default" w:ascii="Times New Roman" w:hAnsi="Times New Roman" w:cs="Times New Roman"/>
          <w:color w:val="auto"/>
          <w:szCs w:val="32"/>
          <w:highlight w:val="none"/>
          <w:lang w:val="en-US" w:eastAsia="zh-CN"/>
        </w:rPr>
        <w:t>分</w:t>
      </w:r>
      <w:r>
        <w:rPr>
          <w:rFonts w:hint="default" w:ascii="Times New Roman" w:hAnsi="Times New Roman" w:cs="Times New Roman"/>
          <w:color w:val="auto"/>
          <w:szCs w:val="32"/>
          <w:highlight w:val="none"/>
        </w:rPr>
        <w:t>，得分率为</w:t>
      </w:r>
      <w:r>
        <w:rPr>
          <w:rFonts w:hint="eastAsia" w:ascii="Times New Roman" w:hAnsi="Times New Roman" w:cs="Times New Roman"/>
          <w:color w:val="auto"/>
          <w:szCs w:val="32"/>
          <w:highlight w:val="none"/>
          <w:lang w:val="en-US" w:eastAsia="zh-CN"/>
        </w:rPr>
        <w:t>90.25</w:t>
      </w:r>
      <w:r>
        <w:rPr>
          <w:rFonts w:hint="default" w:ascii="Times New Roman" w:hAnsi="Times New Roman" w:cs="Times New Roman"/>
          <w:color w:val="auto"/>
          <w:szCs w:val="32"/>
          <w:highlight w:val="none"/>
          <w:lang w:val="en-US" w:eastAsia="zh-CN"/>
        </w:rPr>
        <w:t>%</w:t>
      </w:r>
      <w:r>
        <w:rPr>
          <w:rFonts w:hint="default" w:ascii="Times New Roman" w:hAnsi="Times New Roman" w:cs="Times New Roman"/>
          <w:color w:val="auto"/>
          <w:szCs w:val="32"/>
          <w:highlight w:val="none"/>
        </w:rPr>
        <w:t>；</w:t>
      </w:r>
      <w:r>
        <w:rPr>
          <w:rFonts w:hint="eastAsia" w:ascii="Times New Roman" w:hAnsi="Times New Roman" w:cs="Times New Roman"/>
          <w:color w:val="auto"/>
          <w:szCs w:val="32"/>
          <w:highlight w:val="none"/>
          <w:lang w:val="en-US" w:eastAsia="zh-CN"/>
        </w:rPr>
        <w:t>“</w:t>
      </w:r>
      <w:r>
        <w:rPr>
          <w:rFonts w:hint="default" w:ascii="Times New Roman" w:hAnsi="Times New Roman" w:cs="Times New Roman"/>
          <w:color w:val="auto"/>
          <w:szCs w:val="32"/>
          <w:highlight w:val="none"/>
          <w:lang w:val="en-US" w:eastAsia="zh-CN"/>
        </w:rPr>
        <w:t>过程</w:t>
      </w:r>
      <w:r>
        <w:rPr>
          <w:rFonts w:hint="eastAsia" w:ascii="Times New Roman" w:hAnsi="Times New Roman" w:cs="Times New Roman"/>
          <w:color w:val="auto"/>
          <w:szCs w:val="32"/>
          <w:highlight w:val="none"/>
          <w:lang w:val="en-US" w:eastAsia="zh-CN"/>
        </w:rPr>
        <w:t>”</w:t>
      </w:r>
      <w:r>
        <w:rPr>
          <w:rFonts w:hint="default" w:ascii="Times New Roman" w:hAnsi="Times New Roman" w:cs="Times New Roman"/>
          <w:color w:val="auto"/>
          <w:szCs w:val="32"/>
          <w:highlight w:val="none"/>
        </w:rPr>
        <w:t>指标权重为</w:t>
      </w:r>
      <w:r>
        <w:rPr>
          <w:rFonts w:hint="default" w:ascii="Times New Roman" w:hAnsi="Times New Roman" w:cs="Times New Roman"/>
          <w:color w:val="auto"/>
          <w:szCs w:val="32"/>
          <w:highlight w:val="none"/>
          <w:lang w:val="en-US" w:eastAsia="zh-CN"/>
        </w:rPr>
        <w:t>1</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分，得分为</w:t>
      </w:r>
      <w:r>
        <w:rPr>
          <w:rFonts w:hint="eastAsia" w:ascii="Times New Roman" w:hAnsi="Times New Roman" w:cs="Times New Roman"/>
          <w:color w:val="auto"/>
          <w:szCs w:val="32"/>
          <w:highlight w:val="none"/>
          <w:lang w:val="en-US" w:eastAsia="zh-CN"/>
        </w:rPr>
        <w:t>18</w:t>
      </w:r>
      <w:r>
        <w:rPr>
          <w:rFonts w:hint="default" w:ascii="Times New Roman" w:hAnsi="Times New Roman" w:cs="Times New Roman"/>
          <w:color w:val="auto"/>
          <w:szCs w:val="32"/>
          <w:highlight w:val="none"/>
          <w:lang w:val="en-US" w:eastAsia="zh-CN"/>
        </w:rPr>
        <w:t>分</w:t>
      </w:r>
      <w:r>
        <w:rPr>
          <w:rFonts w:hint="default" w:ascii="Times New Roman" w:hAnsi="Times New Roman" w:cs="Times New Roman"/>
          <w:color w:val="auto"/>
          <w:szCs w:val="32"/>
          <w:highlight w:val="none"/>
        </w:rPr>
        <w:t>，得分率为</w:t>
      </w:r>
      <w:r>
        <w:rPr>
          <w:rFonts w:hint="eastAsia" w:ascii="Times New Roman" w:hAnsi="Times New Roman" w:cs="Times New Roman"/>
          <w:color w:val="auto"/>
          <w:szCs w:val="32"/>
          <w:highlight w:val="none"/>
          <w:lang w:val="en-US" w:eastAsia="zh-CN"/>
        </w:rPr>
        <w:t>100</w:t>
      </w:r>
      <w:r>
        <w:rPr>
          <w:rFonts w:hint="default" w:ascii="Times New Roman" w:hAnsi="Times New Roman" w:cs="Times New Roman"/>
          <w:color w:val="auto"/>
          <w:szCs w:val="32"/>
          <w:highlight w:val="none"/>
          <w:lang w:val="en-US" w:eastAsia="zh-CN"/>
        </w:rPr>
        <w:t>%</w:t>
      </w:r>
      <w:r>
        <w:rPr>
          <w:rFonts w:hint="default" w:ascii="Times New Roman" w:hAnsi="Times New Roman" w:cs="Times New Roman"/>
          <w:color w:val="auto"/>
          <w:szCs w:val="32"/>
          <w:highlight w:val="none"/>
        </w:rPr>
        <w:t>；</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lang w:val="en-US" w:eastAsia="zh-CN"/>
        </w:rPr>
        <w:t>产出</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指标权重为</w:t>
      </w:r>
      <w:r>
        <w:rPr>
          <w:rFonts w:hint="default" w:ascii="Times New Roman" w:hAnsi="Times New Roman" w:cs="Times New Roman"/>
          <w:color w:val="auto"/>
          <w:szCs w:val="32"/>
          <w:highlight w:val="none"/>
          <w:lang w:val="en-US" w:eastAsia="zh-CN"/>
        </w:rPr>
        <w:t>20</w:t>
      </w:r>
      <w:r>
        <w:rPr>
          <w:rFonts w:hint="default" w:ascii="Times New Roman" w:hAnsi="Times New Roman" w:cs="Times New Roman"/>
          <w:color w:val="auto"/>
          <w:szCs w:val="32"/>
          <w:highlight w:val="none"/>
        </w:rPr>
        <w:t>分，得分为</w:t>
      </w:r>
      <w:r>
        <w:rPr>
          <w:rFonts w:hint="default" w:ascii="Times New Roman" w:hAnsi="Times New Roman" w:cs="Times New Roman"/>
          <w:color w:val="auto"/>
          <w:szCs w:val="32"/>
          <w:highlight w:val="none"/>
          <w:lang w:val="en-US" w:eastAsia="zh-CN"/>
        </w:rPr>
        <w:t>20分</w:t>
      </w:r>
      <w:r>
        <w:rPr>
          <w:rFonts w:hint="default" w:ascii="Times New Roman" w:hAnsi="Times New Roman" w:cs="Times New Roman"/>
          <w:color w:val="auto"/>
          <w:szCs w:val="32"/>
          <w:highlight w:val="none"/>
        </w:rPr>
        <w:t>，得分率为</w:t>
      </w:r>
      <w:r>
        <w:rPr>
          <w:rFonts w:hint="default" w:ascii="Times New Roman" w:hAnsi="Times New Roman" w:cs="Times New Roman"/>
          <w:color w:val="auto"/>
          <w:szCs w:val="32"/>
          <w:highlight w:val="none"/>
          <w:lang w:val="en-US" w:eastAsia="zh-CN"/>
        </w:rPr>
        <w:t>100%；</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lang w:val="en-US" w:eastAsia="zh-CN"/>
        </w:rPr>
        <w:t>效益</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指标权重为</w:t>
      </w:r>
      <w:r>
        <w:rPr>
          <w:rFonts w:hint="default" w:ascii="Times New Roman" w:hAnsi="Times New Roman" w:cs="Times New Roman"/>
          <w:color w:val="auto"/>
          <w:szCs w:val="32"/>
          <w:highlight w:val="none"/>
          <w:lang w:eastAsia="zh-CN"/>
        </w:rPr>
        <w:t>50</w:t>
      </w:r>
      <w:r>
        <w:rPr>
          <w:rFonts w:hint="default" w:ascii="Times New Roman" w:hAnsi="Times New Roman" w:cs="Times New Roman"/>
          <w:color w:val="auto"/>
          <w:szCs w:val="32"/>
          <w:highlight w:val="none"/>
        </w:rPr>
        <w:t>分，得分为</w:t>
      </w:r>
      <w:r>
        <w:rPr>
          <w:rFonts w:hint="eastAsia" w:ascii="Times New Roman" w:hAnsi="Times New Roman" w:cs="Times New Roman"/>
          <w:color w:val="auto"/>
          <w:szCs w:val="32"/>
          <w:highlight w:val="none"/>
          <w:lang w:val="en-US" w:eastAsia="zh-CN"/>
        </w:rPr>
        <w:t>47.27</w:t>
      </w:r>
      <w:r>
        <w:rPr>
          <w:rFonts w:hint="default" w:ascii="Times New Roman" w:hAnsi="Times New Roman" w:cs="Times New Roman"/>
          <w:color w:val="auto"/>
          <w:szCs w:val="32"/>
          <w:highlight w:val="none"/>
          <w:lang w:val="en-US" w:eastAsia="zh-CN"/>
        </w:rPr>
        <w:t>分</w:t>
      </w:r>
      <w:r>
        <w:rPr>
          <w:rFonts w:hint="default" w:ascii="Times New Roman" w:hAnsi="Times New Roman" w:cs="Times New Roman"/>
          <w:color w:val="auto"/>
          <w:szCs w:val="32"/>
          <w:highlight w:val="none"/>
        </w:rPr>
        <w:t>，得分率为</w:t>
      </w:r>
      <w:r>
        <w:rPr>
          <w:rFonts w:hint="eastAsia" w:ascii="Times New Roman" w:hAnsi="Times New Roman" w:cs="Times New Roman"/>
          <w:color w:val="auto"/>
          <w:szCs w:val="32"/>
          <w:highlight w:val="none"/>
          <w:lang w:val="en-US" w:eastAsia="zh-CN"/>
        </w:rPr>
        <w:t>94.54</w:t>
      </w:r>
      <w:r>
        <w:rPr>
          <w:rFonts w:hint="default" w:ascii="Times New Roman" w:hAnsi="Times New Roman" w:cs="Times New Roman"/>
          <w:color w:val="auto"/>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default" w:ascii="Times New Roman" w:hAnsi="Times New Roman" w:eastAsia="仿宋_GB2312" w:cs="Times New Roman"/>
          <w:b/>
          <w:bCs/>
          <w:color w:val="auto"/>
          <w:sz w:val="28"/>
          <w:szCs w:val="28"/>
          <w:highlight w:val="none"/>
          <w:lang w:val="en-US" w:eastAsia="zh-CN"/>
        </w:rPr>
      </w:pPr>
      <w:r>
        <w:rPr>
          <w:rFonts w:hint="default" w:ascii="Times New Roman" w:hAnsi="Times New Roman" w:cs="Times New Roman"/>
          <w:b/>
          <w:bCs/>
          <w:color w:val="auto"/>
          <w:sz w:val="28"/>
          <w:szCs w:val="28"/>
          <w:highlight w:val="none"/>
        </w:rPr>
        <w:t>表</w:t>
      </w:r>
      <w:r>
        <w:rPr>
          <w:rFonts w:hint="default" w:ascii="Times New Roman" w:hAnsi="Times New Roman" w:cs="Times New Roman"/>
          <w:b/>
          <w:bCs/>
          <w:color w:val="auto"/>
          <w:sz w:val="28"/>
          <w:szCs w:val="28"/>
          <w:highlight w:val="none"/>
          <w:lang w:val="en-US" w:eastAsia="zh-CN"/>
        </w:rPr>
        <w:t>3</w:t>
      </w:r>
      <w:r>
        <w:rPr>
          <w:rFonts w:hint="default" w:ascii="Times New Roman" w:hAnsi="Times New Roman" w:cs="Times New Roman"/>
          <w:b/>
          <w:bCs/>
          <w:color w:val="auto"/>
          <w:sz w:val="28"/>
          <w:szCs w:val="28"/>
          <w:highlight w:val="none"/>
        </w:rPr>
        <w:t xml:space="preserve">-1 </w:t>
      </w:r>
      <w:r>
        <w:rPr>
          <w:rFonts w:hint="eastAsia" w:ascii="Times New Roman" w:hAnsi="Times New Roman" w:cs="Times New Roman"/>
          <w:b/>
          <w:bCs/>
          <w:color w:val="auto"/>
          <w:sz w:val="28"/>
          <w:szCs w:val="28"/>
          <w:highlight w:val="none"/>
          <w:lang w:eastAsia="zh-CN"/>
        </w:rPr>
        <w:t>“超标稻谷费用项目”</w:t>
      </w:r>
      <w:r>
        <w:rPr>
          <w:rFonts w:hint="default" w:ascii="Times New Roman" w:hAnsi="Times New Roman" w:cs="Times New Roman"/>
          <w:b/>
          <w:bCs/>
          <w:color w:val="auto"/>
          <w:sz w:val="28"/>
          <w:szCs w:val="28"/>
          <w:highlight w:val="none"/>
          <w:lang w:eastAsia="zh-CN"/>
        </w:rPr>
        <w:t>202</w:t>
      </w:r>
      <w:r>
        <w:rPr>
          <w:rFonts w:hint="eastAsia" w:ascii="Times New Roman" w:hAnsi="Times New Roman" w:cs="Times New Roman"/>
          <w:b/>
          <w:bCs/>
          <w:color w:val="auto"/>
          <w:sz w:val="28"/>
          <w:szCs w:val="28"/>
          <w:highlight w:val="none"/>
          <w:lang w:val="en-US" w:eastAsia="zh-CN"/>
        </w:rPr>
        <w:t>2</w:t>
      </w:r>
      <w:r>
        <w:rPr>
          <w:rFonts w:hint="default" w:ascii="Times New Roman" w:hAnsi="Times New Roman" w:cs="Times New Roman"/>
          <w:b/>
          <w:bCs/>
          <w:color w:val="auto"/>
          <w:sz w:val="28"/>
          <w:szCs w:val="28"/>
          <w:highlight w:val="none"/>
          <w:lang w:eastAsia="zh-CN"/>
        </w:rPr>
        <w:t>年</w:t>
      </w:r>
      <w:r>
        <w:rPr>
          <w:rFonts w:hint="default" w:ascii="Times New Roman" w:hAnsi="Times New Roman" w:cs="Times New Roman"/>
          <w:b/>
          <w:bCs/>
          <w:color w:val="auto"/>
          <w:sz w:val="28"/>
          <w:szCs w:val="28"/>
          <w:highlight w:val="none"/>
          <w:lang w:val="en-US" w:eastAsia="zh-CN"/>
        </w:rPr>
        <w:t>绩效评价得分情况</w:t>
      </w:r>
    </w:p>
    <w:tbl>
      <w:tblPr>
        <w:tblStyle w:val="16"/>
        <w:tblW w:w="4997" w:type="pct"/>
        <w:jc w:val="center"/>
        <w:shd w:val="clear" w:color="auto" w:fill="auto"/>
        <w:tblLayout w:type="autofit"/>
        <w:tblCellMar>
          <w:top w:w="0" w:type="dxa"/>
          <w:left w:w="0" w:type="dxa"/>
          <w:bottom w:w="0" w:type="dxa"/>
          <w:right w:w="0" w:type="dxa"/>
        </w:tblCellMar>
      </w:tblPr>
      <w:tblGrid>
        <w:gridCol w:w="2578"/>
        <w:gridCol w:w="2190"/>
        <w:gridCol w:w="2106"/>
        <w:gridCol w:w="1996"/>
      </w:tblGrid>
      <w:tr>
        <w:tblPrEx>
          <w:tblCellMar>
            <w:top w:w="0" w:type="dxa"/>
            <w:left w:w="0" w:type="dxa"/>
            <w:bottom w:w="0" w:type="dxa"/>
            <w:right w:w="0" w:type="dxa"/>
          </w:tblCellMar>
        </w:tblPrEx>
        <w:trPr>
          <w:trHeight w:val="280" w:hRule="atLeast"/>
          <w:jc w:val="center"/>
        </w:trPr>
        <w:tc>
          <w:tcPr>
            <w:tcW w:w="145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b/>
                <w:bCs/>
                <w:color w:val="auto"/>
                <w:sz w:val="24"/>
                <w:szCs w:val="24"/>
                <w:highlight w:val="none"/>
              </w:rPr>
            </w:pPr>
            <w:r>
              <w:rPr>
                <w:rFonts w:hint="default" w:ascii="Times New Roman" w:hAnsi="Times New Roman" w:eastAsia="仿宋_GB2312" w:cs="Times New Roman"/>
                <w:b/>
                <w:bCs/>
                <w:color w:val="auto"/>
                <w:sz w:val="24"/>
                <w:szCs w:val="24"/>
                <w:highlight w:val="none"/>
                <w:lang w:val="en-US" w:eastAsia="zh-CN"/>
              </w:rPr>
              <w:t>一级指标</w:t>
            </w:r>
          </w:p>
        </w:tc>
        <w:tc>
          <w:tcPr>
            <w:tcW w:w="12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b/>
                <w:bCs/>
                <w:color w:val="auto"/>
                <w:sz w:val="24"/>
                <w:szCs w:val="24"/>
                <w:highlight w:val="none"/>
              </w:rPr>
            </w:pPr>
            <w:r>
              <w:rPr>
                <w:rFonts w:hint="default" w:ascii="Times New Roman" w:hAnsi="Times New Roman" w:eastAsia="仿宋_GB2312" w:cs="Times New Roman"/>
                <w:b/>
                <w:bCs/>
                <w:color w:val="auto"/>
                <w:sz w:val="24"/>
                <w:szCs w:val="24"/>
                <w:highlight w:val="none"/>
                <w:lang w:val="en-US" w:eastAsia="zh-CN"/>
              </w:rPr>
              <w:t>权重</w:t>
            </w:r>
          </w:p>
        </w:tc>
        <w:tc>
          <w:tcPr>
            <w:tcW w:w="11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b/>
                <w:bCs/>
                <w:color w:val="auto"/>
                <w:sz w:val="24"/>
                <w:szCs w:val="24"/>
                <w:highlight w:val="none"/>
              </w:rPr>
            </w:pPr>
            <w:r>
              <w:rPr>
                <w:rFonts w:hint="default" w:ascii="Times New Roman" w:hAnsi="Times New Roman" w:eastAsia="仿宋_GB2312" w:cs="Times New Roman"/>
                <w:b/>
                <w:bCs/>
                <w:color w:val="auto"/>
                <w:sz w:val="24"/>
                <w:szCs w:val="24"/>
                <w:highlight w:val="none"/>
                <w:lang w:val="en-US" w:eastAsia="zh-CN"/>
              </w:rPr>
              <w:t>得分</w:t>
            </w:r>
          </w:p>
        </w:tc>
        <w:tc>
          <w:tcPr>
            <w:tcW w:w="11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b/>
                <w:bCs/>
                <w:color w:val="auto"/>
                <w:sz w:val="24"/>
                <w:szCs w:val="24"/>
                <w:highlight w:val="none"/>
              </w:rPr>
            </w:pPr>
            <w:r>
              <w:rPr>
                <w:rFonts w:hint="default" w:ascii="Times New Roman" w:hAnsi="Times New Roman" w:eastAsia="仿宋_GB2312" w:cs="Times New Roman"/>
                <w:b/>
                <w:bCs/>
                <w:color w:val="auto"/>
                <w:sz w:val="24"/>
                <w:szCs w:val="24"/>
                <w:highlight w:val="none"/>
                <w:lang w:val="en-US" w:eastAsia="zh-CN"/>
              </w:rPr>
              <w:t>得分率</w:t>
            </w:r>
          </w:p>
        </w:tc>
      </w:tr>
      <w:tr>
        <w:tblPrEx>
          <w:tblCellMar>
            <w:top w:w="0" w:type="dxa"/>
            <w:left w:w="0" w:type="dxa"/>
            <w:bottom w:w="0" w:type="dxa"/>
            <w:right w:w="0" w:type="dxa"/>
          </w:tblCellMar>
        </w:tblPrEx>
        <w:trPr>
          <w:trHeight w:val="285" w:hRule="atLeast"/>
          <w:jc w:val="center"/>
        </w:trPr>
        <w:tc>
          <w:tcPr>
            <w:tcW w:w="145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sz w:val="24"/>
                <w:szCs w:val="24"/>
                <w:highlight w:val="none"/>
                <w:lang w:val="en-US" w:eastAsia="zh-Hans"/>
              </w:rPr>
            </w:pPr>
            <w:r>
              <w:rPr>
                <w:rFonts w:hint="default" w:ascii="Times New Roman" w:hAnsi="Times New Roman" w:eastAsia="仿宋_GB2312" w:cs="Times New Roman"/>
                <w:color w:val="auto"/>
                <w:sz w:val="24"/>
                <w:szCs w:val="24"/>
                <w:highlight w:val="none"/>
                <w:lang w:val="en-US" w:eastAsia="zh-CN"/>
              </w:rPr>
              <w:t>决策</w:t>
            </w:r>
          </w:p>
        </w:tc>
        <w:tc>
          <w:tcPr>
            <w:tcW w:w="12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sz w:val="24"/>
                <w:szCs w:val="24"/>
                <w:highlight w:val="none"/>
                <w:lang w:val="en-US"/>
              </w:rPr>
            </w:pPr>
            <w:r>
              <w:rPr>
                <w:rFonts w:hint="default" w:ascii="Times New Roman" w:hAnsi="Times New Roman" w:cs="Times New Roman"/>
                <w:color w:val="auto"/>
                <w:sz w:val="24"/>
                <w:szCs w:val="24"/>
                <w:highlight w:val="none"/>
                <w:lang w:val="en-US" w:eastAsia="zh-CN"/>
              </w:rPr>
              <w:t>12.00</w:t>
            </w:r>
          </w:p>
        </w:tc>
        <w:tc>
          <w:tcPr>
            <w:tcW w:w="11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10.83</w:t>
            </w:r>
          </w:p>
        </w:tc>
        <w:tc>
          <w:tcPr>
            <w:tcW w:w="11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90.25</w:t>
            </w:r>
            <w:r>
              <w:rPr>
                <w:rFonts w:hint="default" w:ascii="Times New Roman" w:hAnsi="Times New Roman" w:cs="Times New Roman"/>
                <w:color w:val="auto"/>
                <w:sz w:val="24"/>
                <w:szCs w:val="24"/>
                <w:highlight w:val="none"/>
                <w:lang w:val="en-US" w:eastAsia="zh-CN"/>
              </w:rPr>
              <w:t>%</w:t>
            </w:r>
          </w:p>
        </w:tc>
      </w:tr>
      <w:tr>
        <w:tblPrEx>
          <w:shd w:val="clear" w:color="auto" w:fill="auto"/>
          <w:tblCellMar>
            <w:top w:w="0" w:type="dxa"/>
            <w:left w:w="0" w:type="dxa"/>
            <w:bottom w:w="0" w:type="dxa"/>
            <w:right w:w="0" w:type="dxa"/>
          </w:tblCellMar>
        </w:tblPrEx>
        <w:trPr>
          <w:trHeight w:val="285" w:hRule="atLeast"/>
          <w:jc w:val="center"/>
        </w:trPr>
        <w:tc>
          <w:tcPr>
            <w:tcW w:w="145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Hans"/>
              </w:rPr>
              <w:t>过程</w:t>
            </w:r>
          </w:p>
        </w:tc>
        <w:tc>
          <w:tcPr>
            <w:tcW w:w="12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sz w:val="24"/>
                <w:szCs w:val="24"/>
                <w:highlight w:val="none"/>
                <w:lang w:val="en-US"/>
              </w:rPr>
            </w:pPr>
            <w:r>
              <w:rPr>
                <w:rFonts w:hint="default" w:ascii="Times New Roman" w:hAnsi="Times New Roman" w:eastAsia="仿宋_GB2312" w:cs="Times New Roman"/>
                <w:color w:val="auto"/>
                <w:sz w:val="24"/>
                <w:szCs w:val="24"/>
                <w:highlight w:val="none"/>
                <w:lang w:val="en-US" w:eastAsia="zh-CN"/>
              </w:rPr>
              <w:t>1</w:t>
            </w:r>
            <w:r>
              <w:rPr>
                <w:rFonts w:hint="eastAsia" w:ascii="Times New Roman" w:hAnsi="Times New Roman" w:cs="Times New Roman"/>
                <w:color w:val="auto"/>
                <w:sz w:val="24"/>
                <w:szCs w:val="24"/>
                <w:highlight w:val="none"/>
                <w:lang w:val="en-US" w:eastAsia="zh-CN"/>
              </w:rPr>
              <w:t>8</w:t>
            </w:r>
            <w:r>
              <w:rPr>
                <w:rFonts w:hint="default" w:ascii="Times New Roman" w:hAnsi="Times New Roman" w:cs="Times New Roman"/>
                <w:color w:val="auto"/>
                <w:sz w:val="24"/>
                <w:szCs w:val="24"/>
                <w:highlight w:val="none"/>
                <w:lang w:val="en-US" w:eastAsia="zh-CN"/>
              </w:rPr>
              <w:t>.00</w:t>
            </w:r>
          </w:p>
        </w:tc>
        <w:tc>
          <w:tcPr>
            <w:tcW w:w="11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w:t>
            </w:r>
            <w:r>
              <w:rPr>
                <w:rFonts w:hint="eastAsia" w:ascii="Times New Roman" w:hAnsi="Times New Roman" w:cs="Times New Roman"/>
                <w:color w:val="auto"/>
                <w:sz w:val="24"/>
                <w:szCs w:val="24"/>
                <w:highlight w:val="none"/>
                <w:lang w:val="en-US" w:eastAsia="zh-CN"/>
              </w:rPr>
              <w:t>8.00</w:t>
            </w:r>
          </w:p>
        </w:tc>
        <w:tc>
          <w:tcPr>
            <w:tcW w:w="11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100</w:t>
            </w:r>
            <w:r>
              <w:rPr>
                <w:rFonts w:hint="default" w:ascii="Times New Roman" w:hAnsi="Times New Roman" w:cs="Times New Roman"/>
                <w:color w:val="auto"/>
                <w:sz w:val="24"/>
                <w:szCs w:val="24"/>
                <w:highlight w:val="none"/>
                <w:lang w:val="en-US" w:eastAsia="zh-CN"/>
              </w:rPr>
              <w:t>%</w:t>
            </w:r>
          </w:p>
        </w:tc>
      </w:tr>
      <w:tr>
        <w:tblPrEx>
          <w:tblCellMar>
            <w:top w:w="0" w:type="dxa"/>
            <w:left w:w="0" w:type="dxa"/>
            <w:bottom w:w="0" w:type="dxa"/>
            <w:right w:w="0" w:type="dxa"/>
          </w:tblCellMar>
        </w:tblPrEx>
        <w:trPr>
          <w:trHeight w:val="285" w:hRule="atLeast"/>
          <w:jc w:val="center"/>
        </w:trPr>
        <w:tc>
          <w:tcPr>
            <w:tcW w:w="145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产出</w:t>
            </w:r>
          </w:p>
        </w:tc>
        <w:tc>
          <w:tcPr>
            <w:tcW w:w="12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sz w:val="24"/>
                <w:szCs w:val="24"/>
                <w:highlight w:val="none"/>
                <w:lang w:val="en-US"/>
              </w:rPr>
            </w:pPr>
            <w:r>
              <w:rPr>
                <w:rFonts w:hint="default" w:ascii="Times New Roman" w:hAnsi="Times New Roman" w:cs="Times New Roman"/>
                <w:color w:val="auto"/>
                <w:sz w:val="24"/>
                <w:szCs w:val="24"/>
                <w:highlight w:val="none"/>
                <w:lang w:val="en-US" w:eastAsia="zh-CN"/>
              </w:rPr>
              <w:t>20.00</w:t>
            </w:r>
          </w:p>
        </w:tc>
        <w:tc>
          <w:tcPr>
            <w:tcW w:w="11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20.00</w:t>
            </w:r>
          </w:p>
        </w:tc>
        <w:tc>
          <w:tcPr>
            <w:tcW w:w="11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100%</w:t>
            </w:r>
          </w:p>
        </w:tc>
      </w:tr>
      <w:tr>
        <w:tblPrEx>
          <w:tblCellMar>
            <w:top w:w="0" w:type="dxa"/>
            <w:left w:w="0" w:type="dxa"/>
            <w:bottom w:w="0" w:type="dxa"/>
            <w:right w:w="0" w:type="dxa"/>
          </w:tblCellMar>
        </w:tblPrEx>
        <w:trPr>
          <w:trHeight w:val="285" w:hRule="atLeast"/>
          <w:jc w:val="center"/>
        </w:trPr>
        <w:tc>
          <w:tcPr>
            <w:tcW w:w="145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效益</w:t>
            </w:r>
          </w:p>
        </w:tc>
        <w:tc>
          <w:tcPr>
            <w:tcW w:w="12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5</w:t>
            </w:r>
            <w:r>
              <w:rPr>
                <w:rFonts w:hint="default" w:ascii="Times New Roman" w:hAnsi="Times New Roman" w:cs="Times New Roman"/>
                <w:color w:val="auto"/>
                <w:sz w:val="24"/>
                <w:szCs w:val="24"/>
                <w:highlight w:val="none"/>
                <w:lang w:eastAsia="zh-CN"/>
              </w:rPr>
              <w:t>0</w:t>
            </w:r>
            <w:r>
              <w:rPr>
                <w:rFonts w:hint="default" w:ascii="Times New Roman" w:hAnsi="Times New Roman" w:cs="Times New Roman"/>
                <w:color w:val="auto"/>
                <w:sz w:val="24"/>
                <w:szCs w:val="24"/>
                <w:highlight w:val="none"/>
                <w:lang w:val="en-US" w:eastAsia="zh-CN"/>
              </w:rPr>
              <w:t>.00</w:t>
            </w:r>
          </w:p>
        </w:tc>
        <w:tc>
          <w:tcPr>
            <w:tcW w:w="11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4</w:t>
            </w:r>
            <w:r>
              <w:rPr>
                <w:rFonts w:hint="eastAsia" w:ascii="Times New Roman" w:hAnsi="Times New Roman" w:cs="Times New Roman"/>
                <w:color w:val="auto"/>
                <w:sz w:val="24"/>
                <w:szCs w:val="24"/>
                <w:highlight w:val="none"/>
                <w:lang w:val="en-US" w:eastAsia="zh-CN"/>
              </w:rPr>
              <w:t>7.27</w:t>
            </w:r>
          </w:p>
        </w:tc>
        <w:tc>
          <w:tcPr>
            <w:tcW w:w="11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94.54%</w:t>
            </w:r>
          </w:p>
        </w:tc>
      </w:tr>
      <w:tr>
        <w:tblPrEx>
          <w:shd w:val="clear" w:color="auto" w:fill="auto"/>
          <w:tblCellMar>
            <w:top w:w="0" w:type="dxa"/>
            <w:left w:w="0" w:type="dxa"/>
            <w:bottom w:w="0" w:type="dxa"/>
            <w:right w:w="0" w:type="dxa"/>
          </w:tblCellMar>
        </w:tblPrEx>
        <w:trPr>
          <w:trHeight w:val="285" w:hRule="atLeast"/>
          <w:jc w:val="center"/>
        </w:trPr>
        <w:tc>
          <w:tcPr>
            <w:tcW w:w="145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val="en-US" w:eastAsia="zh-CN"/>
              </w:rPr>
              <w:t>合计</w:t>
            </w:r>
          </w:p>
        </w:tc>
        <w:tc>
          <w:tcPr>
            <w:tcW w:w="12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100.00</w:t>
            </w:r>
          </w:p>
        </w:tc>
        <w:tc>
          <w:tcPr>
            <w:tcW w:w="11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96.10</w:t>
            </w:r>
          </w:p>
        </w:tc>
        <w:tc>
          <w:tcPr>
            <w:tcW w:w="11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96.10%</w:t>
            </w:r>
          </w:p>
        </w:tc>
      </w:tr>
    </w:tbl>
    <w:p>
      <w:pPr>
        <w:pStyle w:val="3"/>
        <w:keepNext w:val="0"/>
        <w:keepLines w:val="0"/>
        <w:pageBreakBefore w:val="0"/>
        <w:widowControl w:val="0"/>
        <w:kinsoku/>
        <w:wordWrap/>
        <w:overflowPunct/>
        <w:topLinePunct w:val="0"/>
        <w:autoSpaceDE/>
        <w:autoSpaceDN/>
        <w:bidi w:val="0"/>
        <w:adjustRightInd/>
        <w:snapToGrid/>
        <w:spacing w:before="313" w:beforeLines="100" w:beforeAutospacing="0" w:afterAutospacing="0" w:line="580" w:lineRule="exact"/>
        <w:ind w:left="0" w:leftChars="0" w:firstLine="643" w:firstLineChars="200"/>
        <w:jc w:val="both"/>
        <w:textAlignment w:val="auto"/>
        <w:rPr>
          <w:rFonts w:hint="default" w:ascii="Times New Roman" w:hAnsi="Times New Roman" w:eastAsia="楷体_GB2312" w:cs="Times New Roman"/>
          <w:color w:val="auto"/>
          <w:sz w:val="32"/>
          <w:szCs w:val="32"/>
          <w:highlight w:val="none"/>
          <w:lang w:val="en-US" w:eastAsia="zh-CN"/>
        </w:rPr>
      </w:pPr>
      <w:bookmarkStart w:id="16" w:name="_Toc18070"/>
      <w:r>
        <w:rPr>
          <w:rFonts w:hint="default" w:ascii="Times New Roman" w:hAnsi="Times New Roman" w:eastAsia="楷体_GB2312" w:cs="Times New Roman"/>
          <w:color w:val="auto"/>
          <w:sz w:val="32"/>
          <w:szCs w:val="32"/>
          <w:highlight w:val="none"/>
        </w:rPr>
        <w:t>（</w:t>
      </w:r>
      <w:r>
        <w:rPr>
          <w:rFonts w:hint="default" w:ascii="Times New Roman" w:hAnsi="Times New Roman" w:eastAsia="楷体_GB2312" w:cs="Times New Roman"/>
          <w:color w:val="auto"/>
          <w:sz w:val="32"/>
          <w:szCs w:val="32"/>
          <w:highlight w:val="none"/>
          <w:lang w:val="en-US" w:eastAsia="zh-CN"/>
        </w:rPr>
        <w:t>二</w:t>
      </w:r>
      <w:r>
        <w:rPr>
          <w:rFonts w:hint="default" w:ascii="Times New Roman" w:hAnsi="Times New Roman" w:eastAsia="楷体_GB2312" w:cs="Times New Roman"/>
          <w:color w:val="auto"/>
          <w:sz w:val="32"/>
          <w:szCs w:val="32"/>
          <w:highlight w:val="none"/>
        </w:rPr>
        <w:t>）</w:t>
      </w:r>
      <w:r>
        <w:rPr>
          <w:rFonts w:hint="default" w:ascii="Times New Roman" w:hAnsi="Times New Roman" w:eastAsia="楷体_GB2312" w:cs="Times New Roman"/>
          <w:color w:val="auto"/>
          <w:sz w:val="32"/>
          <w:szCs w:val="32"/>
          <w:highlight w:val="none"/>
          <w:lang w:val="en-US" w:eastAsia="zh-CN"/>
        </w:rPr>
        <w:t>评价结论</w:t>
      </w:r>
      <w:bookmarkEnd w:id="16"/>
    </w:p>
    <w:p>
      <w:pPr>
        <w:pageBreakBefore w:val="0"/>
        <w:tabs>
          <w:tab w:val="left" w:pos="320"/>
        </w:tabs>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从项目决策方面来看，</w:t>
      </w:r>
      <w:r>
        <w:rPr>
          <w:rFonts w:hint="default" w:ascii="Times New Roman" w:hAnsi="Times New Roman" w:cs="Times New Roman"/>
          <w:color w:val="auto"/>
          <w:szCs w:val="32"/>
          <w:highlight w:val="none"/>
          <w:lang w:eastAsia="zh-CN"/>
        </w:rPr>
        <w:t>德阳市罗江区发展和改革局202</w:t>
      </w:r>
      <w:r>
        <w:rPr>
          <w:rFonts w:hint="eastAsia" w:ascii="Times New Roman" w:hAnsi="Times New Roman" w:cs="Times New Roman"/>
          <w:color w:val="auto"/>
          <w:szCs w:val="32"/>
          <w:highlight w:val="none"/>
          <w:lang w:val="en-US" w:eastAsia="zh-CN"/>
        </w:rPr>
        <w:t>2</w:t>
      </w:r>
      <w:r>
        <w:rPr>
          <w:rFonts w:hint="default" w:ascii="Times New Roman" w:hAnsi="Times New Roman" w:cs="Times New Roman"/>
          <w:color w:val="auto"/>
          <w:szCs w:val="32"/>
          <w:highlight w:val="none"/>
          <w:lang w:eastAsia="zh-CN"/>
        </w:rPr>
        <w:t>年</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highlight w:val="none"/>
          <w:lang w:eastAsia="zh-CN"/>
        </w:rPr>
        <w:t>超标稻谷费用</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立项依据充分、</w:t>
      </w:r>
      <w:r>
        <w:rPr>
          <w:rFonts w:hint="default" w:ascii="Times New Roman" w:hAnsi="Times New Roman" w:cs="Times New Roman"/>
          <w:color w:val="auto"/>
          <w:szCs w:val="32"/>
          <w:highlight w:val="none"/>
          <w:lang w:val="en-US" w:eastAsia="zh-CN"/>
        </w:rPr>
        <w:t>立项程序规范，但存在项目绩效目标</w:t>
      </w:r>
      <w:r>
        <w:rPr>
          <w:rFonts w:hint="eastAsia" w:ascii="Times New Roman" w:hAnsi="Times New Roman" w:cs="Times New Roman"/>
          <w:color w:val="auto"/>
          <w:szCs w:val="32"/>
          <w:highlight w:val="none"/>
          <w:lang w:val="en-US" w:eastAsia="zh-CN"/>
        </w:rPr>
        <w:t>三级指标</w:t>
      </w:r>
      <w:r>
        <w:rPr>
          <w:rFonts w:hint="default" w:ascii="Times New Roman" w:hAnsi="Times New Roman" w:cs="Times New Roman"/>
          <w:color w:val="auto"/>
          <w:szCs w:val="32"/>
          <w:highlight w:val="none"/>
          <w:lang w:val="en-US" w:eastAsia="zh-CN"/>
        </w:rPr>
        <w:t>名称不规范，指标值</w:t>
      </w:r>
      <w:r>
        <w:rPr>
          <w:rFonts w:hint="eastAsia" w:ascii="Times New Roman" w:hAnsi="Times New Roman" w:cs="Times New Roman"/>
          <w:color w:val="auto"/>
          <w:szCs w:val="32"/>
          <w:highlight w:val="none"/>
          <w:lang w:val="en-US" w:eastAsia="zh-CN"/>
        </w:rPr>
        <w:t>不合理、不规范</w:t>
      </w:r>
      <w:r>
        <w:rPr>
          <w:rFonts w:hint="default" w:ascii="Times New Roman" w:hAnsi="Times New Roman" w:cs="Times New Roman"/>
          <w:color w:val="auto"/>
          <w:szCs w:val="32"/>
          <w:highlight w:val="none"/>
          <w:lang w:val="en-US" w:eastAsia="zh-CN"/>
        </w:rPr>
        <w:t>的问题</w:t>
      </w:r>
      <w:r>
        <w:rPr>
          <w:rFonts w:hint="default" w:ascii="Times New Roman" w:hAnsi="Times New Roman" w:cs="Times New Roman"/>
          <w:color w:val="auto"/>
          <w:szCs w:val="32"/>
          <w:highlight w:val="none"/>
        </w:rPr>
        <w:t>。</w:t>
      </w:r>
    </w:p>
    <w:p>
      <w:pPr>
        <w:pageBreakBefore w:val="0"/>
        <w:tabs>
          <w:tab w:val="left" w:pos="320"/>
        </w:tabs>
        <w:kinsoku/>
        <w:wordWrap/>
        <w:overflowPunct/>
        <w:topLinePunct w:val="0"/>
        <w:autoSpaceDE/>
        <w:autoSpaceDN/>
        <w:bidi w:val="0"/>
        <w:adjustRightInd/>
        <w:snapToGrid/>
        <w:spacing w:line="580" w:lineRule="exact"/>
        <w:ind w:firstLine="640"/>
        <w:rPr>
          <w:rFonts w:hint="default" w:ascii="Times New Roman" w:hAnsi="Times New Roman" w:cs="Times New Roman"/>
          <w:color w:val="auto"/>
          <w:szCs w:val="32"/>
          <w:highlight w:val="none"/>
          <w:lang w:val="en-US" w:eastAsia="zh-CN"/>
        </w:rPr>
      </w:pPr>
      <w:r>
        <w:rPr>
          <w:rFonts w:hint="default" w:ascii="Times New Roman" w:hAnsi="Times New Roman" w:cs="Times New Roman"/>
          <w:color w:val="auto"/>
          <w:szCs w:val="32"/>
          <w:highlight w:val="none"/>
        </w:rPr>
        <w:t>从资金投入管理方面来看，</w:t>
      </w:r>
      <w:r>
        <w:rPr>
          <w:rFonts w:hint="default" w:ascii="Times New Roman" w:hAnsi="Times New Roman" w:cs="Times New Roman"/>
          <w:color w:val="auto"/>
          <w:szCs w:val="32"/>
          <w:highlight w:val="none"/>
          <w:lang w:eastAsia="zh-CN"/>
        </w:rPr>
        <w:t>德阳市罗江区发展和改革局202</w:t>
      </w:r>
      <w:r>
        <w:rPr>
          <w:rFonts w:hint="eastAsia" w:ascii="Times New Roman" w:hAnsi="Times New Roman" w:cs="Times New Roman"/>
          <w:color w:val="auto"/>
          <w:szCs w:val="32"/>
          <w:highlight w:val="none"/>
          <w:lang w:val="en-US" w:eastAsia="zh-CN"/>
        </w:rPr>
        <w:t>2</w:t>
      </w:r>
      <w:r>
        <w:rPr>
          <w:rFonts w:hint="default" w:ascii="Times New Roman" w:hAnsi="Times New Roman" w:cs="Times New Roman"/>
          <w:color w:val="auto"/>
          <w:szCs w:val="32"/>
          <w:highlight w:val="none"/>
          <w:lang w:eastAsia="zh-CN"/>
        </w:rPr>
        <w:t>年</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lang w:eastAsia="zh-CN"/>
        </w:rPr>
        <w:t>超标稻谷费用</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lang w:val="en-US" w:eastAsia="zh-CN"/>
        </w:rPr>
        <w:t>预算</w:t>
      </w:r>
      <w:r>
        <w:rPr>
          <w:rFonts w:hint="default" w:ascii="Times New Roman" w:hAnsi="Times New Roman" w:cs="Times New Roman"/>
          <w:color w:val="auto"/>
          <w:szCs w:val="32"/>
          <w:highlight w:val="none"/>
        </w:rPr>
        <w:t>投入充分，预算</w:t>
      </w:r>
      <w:r>
        <w:rPr>
          <w:rFonts w:hint="default" w:ascii="Times New Roman" w:hAnsi="Times New Roman" w:cs="Times New Roman"/>
          <w:color w:val="auto"/>
          <w:szCs w:val="32"/>
          <w:highlight w:val="none"/>
          <w:lang w:val="en-US" w:eastAsia="zh-CN"/>
        </w:rPr>
        <w:t>资金到位及时，项目资金使用符合政策文件规定用途，预算执行率</w:t>
      </w:r>
      <w:r>
        <w:rPr>
          <w:rFonts w:hint="eastAsia" w:ascii="Times New Roman" w:hAnsi="Times New Roman" w:cs="Times New Roman"/>
          <w:color w:val="auto"/>
          <w:szCs w:val="32"/>
          <w:highlight w:val="none"/>
          <w:lang w:val="en-US" w:eastAsia="zh-CN"/>
        </w:rPr>
        <w:t>100</w:t>
      </w:r>
      <w:r>
        <w:rPr>
          <w:rFonts w:hint="default" w:ascii="Times New Roman" w:hAnsi="Times New Roman" w:cs="Times New Roman"/>
          <w:color w:val="auto"/>
          <w:szCs w:val="32"/>
          <w:highlight w:val="none"/>
          <w:lang w:val="en-US" w:eastAsia="zh-CN"/>
        </w:rPr>
        <w:t>%，成本控制有效。</w:t>
      </w:r>
    </w:p>
    <w:p>
      <w:pPr>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32"/>
          <w:highlight w:val="none"/>
          <w:lang w:val="en-US" w:eastAsia="zh-CN"/>
        </w:rPr>
      </w:pPr>
      <w:r>
        <w:rPr>
          <w:rFonts w:hint="default" w:ascii="Times New Roman" w:hAnsi="Times New Roman" w:cs="Times New Roman"/>
          <w:color w:val="auto"/>
          <w:szCs w:val="32"/>
          <w:highlight w:val="none"/>
          <w:lang w:val="en-US" w:eastAsia="zh-CN"/>
        </w:rPr>
        <w:t>从项目监管方面看，</w:t>
      </w:r>
      <w:r>
        <w:rPr>
          <w:rFonts w:hint="eastAsia" w:ascii="Times New Roman" w:hAnsi="Times New Roman" w:cs="Times New Roman"/>
          <w:color w:val="auto"/>
          <w:szCs w:val="32"/>
          <w:highlight w:val="none"/>
          <w:lang w:val="en-US" w:eastAsia="zh-CN"/>
        </w:rPr>
        <w:t>县（市、区）人民政府要组织相关部门按照各自职责分工，在超标稻谷收购、储存、处置过程中实行全程跟踪监管，确保问题可倒查，责任可追究；建立驻库监管制度，超标稻谷在收购和处置期间，县（市、区）相关部门要向收购处量企业安排驻库监管员，对收购处置全过程进行监管；建立严格的处罚制度；全省各地各有关部门及收购处置企业要严格按照保密工作要求，做好敏感数据保密工作；并将超标稻谷收购处置工作列入各级粮食安全责任制考核内容。</w:t>
      </w:r>
    </w:p>
    <w:p>
      <w:pPr>
        <w:pageBreakBefore w:val="0"/>
        <w:widowControl w:val="0"/>
        <w:kinsoku/>
        <w:wordWrap/>
        <w:overflowPunct/>
        <w:topLinePunct w:val="0"/>
        <w:autoSpaceDE/>
        <w:autoSpaceDN/>
        <w:bidi w:val="0"/>
        <w:adjustRightInd/>
        <w:snapToGrid/>
        <w:spacing w:line="240" w:lineRule="auto"/>
        <w:ind w:firstLine="1040"/>
        <w:textAlignment w:val="auto"/>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从产出和效果方面来看，项目完成及时，根据德阳市罗江区发展和改革局《关于2021年超标稻谷收购工作的总结报告》（德市罗发改〔2022〕20号）</w:t>
      </w:r>
      <w:r>
        <w:rPr>
          <w:rFonts w:hint="eastAsia" w:ascii="Times New Roman" w:hAnsi="Times New Roman" w:cs="Times New Roman"/>
          <w:color w:val="auto"/>
          <w:szCs w:val="32"/>
          <w:highlight w:val="none"/>
          <w:lang w:val="en-US" w:eastAsia="zh-CN"/>
        </w:rPr>
        <w:t>和《德阳市罗江区2021年超标稻谷处置合同》</w:t>
      </w:r>
      <w:r>
        <w:rPr>
          <w:rFonts w:hint="default" w:ascii="Times New Roman" w:hAnsi="Times New Roman" w:cs="Times New Roman"/>
          <w:color w:val="auto"/>
          <w:szCs w:val="32"/>
          <w:highlight w:val="none"/>
          <w:lang w:val="en-US" w:eastAsia="zh-CN"/>
        </w:rPr>
        <w:t>，罗江区粮油收储总公司共收购超标稻谷8220.006吨，其中：镉值为0.2mg/kg-0.4mg/kg的超标稻谷收购4651.736吨，镉值为0.4mg/kg以上的超标稻谷收购3568.27吨；处置超标稻谷8220.006吨，参考底价1800/吨</w:t>
      </w:r>
      <w:r>
        <w:rPr>
          <w:rFonts w:hint="eastAsia" w:ascii="Times New Roman" w:hAnsi="Times New Roman" w:cs="Times New Roman"/>
          <w:color w:val="auto"/>
          <w:szCs w:val="32"/>
          <w:highlight w:val="none"/>
          <w:lang w:val="en-US" w:eastAsia="zh-CN"/>
        </w:rPr>
        <w:t>（由区发改局会同区财政局、农发行德阳市分行根据市场行情共同确定）。</w:t>
      </w:r>
      <w:r>
        <w:rPr>
          <w:rFonts w:hint="default" w:ascii="Times New Roman" w:hAnsi="Times New Roman" w:eastAsia="仿宋_GB2312" w:cs="Times New Roman"/>
          <w:color w:val="auto"/>
          <w:sz w:val="32"/>
          <w:szCs w:val="32"/>
          <w:highlight w:val="none"/>
          <w:lang w:val="en-US" w:eastAsia="zh-CN"/>
        </w:rPr>
        <w:t>按照粮食安全党政同责和食品安全党政同责的要求，</w:t>
      </w:r>
      <w:r>
        <w:rPr>
          <w:rFonts w:hint="eastAsia" w:ascii="Times New Roman" w:hAnsi="Times New Roman" w:cs="Times New Roman"/>
          <w:color w:val="auto"/>
          <w:sz w:val="32"/>
          <w:szCs w:val="32"/>
          <w:highlight w:val="none"/>
          <w:lang w:val="en-US" w:eastAsia="zh-CN"/>
        </w:rPr>
        <w:t>完成了超标稻谷的收购与处置任务，保障了农民种粮的利益，一定程度上防范了超标稻谷流入口粮市场的危机，对安全用粮起到了保障作用，群众满意度较高。</w:t>
      </w:r>
    </w:p>
    <w:p>
      <w:pPr>
        <w:pStyle w:val="2"/>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default" w:ascii="Times New Roman" w:hAnsi="Times New Roman" w:eastAsia="黑体" w:cs="Times New Roman"/>
          <w:b w:val="0"/>
          <w:bCs/>
          <w:color w:val="auto"/>
          <w:sz w:val="32"/>
          <w:szCs w:val="20"/>
          <w:highlight w:val="none"/>
          <w:lang w:val="en-US" w:eastAsia="zh-CN"/>
        </w:rPr>
      </w:pPr>
      <w:bookmarkStart w:id="17" w:name="_Toc18477"/>
      <w:r>
        <w:rPr>
          <w:rFonts w:hint="default" w:ascii="Times New Roman" w:hAnsi="Times New Roman" w:eastAsia="黑体" w:cs="Times New Roman"/>
          <w:b w:val="0"/>
          <w:bCs/>
          <w:color w:val="auto"/>
          <w:sz w:val="32"/>
          <w:szCs w:val="20"/>
          <w:highlight w:val="none"/>
          <w:lang w:val="en-US" w:eastAsia="zh-CN"/>
        </w:rPr>
        <w:t>四</w:t>
      </w:r>
      <w:r>
        <w:rPr>
          <w:rFonts w:hint="default" w:ascii="Times New Roman" w:hAnsi="Times New Roman" w:eastAsia="黑体" w:cs="Times New Roman"/>
          <w:b w:val="0"/>
          <w:bCs/>
          <w:color w:val="auto"/>
          <w:sz w:val="32"/>
          <w:szCs w:val="20"/>
          <w:highlight w:val="none"/>
        </w:rPr>
        <w:t>、</w:t>
      </w:r>
      <w:r>
        <w:rPr>
          <w:rFonts w:hint="default" w:ascii="Times New Roman" w:hAnsi="Times New Roman" w:eastAsia="黑体" w:cs="Times New Roman"/>
          <w:b w:val="0"/>
          <w:bCs/>
          <w:color w:val="auto"/>
          <w:sz w:val="32"/>
          <w:szCs w:val="20"/>
          <w:highlight w:val="none"/>
          <w:lang w:val="en-US" w:eastAsia="zh-CN"/>
        </w:rPr>
        <w:t>问题及建议</w:t>
      </w:r>
      <w:bookmarkEnd w:id="17"/>
    </w:p>
    <w:p>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jc w:val="both"/>
        <w:textAlignment w:val="auto"/>
        <w:rPr>
          <w:rFonts w:hint="default" w:ascii="Times New Roman" w:hAnsi="Times New Roman" w:eastAsia="楷体_GB2312" w:cs="Times New Roman"/>
          <w:b/>
          <w:bCs/>
          <w:color w:val="auto"/>
          <w:kern w:val="2"/>
          <w:sz w:val="32"/>
          <w:szCs w:val="21"/>
          <w:highlight w:val="none"/>
          <w:lang w:val="en-US" w:eastAsia="zh-CN" w:bidi="ar-SA"/>
        </w:rPr>
      </w:pPr>
      <w:bookmarkStart w:id="18" w:name="_Toc30141"/>
      <w:r>
        <w:rPr>
          <w:rFonts w:hint="default" w:ascii="Times New Roman" w:hAnsi="Times New Roman" w:eastAsia="楷体_GB2312" w:cs="Times New Roman"/>
          <w:b/>
          <w:bCs/>
          <w:color w:val="auto"/>
          <w:kern w:val="2"/>
          <w:sz w:val="32"/>
          <w:szCs w:val="21"/>
          <w:highlight w:val="none"/>
          <w:lang w:val="en-US" w:eastAsia="zh-CN" w:bidi="ar-SA"/>
        </w:rPr>
        <w:t>绩效目标填报质量较差，影响项目后续绩效监控</w:t>
      </w:r>
    </w:p>
    <w:p>
      <w:pPr>
        <w:keepNext w:val="0"/>
        <w:keepLines w:val="0"/>
        <w:pageBreakBefore w:val="0"/>
        <w:widowControl w:val="0"/>
        <w:kinsoku/>
        <w:wordWrap/>
        <w:overflowPunct/>
        <w:topLinePunct w:val="0"/>
        <w:autoSpaceDE/>
        <w:autoSpaceDN/>
        <w:bidi w:val="0"/>
        <w:adjustRightInd w:val="0"/>
        <w:snapToGrid w:val="0"/>
        <w:spacing w:line="580" w:lineRule="exact"/>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根据</w:t>
      </w:r>
      <w:r>
        <w:rPr>
          <w:rFonts w:hint="default" w:ascii="Times New Roman" w:hAnsi="Times New Roman" w:cs="Times New Roman"/>
          <w:color w:val="auto"/>
          <w:szCs w:val="32"/>
          <w:highlight w:val="none"/>
          <w:lang w:eastAsia="zh-CN"/>
        </w:rPr>
        <w:t>德阳市罗江区发展和改革局</w:t>
      </w:r>
      <w:r>
        <w:rPr>
          <w:rFonts w:hint="eastAsia" w:ascii="Times New Roman" w:hAnsi="Times New Roman" w:cs="Times New Roman"/>
          <w:color w:val="auto"/>
          <w:highlight w:val="none"/>
          <w:lang w:val="en-US" w:eastAsia="zh-CN"/>
        </w:rPr>
        <w:t>提供</w:t>
      </w:r>
      <w:r>
        <w:rPr>
          <w:rFonts w:hint="default" w:ascii="Times New Roman" w:hAnsi="Times New Roman" w:cs="Times New Roman"/>
          <w:color w:val="auto"/>
          <w:highlight w:val="none"/>
          <w:lang w:val="en-US" w:eastAsia="zh-CN"/>
        </w:rPr>
        <w:t>的</w:t>
      </w:r>
      <w:r>
        <w:rPr>
          <w:rFonts w:hint="eastAsia" w:ascii="Times New Roman" w:hAnsi="Times New Roman" w:cs="Times New Roman"/>
          <w:color w:val="auto"/>
          <w:highlight w:val="none"/>
          <w:lang w:val="en-US" w:eastAsia="zh-CN"/>
        </w:rPr>
        <w:t>“超标稻谷费用项目”</w:t>
      </w:r>
      <w:r>
        <w:rPr>
          <w:rFonts w:hint="default" w:ascii="Times New Roman" w:hAnsi="Times New Roman" w:cs="Times New Roman"/>
          <w:color w:val="auto"/>
          <w:highlight w:val="none"/>
          <w:lang w:val="en-US" w:eastAsia="zh-CN"/>
        </w:rPr>
        <w:t>项目绩效目标，德阳市罗江区发展和改革局申报的绩效目标存在指标名称不规范，含义不明确；</w:t>
      </w:r>
      <w:r>
        <w:rPr>
          <w:rFonts w:hint="eastAsia" w:ascii="Times New Roman" w:hAnsi="Times New Roman" w:cs="Times New Roman"/>
          <w:color w:val="auto"/>
          <w:highlight w:val="none"/>
          <w:lang w:val="en-US" w:eastAsia="zh-CN"/>
        </w:rPr>
        <w:t>指标值不合理、不规范</w:t>
      </w:r>
      <w:r>
        <w:rPr>
          <w:rFonts w:hint="default" w:ascii="Times New Roman" w:hAnsi="Times New Roman" w:cs="Times New Roman"/>
          <w:color w:val="auto"/>
          <w:highlight w:val="none"/>
          <w:lang w:val="en-US" w:eastAsia="zh-CN"/>
        </w:rPr>
        <w:t>；设置指标不全面、不充分，绩效指标表述不科学等问题，不利于开展全过程预算绩效管理工作。</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针对上述问题，建议被评价单位在实施项目时，财务股室牵头做好绩效目标管理工作。《绩效目标申报表》中的</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总体目标</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栏的填报要结合相关政策文件、单位职责职能、单位战略、年度工作计划、项目实施内容等方面进行阐述。总体目标填报的内容要能够明确清晰</w:t>
      </w:r>
      <w:r>
        <w:rPr>
          <w:rFonts w:hint="eastAsia" w:ascii="Times New Roman" w:hAnsi="Times New Roman" w:cs="Times New Roman"/>
          <w:color w:val="auto"/>
          <w:highlight w:val="none"/>
          <w:lang w:val="en-US" w:eastAsia="zh-CN"/>
        </w:rPr>
        <w:t>的</w:t>
      </w:r>
      <w:r>
        <w:rPr>
          <w:rFonts w:hint="default" w:ascii="Times New Roman" w:hAnsi="Times New Roman" w:cs="Times New Roman"/>
          <w:color w:val="auto"/>
          <w:highlight w:val="none"/>
          <w:lang w:val="en-US" w:eastAsia="zh-CN"/>
        </w:rPr>
        <w:t>、具体的、层次分明的、</w:t>
      </w:r>
      <w:r>
        <w:rPr>
          <w:rFonts w:hint="eastAsia" w:ascii="Times New Roman" w:hAnsi="Times New Roman" w:cs="Times New Roman"/>
          <w:color w:val="auto"/>
          <w:highlight w:val="none"/>
          <w:lang w:val="en-US" w:eastAsia="zh-CN"/>
        </w:rPr>
        <w:t>准确的反映</w:t>
      </w:r>
      <w:r>
        <w:rPr>
          <w:rFonts w:hint="default" w:ascii="Times New Roman" w:hAnsi="Times New Roman" w:cs="Times New Roman"/>
          <w:color w:val="auto"/>
          <w:highlight w:val="none"/>
          <w:lang w:val="en-US" w:eastAsia="zh-CN"/>
        </w:rPr>
        <w:t>项目的主要内容，要对项目预期产出和效果进行充分、恰当的描述。根据项目总体目标，再全面、充分</w:t>
      </w:r>
      <w:r>
        <w:rPr>
          <w:rFonts w:hint="eastAsia" w:ascii="Times New Roman" w:hAnsi="Times New Roman" w:cs="Times New Roman"/>
          <w:color w:val="auto"/>
          <w:highlight w:val="none"/>
          <w:lang w:val="en-US" w:eastAsia="zh-CN"/>
        </w:rPr>
        <w:t>地</w:t>
      </w:r>
      <w:r>
        <w:rPr>
          <w:rFonts w:hint="default" w:ascii="Times New Roman" w:hAnsi="Times New Roman" w:cs="Times New Roman"/>
          <w:color w:val="auto"/>
          <w:highlight w:val="none"/>
          <w:lang w:val="en-US" w:eastAsia="zh-CN"/>
        </w:rPr>
        <w:t>分解的绩效指标。分解的绩效指标须细化、量化，对难以量化的指标，做定性描述。分解的绩效指标名称应规范且符合相关二级指标的定义，相关绩效指标值应为具体的数字或定性描述短语。在相关内容填报完成后，财务股室应对项目绩效目标填报内容进行复核。</w:t>
      </w:r>
      <w:r>
        <w:rPr>
          <w:rFonts w:hint="eastAsia" w:ascii="Times New Roman" w:hAnsi="Times New Roman" w:cs="Times New Roman"/>
          <w:color w:val="auto"/>
          <w:highlight w:val="none"/>
          <w:lang w:val="en-US" w:eastAsia="zh-CN"/>
        </w:rPr>
        <w:t>具体修改意见见表1-2。</w:t>
      </w:r>
    </w:p>
    <w:bookmarkEnd w:id="18"/>
    <w:p>
      <w:pPr>
        <w:pStyle w:val="2"/>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default" w:ascii="Times New Roman" w:hAnsi="Times New Roman" w:eastAsia="黑体" w:cs="Times New Roman"/>
          <w:b w:val="0"/>
          <w:bCs/>
          <w:color w:val="auto"/>
          <w:sz w:val="32"/>
          <w:szCs w:val="20"/>
          <w:highlight w:val="none"/>
          <w:lang w:val="en-US" w:eastAsia="zh-CN"/>
        </w:rPr>
      </w:pPr>
      <w:bookmarkStart w:id="19" w:name="_Toc20912"/>
      <w:r>
        <w:rPr>
          <w:rFonts w:hint="default" w:ascii="Times New Roman" w:hAnsi="Times New Roman" w:eastAsia="黑体" w:cs="Times New Roman"/>
          <w:b w:val="0"/>
          <w:bCs/>
          <w:color w:val="auto"/>
          <w:sz w:val="32"/>
          <w:szCs w:val="20"/>
          <w:highlight w:val="none"/>
          <w:lang w:val="en-US" w:eastAsia="zh-CN"/>
        </w:rPr>
        <w:t>五、其他需要说明的问题</w:t>
      </w:r>
      <w:bookmarkEnd w:id="19"/>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32"/>
          <w:highlight w:val="none"/>
          <w:u w:val="none"/>
          <w:lang w:val="en-US" w:eastAsia="zh-CN"/>
        </w:rPr>
      </w:pPr>
      <w:r>
        <w:rPr>
          <w:rFonts w:hint="default" w:ascii="Times New Roman" w:hAnsi="Times New Roman" w:cs="Times New Roman"/>
          <w:color w:val="auto"/>
          <w:szCs w:val="32"/>
          <w:highlight w:val="none"/>
          <w:u w:val="none"/>
          <w:lang w:val="en-US" w:eastAsia="zh-CN"/>
        </w:rPr>
        <w:t>我司作为专业的第三方预算绩效管理服务机构，严格遵守《中华人民共和国预算法》《中华人民共和国预算法实施条例》《中共中央 国务院关于全面实施预算绩效管理的意见》《关于委托第三方机构参与预算绩效管理的指导意见》等预算绩效管理法律法规和第三方评价（</w:t>
      </w:r>
      <w:r>
        <w:rPr>
          <w:rFonts w:hint="eastAsia" w:ascii="Times New Roman" w:hAnsi="Times New Roman" w:cs="Times New Roman"/>
          <w:color w:val="auto"/>
          <w:szCs w:val="32"/>
          <w:highlight w:val="none"/>
          <w:u w:val="none"/>
          <w:lang w:val="en-US" w:eastAsia="zh-CN"/>
        </w:rPr>
        <w:t>评估</w:t>
      </w:r>
      <w:r>
        <w:rPr>
          <w:rFonts w:hint="default" w:ascii="Times New Roman" w:hAnsi="Times New Roman" w:cs="Times New Roman"/>
          <w:color w:val="auto"/>
          <w:szCs w:val="32"/>
          <w:highlight w:val="none"/>
          <w:u w:val="none"/>
          <w:lang w:val="en-US" w:eastAsia="zh-CN"/>
        </w:rPr>
        <w:t>）行业准则，始终秉承独立、客观、公正的立场开展评价（估）工作，实施了必要的评价（估）程序，获取了充分和恰当的证据，并对评价（估）发现的问题进行了充分披露，对评价（估）结果提供合理保证。根据上述法律法规及相关行业准则，被评价（估）部门（单位）对评价（估）过程中提交的材料和有关信息的真实性、完整性承担责任。</w:t>
      </w:r>
    </w:p>
    <w:p>
      <w:pPr>
        <w:rPr>
          <w:rFonts w:hint="default" w:ascii="Times New Roman" w:hAnsi="Times New Roman" w:cs="Times New Roman"/>
          <w:color w:val="auto"/>
          <w:szCs w:val="32"/>
          <w:highlight w:val="none"/>
          <w:u w:val="none"/>
          <w:lang w:val="en-US" w:eastAsia="zh-CN"/>
        </w:rPr>
      </w:pPr>
      <w:r>
        <w:rPr>
          <w:rFonts w:hint="default" w:ascii="Times New Roman" w:hAnsi="Times New Roman" w:cs="Times New Roman"/>
          <w:color w:val="auto"/>
          <w:szCs w:val="32"/>
          <w:highlight w:val="none"/>
          <w:u w:val="none"/>
          <w:lang w:val="en-US" w:eastAsia="zh-CN"/>
        </w:rPr>
        <w:br w:type="page"/>
      </w:r>
    </w:p>
    <w:p>
      <w:pPr>
        <w:pStyle w:val="6"/>
        <w:rPr>
          <w:rFonts w:hint="default"/>
          <w:lang w:val="en-US" w:eastAsia="zh-CN"/>
        </w:rPr>
      </w:pPr>
    </w:p>
    <w:p>
      <w:pPr>
        <w:pStyle w:val="2"/>
        <w:keepNext/>
        <w:keepLines/>
        <w:pageBreakBefore w:val="0"/>
        <w:widowControl w:val="0"/>
        <w:kinsoku/>
        <w:wordWrap/>
        <w:overflowPunct/>
        <w:topLinePunct w:val="0"/>
        <w:autoSpaceDE/>
        <w:autoSpaceDN/>
        <w:bidi w:val="0"/>
        <w:adjustRightInd/>
        <w:snapToGrid/>
        <w:spacing w:before="0" w:after="0" w:line="580" w:lineRule="exact"/>
        <w:ind w:left="0" w:leftChars="0" w:firstLine="0" w:firstLineChars="0"/>
        <w:textAlignment w:val="auto"/>
        <w:rPr>
          <w:rFonts w:hint="default" w:ascii="Times New Roman" w:hAnsi="Times New Roman" w:eastAsia="黑体" w:cs="Times New Roman"/>
          <w:b w:val="0"/>
          <w:bCs/>
          <w:color w:val="auto"/>
          <w:sz w:val="32"/>
          <w:szCs w:val="20"/>
          <w:highlight w:val="none"/>
          <w:lang w:val="en-US" w:eastAsia="zh-CN"/>
        </w:rPr>
      </w:pPr>
      <w:bookmarkStart w:id="20" w:name="_Toc30805"/>
      <w:bookmarkStart w:id="21" w:name="_Toc30854"/>
      <w:r>
        <w:rPr>
          <w:rFonts w:hint="default" w:ascii="Times New Roman" w:hAnsi="Times New Roman" w:eastAsia="黑体" w:cs="Times New Roman"/>
          <w:b w:val="0"/>
          <w:bCs/>
          <w:color w:val="auto"/>
          <w:sz w:val="32"/>
          <w:szCs w:val="20"/>
          <w:highlight w:val="none"/>
          <w:lang w:val="en-US" w:eastAsia="zh-Hans"/>
        </w:rPr>
        <w:t>附件</w:t>
      </w:r>
      <w:r>
        <w:rPr>
          <w:rFonts w:hint="default" w:ascii="Times New Roman" w:hAnsi="Times New Roman" w:eastAsia="黑体" w:cs="Times New Roman"/>
          <w:b w:val="0"/>
          <w:bCs/>
          <w:color w:val="auto"/>
          <w:sz w:val="32"/>
          <w:szCs w:val="20"/>
          <w:highlight w:val="none"/>
          <w:lang w:val="en-US" w:eastAsia="zh-CN"/>
        </w:rPr>
        <w:t>1</w:t>
      </w:r>
      <w:r>
        <w:rPr>
          <w:rFonts w:hint="eastAsia" w:ascii="Times New Roman" w:hAnsi="Times New Roman" w:eastAsia="黑体" w:cs="Times New Roman"/>
          <w:b w:val="0"/>
          <w:bCs/>
          <w:color w:val="auto"/>
          <w:sz w:val="32"/>
          <w:szCs w:val="20"/>
          <w:highlight w:val="none"/>
          <w:lang w:val="en-US" w:eastAsia="zh-CN"/>
        </w:rPr>
        <w:t xml:space="preserve"> </w:t>
      </w:r>
      <w:r>
        <w:rPr>
          <w:rFonts w:hint="default" w:ascii="Times New Roman" w:hAnsi="Times New Roman" w:eastAsia="黑体" w:cs="Times New Roman"/>
          <w:b w:val="0"/>
          <w:bCs/>
          <w:color w:val="auto"/>
          <w:sz w:val="32"/>
          <w:szCs w:val="20"/>
          <w:highlight w:val="none"/>
          <w:lang w:val="en-US" w:eastAsia="zh-CN"/>
        </w:rPr>
        <w:t>项目支出绩效评价指标体系及评分表</w:t>
      </w:r>
      <w:bookmarkEnd w:id="20"/>
      <w:bookmarkEnd w:id="21"/>
    </w:p>
    <w:tbl>
      <w:tblPr>
        <w:tblStyle w:val="1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24"/>
        <w:gridCol w:w="864"/>
        <w:gridCol w:w="837"/>
        <w:gridCol w:w="601"/>
        <w:gridCol w:w="638"/>
        <w:gridCol w:w="1839"/>
        <w:gridCol w:w="34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b/>
                <w:bCs/>
                <w:i w:val="0"/>
                <w:iCs w:val="0"/>
                <w:color w:val="auto"/>
                <w:sz w:val="24"/>
                <w:szCs w:val="24"/>
                <w:u w:val="none"/>
              </w:rPr>
            </w:pPr>
            <w:r>
              <w:rPr>
                <w:rFonts w:hint="default" w:ascii="Times New Roman" w:hAnsi="Times New Roman" w:eastAsia="仿宋_GB2312" w:cs="Times New Roman"/>
                <w:b/>
                <w:bCs/>
                <w:i w:val="0"/>
                <w:iCs w:val="0"/>
                <w:color w:val="auto"/>
                <w:kern w:val="0"/>
                <w:sz w:val="24"/>
                <w:szCs w:val="24"/>
                <w:u w:val="none"/>
                <w:lang w:val="en-US" w:eastAsia="zh-CN" w:bidi="ar"/>
              </w:rPr>
              <w:t>一级指标</w:t>
            </w:r>
          </w:p>
        </w:tc>
        <w:tc>
          <w:tcPr>
            <w:tcW w:w="4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b/>
                <w:bCs/>
                <w:i w:val="0"/>
                <w:iCs w:val="0"/>
                <w:color w:val="auto"/>
                <w:sz w:val="24"/>
                <w:szCs w:val="24"/>
                <w:u w:val="none"/>
              </w:rPr>
            </w:pPr>
            <w:r>
              <w:rPr>
                <w:rFonts w:hint="default" w:ascii="Times New Roman" w:hAnsi="Times New Roman" w:eastAsia="仿宋_GB2312" w:cs="Times New Roman"/>
                <w:b/>
                <w:bCs/>
                <w:i w:val="0"/>
                <w:iCs w:val="0"/>
                <w:color w:val="auto"/>
                <w:kern w:val="0"/>
                <w:sz w:val="24"/>
                <w:szCs w:val="24"/>
                <w:u w:val="none"/>
                <w:lang w:val="en-US" w:eastAsia="zh-CN" w:bidi="ar"/>
              </w:rPr>
              <w:t>二级指标</w:t>
            </w:r>
          </w:p>
        </w:tc>
        <w:tc>
          <w:tcPr>
            <w:tcW w:w="4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b/>
                <w:bCs/>
                <w:i w:val="0"/>
                <w:iCs w:val="0"/>
                <w:color w:val="auto"/>
                <w:sz w:val="24"/>
                <w:szCs w:val="24"/>
                <w:u w:val="none"/>
              </w:rPr>
            </w:pPr>
            <w:r>
              <w:rPr>
                <w:rFonts w:hint="default" w:ascii="Times New Roman" w:hAnsi="Times New Roman" w:eastAsia="仿宋_GB2312" w:cs="Times New Roman"/>
                <w:b/>
                <w:bCs/>
                <w:i w:val="0"/>
                <w:iCs w:val="0"/>
                <w:color w:val="auto"/>
                <w:kern w:val="0"/>
                <w:sz w:val="24"/>
                <w:szCs w:val="24"/>
                <w:u w:val="none"/>
                <w:lang w:val="en-US" w:eastAsia="zh-CN" w:bidi="ar"/>
              </w:rPr>
              <w:t>三级指标</w:t>
            </w:r>
          </w:p>
        </w:tc>
        <w:tc>
          <w:tcPr>
            <w:tcW w:w="68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b/>
                <w:bCs/>
                <w:i w:val="0"/>
                <w:iCs w:val="0"/>
                <w:color w:val="auto"/>
                <w:sz w:val="24"/>
                <w:szCs w:val="24"/>
                <w:u w:val="none"/>
              </w:rPr>
            </w:pPr>
            <w:r>
              <w:rPr>
                <w:rFonts w:hint="default" w:ascii="Times New Roman" w:hAnsi="Times New Roman" w:eastAsia="仿宋_GB2312" w:cs="Times New Roman"/>
                <w:b/>
                <w:bCs/>
                <w:i w:val="0"/>
                <w:iCs w:val="0"/>
                <w:color w:val="auto"/>
                <w:kern w:val="0"/>
                <w:sz w:val="24"/>
                <w:szCs w:val="24"/>
                <w:u w:val="none"/>
                <w:lang w:val="en-US" w:eastAsia="zh-CN" w:bidi="ar"/>
              </w:rPr>
              <w:t>得分情况</w:t>
            </w:r>
          </w:p>
        </w:tc>
        <w:tc>
          <w:tcPr>
            <w:tcW w:w="10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b/>
                <w:bCs/>
                <w:i w:val="0"/>
                <w:iCs w:val="0"/>
                <w:color w:val="auto"/>
                <w:sz w:val="24"/>
                <w:szCs w:val="24"/>
                <w:u w:val="none"/>
              </w:rPr>
            </w:pPr>
            <w:r>
              <w:rPr>
                <w:rFonts w:hint="default" w:ascii="Times New Roman" w:hAnsi="Times New Roman" w:eastAsia="仿宋_GB2312" w:cs="Times New Roman"/>
                <w:b/>
                <w:bCs/>
                <w:i w:val="0"/>
                <w:iCs w:val="0"/>
                <w:color w:val="auto"/>
                <w:kern w:val="0"/>
                <w:sz w:val="24"/>
                <w:szCs w:val="24"/>
                <w:u w:val="none"/>
                <w:lang w:val="en-US" w:eastAsia="zh-CN" w:bidi="ar"/>
              </w:rPr>
              <w:t>指标解释</w:t>
            </w:r>
          </w:p>
        </w:tc>
        <w:tc>
          <w:tcPr>
            <w:tcW w:w="19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b/>
                <w:bCs/>
                <w:i w:val="0"/>
                <w:iCs w:val="0"/>
                <w:color w:val="auto"/>
                <w:sz w:val="24"/>
                <w:szCs w:val="24"/>
                <w:u w:val="none"/>
              </w:rPr>
            </w:pPr>
            <w:r>
              <w:rPr>
                <w:rFonts w:hint="default" w:ascii="Times New Roman" w:hAnsi="Times New Roman" w:eastAsia="仿宋_GB2312" w:cs="Times New Roman"/>
                <w:b/>
                <w:bCs/>
                <w:i w:val="0"/>
                <w:iCs w:val="0"/>
                <w:color w:val="auto"/>
                <w:kern w:val="0"/>
                <w:sz w:val="24"/>
                <w:szCs w:val="24"/>
                <w:u w:val="none"/>
                <w:lang w:val="en-US" w:eastAsia="zh-CN" w:bidi="ar"/>
              </w:rPr>
              <w:t>评价要点与评分规则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b/>
                <w:bCs/>
                <w:i w:val="0"/>
                <w:iCs w:val="0"/>
                <w:color w:val="auto"/>
                <w:sz w:val="24"/>
                <w:szCs w:val="24"/>
                <w:u w:val="none"/>
              </w:rPr>
            </w:pPr>
          </w:p>
        </w:tc>
        <w:tc>
          <w:tcPr>
            <w:tcW w:w="4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b/>
                <w:bCs/>
                <w:i w:val="0"/>
                <w:iCs w:val="0"/>
                <w:color w:val="auto"/>
                <w:sz w:val="24"/>
                <w:szCs w:val="24"/>
                <w:u w:val="none"/>
              </w:rPr>
            </w:pP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b/>
                <w:bCs/>
                <w:i w:val="0"/>
                <w:iCs w:val="0"/>
                <w:color w:val="auto"/>
                <w:sz w:val="24"/>
                <w:szCs w:val="24"/>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b/>
                <w:bCs/>
                <w:i w:val="0"/>
                <w:iCs w:val="0"/>
                <w:color w:val="auto"/>
                <w:sz w:val="24"/>
                <w:szCs w:val="24"/>
                <w:u w:val="none"/>
              </w:rPr>
            </w:pPr>
            <w:r>
              <w:rPr>
                <w:rFonts w:hint="default" w:ascii="Times New Roman" w:hAnsi="Times New Roman" w:eastAsia="仿宋_GB2312" w:cs="Times New Roman"/>
                <w:b/>
                <w:bCs/>
                <w:i w:val="0"/>
                <w:iCs w:val="0"/>
                <w:color w:val="auto"/>
                <w:kern w:val="0"/>
                <w:sz w:val="24"/>
                <w:szCs w:val="24"/>
                <w:u w:val="none"/>
                <w:lang w:val="en-US" w:eastAsia="zh-CN" w:bidi="ar"/>
              </w:rPr>
              <w:t>分值</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b/>
                <w:bCs/>
                <w:i w:val="0"/>
                <w:iCs w:val="0"/>
                <w:color w:val="auto"/>
                <w:sz w:val="24"/>
                <w:szCs w:val="24"/>
                <w:u w:val="none"/>
              </w:rPr>
            </w:pPr>
            <w:r>
              <w:rPr>
                <w:rFonts w:hint="default" w:ascii="Times New Roman" w:hAnsi="Times New Roman" w:eastAsia="仿宋_GB2312" w:cs="Times New Roman"/>
                <w:b/>
                <w:bCs/>
                <w:i w:val="0"/>
                <w:iCs w:val="0"/>
                <w:color w:val="auto"/>
                <w:kern w:val="0"/>
                <w:sz w:val="24"/>
                <w:szCs w:val="24"/>
                <w:u w:val="none"/>
                <w:lang w:val="en-US" w:eastAsia="zh-CN" w:bidi="ar"/>
              </w:rPr>
              <w:t>得分</w:t>
            </w: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b/>
                <w:bCs/>
                <w:i w:val="0"/>
                <w:iCs w:val="0"/>
                <w:color w:val="auto"/>
                <w:sz w:val="24"/>
                <w:szCs w:val="24"/>
                <w:u w:val="none"/>
              </w:rPr>
            </w:pPr>
          </w:p>
        </w:tc>
        <w:tc>
          <w:tcPr>
            <w:tcW w:w="19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b/>
                <w:bCs/>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0" w:hRule="atLeast"/>
        </w:trPr>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决策</w:t>
            </w:r>
          </w:p>
        </w:tc>
        <w:tc>
          <w:tcPr>
            <w:tcW w:w="4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立项依据</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立项依据充分性</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2</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项目立项是否符合法律法规、相关政策、发展规划以及部门职责，用以反映和考核项目立项依据情况。</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①项目立项是否符合国家法律法规、国民经济发展规划和相关政策；</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②项目立项是否符合行业发展规划和政策要求；</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③项目立项是否与部门职责范围相符，属于部门履职所需；</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④项目是否属于公共财政支持范围，是否符合中央、地方事权支出责任划分原则；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⑤项目是否与相关部门同类项目或部门内部相关项目重复。</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符合以上①—⑤得满分，否则不得分。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立项程序规范性</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2</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项目申请、设立过程是否符合相关要求，用以反映和考核项目立项的规范情况。</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①项目是否按照规定的程序申请设立；</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②审批文件、材料是否符合相关要求；</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③事前是否已经过必要的可行性研究、专家论证、风险评估、绩效评估、集体决策。</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符合以上①—③得满分，否则不得分。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绩效目标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绩效目标合理性</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lang w:val="en-US"/>
              </w:rPr>
            </w:pPr>
            <w:r>
              <w:rPr>
                <w:rFonts w:hint="eastAsia" w:ascii="Times New Roman" w:hAnsi="Times New Roman" w:cs="Times New Roman"/>
                <w:i w:val="0"/>
                <w:iCs w:val="0"/>
                <w:color w:val="auto"/>
                <w:kern w:val="0"/>
                <w:sz w:val="24"/>
                <w:szCs w:val="24"/>
                <w:u w:val="none"/>
                <w:lang w:val="en-US" w:eastAsia="zh-CN" w:bidi="ar"/>
              </w:rPr>
              <w:t>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lang w:val="en-US"/>
              </w:rPr>
            </w:pPr>
            <w:r>
              <w:rPr>
                <w:rFonts w:hint="eastAsia" w:ascii="Times New Roman" w:hAnsi="Times New Roman" w:cs="Times New Roman"/>
                <w:i w:val="0"/>
                <w:iCs w:val="0"/>
                <w:color w:val="auto"/>
                <w:kern w:val="0"/>
                <w:sz w:val="24"/>
                <w:szCs w:val="24"/>
                <w:highlight w:val="none"/>
                <w:u w:val="none"/>
                <w:lang w:val="en-US" w:eastAsia="zh-CN" w:bidi="ar"/>
              </w:rPr>
              <w:t>1.5</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项目所设定的绩效目标是否依据充分，是否符合客观实际，用以反映和考核项目绩效目标与项目实施的相符情况。</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①项目是否有绩效目标；</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②项目绩效目标与实际工作内容是否具有相关性；</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③项目预期产出效益和效果是否符合正常的业绩水平；</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④是否与预算确定的项目投资额或资金量相匹配。</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符合以上①—④</w:t>
            </w:r>
            <w:r>
              <w:rPr>
                <w:rFonts w:hint="eastAsia" w:ascii="Times New Roman" w:hAnsi="Times New Roman" w:cs="Times New Roman"/>
                <w:i w:val="0"/>
                <w:iCs w:val="0"/>
                <w:color w:val="auto"/>
                <w:kern w:val="0"/>
                <w:sz w:val="24"/>
                <w:szCs w:val="24"/>
                <w:u w:val="none"/>
                <w:lang w:val="en-US" w:eastAsia="zh-CN" w:bidi="ar"/>
              </w:rPr>
              <w:t>的</w:t>
            </w:r>
            <w:r>
              <w:rPr>
                <w:rFonts w:hint="default" w:ascii="Times New Roman" w:hAnsi="Times New Roman" w:eastAsia="仿宋_GB2312" w:cs="Times New Roman"/>
                <w:i w:val="0"/>
                <w:iCs w:val="0"/>
                <w:color w:val="auto"/>
                <w:kern w:val="0"/>
                <w:sz w:val="24"/>
                <w:szCs w:val="24"/>
                <w:u w:val="none"/>
                <w:lang w:val="en-US" w:eastAsia="zh-CN" w:bidi="ar"/>
              </w:rPr>
              <w:t>满分，每缺失一项扣25%，直至扣除比例达到100%。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绩效目标明确性</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lang w:val="en-US"/>
              </w:rPr>
            </w:pPr>
            <w:r>
              <w:rPr>
                <w:rFonts w:hint="eastAsia" w:ascii="Times New Roman" w:hAnsi="Times New Roman" w:cs="Times New Roman"/>
                <w:i w:val="0"/>
                <w:iCs w:val="0"/>
                <w:color w:val="auto"/>
                <w:kern w:val="0"/>
                <w:sz w:val="24"/>
                <w:szCs w:val="24"/>
                <w:highlight w:val="none"/>
                <w:u w:val="none"/>
                <w:lang w:val="en-US" w:eastAsia="zh-CN" w:bidi="ar"/>
              </w:rPr>
              <w:t>1.33</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依据绩效目标设定的绩效指标是否清晰、细化、可衡量等，用以反映和考核项目绩效目标的明细化情况。</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①是否将项目绩效目标细化分解为具体的绩效指标；</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②是否通过清晰、可衡量的指标值予以体现；</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③是否与项目目标任务数或计划数相对应。</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符合以上①—③</w:t>
            </w:r>
            <w:r>
              <w:rPr>
                <w:rFonts w:hint="eastAsia" w:ascii="Times New Roman" w:hAnsi="Times New Roman" w:cs="Times New Roman"/>
                <w:i w:val="0"/>
                <w:iCs w:val="0"/>
                <w:color w:val="auto"/>
                <w:kern w:val="0"/>
                <w:sz w:val="24"/>
                <w:szCs w:val="24"/>
                <w:u w:val="none"/>
                <w:lang w:val="en-US" w:eastAsia="zh-CN" w:bidi="ar"/>
              </w:rPr>
              <w:t>的</w:t>
            </w:r>
            <w:r>
              <w:rPr>
                <w:rFonts w:hint="default" w:ascii="Times New Roman" w:hAnsi="Times New Roman" w:eastAsia="仿宋_GB2312" w:cs="Times New Roman"/>
                <w:i w:val="0"/>
                <w:iCs w:val="0"/>
                <w:color w:val="auto"/>
                <w:kern w:val="0"/>
                <w:sz w:val="24"/>
                <w:szCs w:val="24"/>
                <w:u w:val="none"/>
                <w:lang w:val="en-US" w:eastAsia="zh-CN" w:bidi="ar"/>
              </w:rPr>
              <w:t>满分，每缺失一项扣除三分之一，直至扣除比例达到100%。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资金投入</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预算编制科学性</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2</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项目预算编制是否经过科学论证、有明确标准，资金额度与年度目标是否相适应，用以反映和考核项目预算编制的科学性、合理性情况。</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①预算编制是否经过科学论证；</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②预算内容与项目内容是否匹配；</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③预算额度测算依据是否充分，是否按照标准编制；</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④预算确定的项目投资额或资金量是否与工作任务相匹配。</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符合以上①—④</w:t>
            </w:r>
            <w:r>
              <w:rPr>
                <w:rFonts w:hint="eastAsia" w:ascii="Times New Roman" w:hAnsi="Times New Roman" w:cs="Times New Roman"/>
                <w:i w:val="0"/>
                <w:iCs w:val="0"/>
                <w:color w:val="auto"/>
                <w:kern w:val="0"/>
                <w:sz w:val="24"/>
                <w:szCs w:val="24"/>
                <w:u w:val="none"/>
                <w:lang w:val="en-US" w:eastAsia="zh-CN" w:bidi="ar"/>
              </w:rPr>
              <w:t>的</w:t>
            </w:r>
            <w:r>
              <w:rPr>
                <w:rFonts w:hint="default" w:ascii="Times New Roman" w:hAnsi="Times New Roman" w:eastAsia="仿宋_GB2312" w:cs="Times New Roman"/>
                <w:i w:val="0"/>
                <w:iCs w:val="0"/>
                <w:color w:val="auto"/>
                <w:kern w:val="0"/>
                <w:sz w:val="24"/>
                <w:szCs w:val="24"/>
                <w:u w:val="none"/>
                <w:lang w:val="en-US" w:eastAsia="zh-CN" w:bidi="ar"/>
              </w:rPr>
              <w:t>满分，每缺失一项扣除25%，直至扣除比例达到100%。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资金分配合理性</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2</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项目预算资金分配是否有测算依据，与补助单位或地方实际是否相适应，用以反映和考核项目预算资金分配的科学性、合理性情况。</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①预算资金分配依据是否充分；</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②资金分配额度是否合理，与项目单位或地方实际是否相适应。</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符合以上①—②</w:t>
            </w:r>
            <w:r>
              <w:rPr>
                <w:rFonts w:hint="eastAsia" w:ascii="Times New Roman" w:hAnsi="Times New Roman" w:cs="Times New Roman"/>
                <w:i w:val="0"/>
                <w:iCs w:val="0"/>
                <w:color w:val="auto"/>
                <w:kern w:val="0"/>
                <w:sz w:val="24"/>
                <w:szCs w:val="24"/>
                <w:u w:val="none"/>
                <w:lang w:val="en-US" w:eastAsia="zh-CN" w:bidi="ar"/>
              </w:rPr>
              <w:t>的</w:t>
            </w:r>
            <w:r>
              <w:rPr>
                <w:rFonts w:hint="default" w:ascii="Times New Roman" w:hAnsi="Times New Roman" w:eastAsia="仿宋_GB2312" w:cs="Times New Roman"/>
                <w:i w:val="0"/>
                <w:iCs w:val="0"/>
                <w:color w:val="auto"/>
                <w:kern w:val="0"/>
                <w:sz w:val="24"/>
                <w:szCs w:val="24"/>
                <w:u w:val="none"/>
                <w:lang w:val="en-US" w:eastAsia="zh-CN" w:bidi="ar"/>
              </w:rPr>
              <w:t>满分，每缺失一项扣除50%，直至扣除比例达到100%。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0" w:hRule="atLeast"/>
        </w:trPr>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过程</w:t>
            </w:r>
          </w:p>
        </w:tc>
        <w:tc>
          <w:tcPr>
            <w:tcW w:w="4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资金管理</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资金到位率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3</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实际到位资金与预算资金的比率，用以反映和考核资金落实情况对项目实施的总体保障程度。</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资金到位率=（实际到位资金/预算资金）×100%。</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实际到位资金：一定时期（本年度或项目期）内落实到具体项目的资金。</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预算资金：一定时期（本年度或项目期）内预算安排到具体项目的资金。</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得分=资金到位率×本指标分值，实际到位资金≥预算资金得满分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预算执行率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eastAsia" w:ascii="Times New Roman" w:hAnsi="Times New Roman" w:cs="Times New Roman"/>
                <w:i w:val="0"/>
                <w:iCs w:val="0"/>
                <w:color w:val="auto"/>
                <w:kern w:val="0"/>
                <w:sz w:val="24"/>
                <w:szCs w:val="24"/>
                <w:highlight w:val="none"/>
                <w:u w:val="none"/>
                <w:lang w:val="en-US" w:eastAsia="zh-CN" w:bidi="ar"/>
              </w:rPr>
              <w:t>3</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项目预算资金是否按照计划执行，用以反映或考核项目预算执行情况，超预算执行不得分，若存在政策调整等因素可采用预算调整数。</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得分=分值×预算执行率</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预算执行率=（实际支出资金/实际到位资金）×100%</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实际支出资金：一定时期（本年度或项目期）内项目实际拨付的资金</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得分=预算执行率×本指标分值，预算执行率&gt;100%不得分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资金使用合规性</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eastAsia" w:ascii="Times New Roman" w:hAnsi="Times New Roman" w:cs="Times New Roman"/>
                <w:i w:val="0"/>
                <w:iCs w:val="0"/>
                <w:color w:val="auto"/>
                <w:kern w:val="0"/>
                <w:sz w:val="24"/>
                <w:szCs w:val="24"/>
                <w:u w:val="none"/>
                <w:lang w:val="en-US" w:eastAsia="zh-CN" w:bidi="ar"/>
              </w:rPr>
              <w:t>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eastAsia" w:ascii="Times New Roman" w:hAnsi="Times New Roman" w:cs="Times New Roman"/>
                <w:i w:val="0"/>
                <w:iCs w:val="0"/>
                <w:color w:val="auto"/>
                <w:kern w:val="0"/>
                <w:sz w:val="24"/>
                <w:szCs w:val="24"/>
                <w:u w:val="none"/>
                <w:lang w:val="en-US" w:eastAsia="zh-CN" w:bidi="ar"/>
              </w:rPr>
              <w:t>4</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项目资金使用是否符合相关的财务管理制度规定，用以反映和考核项目资金的规范运行情况。</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①是否符合国家财经法规和财务管理制度以及有关专项资金管理办法的规定；</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②资金的拨付是否有完整的审批程序和手续；</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③是否符合项目预算批复或合同规定的用途；</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④是否存在截留、挤占、挪用、虚列支出等情况。</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符合以上①—④得满分，否则不得分。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组织实施</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管理制度健全性</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4</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项目实施单位的财务和业务管理制度是否健全，用以反映和考核财务和业务管理制度对项目顺利实施的保障情况。</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①是否已制定或具有相应的财务和业务管理制度；</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②财务和业务管理制度是否合法、合规、完整。</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符合以上①—②</w:t>
            </w:r>
            <w:r>
              <w:rPr>
                <w:rFonts w:hint="eastAsia" w:ascii="Times New Roman" w:hAnsi="Times New Roman" w:cs="Times New Roman"/>
                <w:i w:val="0"/>
                <w:iCs w:val="0"/>
                <w:color w:val="auto"/>
                <w:kern w:val="0"/>
                <w:sz w:val="24"/>
                <w:szCs w:val="24"/>
                <w:u w:val="none"/>
                <w:lang w:val="en-US" w:eastAsia="zh-CN" w:bidi="ar"/>
              </w:rPr>
              <w:t>的</w:t>
            </w:r>
            <w:r>
              <w:rPr>
                <w:rFonts w:hint="default" w:ascii="Times New Roman" w:hAnsi="Times New Roman" w:eastAsia="仿宋_GB2312" w:cs="Times New Roman"/>
                <w:i w:val="0"/>
                <w:iCs w:val="0"/>
                <w:color w:val="auto"/>
                <w:kern w:val="0"/>
                <w:sz w:val="24"/>
                <w:szCs w:val="24"/>
                <w:u w:val="none"/>
                <w:lang w:val="en-US" w:eastAsia="zh-CN" w:bidi="ar"/>
              </w:rPr>
              <w:t>满分，每缺失一项扣除50%，直至扣除比例达到100%。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制度执行有效性</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4</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项目实施是否符合相关管理规定，用以反映和考核相关管理制度的有效执行情况。</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①是否遵守相关法律法规和相关管理规定、项目调整及支出调整手续是否完备（如有调整）；</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②项目合同书、验收报告、技术鉴定等资料是否齐全并及时归档；</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③项目实施的人员条件、场地设备、信息支撑等是否落实到位。</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符合以上①—③</w:t>
            </w:r>
            <w:r>
              <w:rPr>
                <w:rFonts w:hint="eastAsia" w:ascii="Times New Roman" w:hAnsi="Times New Roman" w:cs="Times New Roman"/>
                <w:i w:val="0"/>
                <w:iCs w:val="0"/>
                <w:color w:val="auto"/>
                <w:kern w:val="0"/>
                <w:sz w:val="24"/>
                <w:szCs w:val="24"/>
                <w:u w:val="none"/>
                <w:lang w:val="en-US" w:eastAsia="zh-CN" w:bidi="ar"/>
              </w:rPr>
              <w:t>的</w:t>
            </w:r>
            <w:r>
              <w:rPr>
                <w:rFonts w:hint="default" w:ascii="Times New Roman" w:hAnsi="Times New Roman" w:eastAsia="仿宋_GB2312" w:cs="Times New Roman"/>
                <w:i w:val="0"/>
                <w:iCs w:val="0"/>
                <w:color w:val="auto"/>
                <w:kern w:val="0"/>
                <w:sz w:val="24"/>
                <w:szCs w:val="24"/>
                <w:u w:val="none"/>
                <w:lang w:val="en-US" w:eastAsia="zh-CN" w:bidi="ar"/>
              </w:rPr>
              <w:t>满分，每缺失一项扣除三分之一，直至扣除比例达到100%。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0" w:hRule="atLeast"/>
        </w:trPr>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产出</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产出数量</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实际完成率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5</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5</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项目实施的实际产出数与计划产出数的比率，用以反映和考核项目产出数量目标的实现程度。主要评价</w:t>
            </w:r>
            <w:r>
              <w:rPr>
                <w:rFonts w:hint="eastAsia" w:ascii="Times New Roman" w:hAnsi="Times New Roman" w:cs="Times New Roman"/>
                <w:i w:val="0"/>
                <w:iCs w:val="0"/>
                <w:color w:val="auto"/>
                <w:kern w:val="0"/>
                <w:sz w:val="24"/>
                <w:szCs w:val="24"/>
                <w:u w:val="none"/>
                <w:lang w:val="en-US" w:eastAsia="zh-CN" w:bidi="ar"/>
              </w:rPr>
              <w:t>超标稻谷收购处置费用</w:t>
            </w:r>
            <w:r>
              <w:rPr>
                <w:rFonts w:hint="default" w:ascii="Times New Roman" w:hAnsi="Times New Roman" w:eastAsia="仿宋_GB2312" w:cs="Times New Roman"/>
                <w:i w:val="0"/>
                <w:iCs w:val="0"/>
                <w:color w:val="auto"/>
                <w:kern w:val="0"/>
                <w:sz w:val="24"/>
                <w:szCs w:val="24"/>
                <w:u w:val="none"/>
                <w:lang w:val="en-US" w:eastAsia="zh-CN" w:bidi="ar"/>
              </w:rPr>
              <w:t>任务完成率等数量指标的完成情况。</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实际完成率=（实际产出数/计划产出数）×100%。</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实际产出数：一定时期（本年度或项目期）内项目实际产出的产品或提供的服务数量。</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计划产出数：项目绩效目标确定的在一定时期（本年度或项目期）内计划产出的产品或提供的服务数量。</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得分=实际完成率×本指标分值，实际完成率≥100%得满分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产出质量</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质量达标率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5</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5</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项目完成的质量达标产出数与实际产出数的比率，用以反映和考核项目产出质量目标的实现程度。主要评价</w:t>
            </w:r>
            <w:r>
              <w:rPr>
                <w:rFonts w:hint="eastAsia" w:ascii="Times New Roman" w:hAnsi="Times New Roman" w:cs="Times New Roman"/>
                <w:i w:val="0"/>
                <w:iCs w:val="0"/>
                <w:color w:val="auto"/>
                <w:kern w:val="0"/>
                <w:sz w:val="24"/>
                <w:szCs w:val="24"/>
                <w:u w:val="none"/>
                <w:lang w:val="en-US" w:eastAsia="zh-CN" w:bidi="ar"/>
              </w:rPr>
              <w:t>超标稻谷</w:t>
            </w:r>
            <w:r>
              <w:rPr>
                <w:rFonts w:hint="default" w:ascii="Times New Roman" w:hAnsi="Times New Roman" w:eastAsia="仿宋_GB2312" w:cs="Times New Roman"/>
                <w:i w:val="0"/>
                <w:iCs w:val="0"/>
                <w:color w:val="auto"/>
                <w:kern w:val="0"/>
                <w:sz w:val="24"/>
                <w:szCs w:val="24"/>
                <w:u w:val="none"/>
                <w:lang w:val="en-US" w:eastAsia="zh-CN" w:bidi="ar"/>
              </w:rPr>
              <w:t>合规率等质量指标的完成情况。</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质量达标率=（质量达标产出数/实际产出数）×100%。</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得分=质量达标率×本指标分值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产出时效</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完成及时性</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5</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5</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项目实际完成时间与计划完成时间的比较，用以反映和考核项目产出时效目标的实现程度。主要评价资金拨付及时率等时效指标的完成情况。</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提前完成率=（计划完成时间-实际完成时间）/计划完成时间</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实际完成时间：项目实施单位完成该项目实际所耗用的时间。</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计划完成时间：按照项目实施计划或相关规定完成该项目所需的时间。</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得分=（1+提前完成率×5）×本指标分值；实际完成时间</w:t>
            </w:r>
            <w:r>
              <w:rPr>
                <w:rFonts w:hint="eastAsia" w:ascii="Times New Roman" w:hAnsi="Times New Roman" w:cs="Times New Roman"/>
                <w:i w:val="0"/>
                <w:iCs w:val="0"/>
                <w:color w:val="auto"/>
                <w:kern w:val="0"/>
                <w:sz w:val="24"/>
                <w:szCs w:val="24"/>
                <w:u w:val="none"/>
                <w:lang w:val="en-US" w:eastAsia="zh-CN" w:bidi="ar"/>
              </w:rPr>
              <w:t>〉</w:t>
            </w:r>
            <w:r>
              <w:rPr>
                <w:rFonts w:hint="default" w:ascii="Times New Roman" w:hAnsi="Times New Roman" w:eastAsia="仿宋_GB2312" w:cs="Times New Roman"/>
                <w:i w:val="0"/>
                <w:iCs w:val="0"/>
                <w:color w:val="auto"/>
                <w:kern w:val="0"/>
                <w:sz w:val="24"/>
                <w:szCs w:val="24"/>
                <w:u w:val="none"/>
                <w:lang w:val="en-US" w:eastAsia="zh-CN" w:bidi="ar"/>
              </w:rPr>
              <w:t>计划完成时间时加倍（5倍）扣分，提前完成率≤-20%时不得分；提前完成率≥0时得满分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产出成本</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成本节约率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5</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5</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完成项目计划工作目标的实际节约成本与计划成本的比率，用以反映和考核项目的成本节约程度。</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对项目成本的控制情况。</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eastAsia" w:ascii="Times New Roman" w:hAnsi="Times New Roman" w:cs="Times New Roman"/>
                <w:i w:val="0"/>
                <w:iCs w:val="0"/>
                <w:color w:val="auto"/>
                <w:kern w:val="0"/>
                <w:sz w:val="24"/>
                <w:szCs w:val="24"/>
                <w:u w:val="none"/>
                <w:lang w:val="en-US" w:eastAsia="zh-CN" w:bidi="ar"/>
              </w:rPr>
              <w:t>“超标稻谷费用项目”</w:t>
            </w:r>
            <w:r>
              <w:rPr>
                <w:rFonts w:hint="default" w:ascii="Times New Roman" w:hAnsi="Times New Roman" w:eastAsia="仿宋_GB2312" w:cs="Times New Roman"/>
                <w:i w:val="0"/>
                <w:iCs w:val="0"/>
                <w:color w:val="auto"/>
                <w:kern w:val="0"/>
                <w:sz w:val="24"/>
                <w:szCs w:val="24"/>
                <w:u w:val="none"/>
                <w:lang w:val="en-US" w:eastAsia="zh-CN" w:bidi="ar"/>
              </w:rPr>
              <w:t>支付标准均按照合同、文件规定执行</w:t>
            </w:r>
            <w:r>
              <w:rPr>
                <w:rFonts w:hint="eastAsia" w:ascii="Times New Roman" w:hAnsi="Times New Roman" w:cs="Times New Roman"/>
                <w:i w:val="0"/>
                <w:iCs w:val="0"/>
                <w:color w:val="auto"/>
                <w:kern w:val="0"/>
                <w:sz w:val="24"/>
                <w:szCs w:val="24"/>
                <w:u w:val="none"/>
                <w:lang w:val="en-US" w:eastAsia="zh-CN" w:bidi="ar"/>
              </w:rPr>
              <w:t>的</w:t>
            </w:r>
            <w:r>
              <w:rPr>
                <w:rFonts w:hint="default" w:ascii="Times New Roman" w:hAnsi="Times New Roman" w:eastAsia="仿宋_GB2312" w:cs="Times New Roman"/>
                <w:i w:val="0"/>
                <w:iCs w:val="0"/>
                <w:color w:val="auto"/>
                <w:kern w:val="0"/>
                <w:sz w:val="24"/>
                <w:szCs w:val="24"/>
                <w:u w:val="none"/>
                <w:lang w:val="en-US" w:eastAsia="zh-CN" w:bidi="ar"/>
              </w:rPr>
              <w:t>满分，否则不得分。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效益</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项目效益</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社会效益</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30</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30</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项目实施所产生的效益。主要评价</w:t>
            </w:r>
            <w:r>
              <w:rPr>
                <w:rFonts w:hint="eastAsia" w:ascii="Times New Roman" w:hAnsi="Times New Roman" w:cs="Times New Roman"/>
                <w:i w:val="0"/>
                <w:iCs w:val="0"/>
                <w:color w:val="auto"/>
                <w:kern w:val="0"/>
                <w:sz w:val="24"/>
                <w:szCs w:val="24"/>
                <w:u w:val="none"/>
                <w:lang w:val="en-US" w:eastAsia="zh-CN" w:bidi="ar"/>
              </w:rPr>
              <w:t>口粮市场的安全性提高</w:t>
            </w:r>
            <w:r>
              <w:rPr>
                <w:rFonts w:hint="default" w:ascii="Times New Roman" w:hAnsi="Times New Roman" w:eastAsia="仿宋_GB2312" w:cs="Times New Roman"/>
                <w:i w:val="0"/>
                <w:iCs w:val="0"/>
                <w:color w:val="auto"/>
                <w:kern w:val="0"/>
                <w:sz w:val="24"/>
                <w:szCs w:val="24"/>
                <w:u w:val="none"/>
                <w:lang w:val="en-US" w:eastAsia="zh-CN" w:bidi="ar"/>
              </w:rPr>
              <w:t>、</w:t>
            </w:r>
            <w:r>
              <w:rPr>
                <w:rFonts w:hint="eastAsia" w:ascii="Times New Roman" w:hAnsi="Times New Roman" w:cs="Times New Roman"/>
                <w:i w:val="0"/>
                <w:iCs w:val="0"/>
                <w:color w:val="auto"/>
                <w:kern w:val="0"/>
                <w:sz w:val="24"/>
                <w:szCs w:val="24"/>
                <w:u w:val="none"/>
                <w:lang w:val="en-US" w:eastAsia="zh-CN" w:bidi="ar"/>
              </w:rPr>
              <w:t>超标稻谷收购</w:t>
            </w:r>
            <w:r>
              <w:rPr>
                <w:rFonts w:hint="default" w:ascii="Times New Roman" w:hAnsi="Times New Roman" w:eastAsia="仿宋_GB2312" w:cs="Times New Roman"/>
                <w:i w:val="0"/>
                <w:iCs w:val="0"/>
                <w:color w:val="auto"/>
                <w:kern w:val="0"/>
                <w:sz w:val="24"/>
                <w:szCs w:val="24"/>
                <w:u w:val="none"/>
                <w:lang w:val="en-US" w:eastAsia="zh-CN" w:bidi="ar"/>
              </w:rPr>
              <w:t>事故发生次数等效益指标的完成情况。</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①</w:t>
            </w:r>
            <w:r>
              <w:rPr>
                <w:rFonts w:hint="eastAsia" w:ascii="Times New Roman" w:hAnsi="Times New Roman" w:cs="Times New Roman"/>
                <w:i w:val="0"/>
                <w:iCs w:val="0"/>
                <w:color w:val="auto"/>
                <w:kern w:val="0"/>
                <w:sz w:val="24"/>
                <w:szCs w:val="24"/>
                <w:u w:val="none"/>
                <w:lang w:val="en-US" w:eastAsia="zh-CN" w:bidi="ar"/>
              </w:rPr>
              <w:t>口粮市场安全性</w:t>
            </w:r>
            <w:r>
              <w:rPr>
                <w:rFonts w:hint="default" w:ascii="Times New Roman" w:hAnsi="Times New Roman" w:eastAsia="仿宋_GB2312" w:cs="Times New Roman"/>
                <w:i w:val="0"/>
                <w:iCs w:val="0"/>
                <w:color w:val="auto"/>
                <w:kern w:val="0"/>
                <w:sz w:val="24"/>
                <w:szCs w:val="24"/>
                <w:u w:val="none"/>
                <w:lang w:val="en-US" w:eastAsia="zh-CN" w:bidi="ar"/>
              </w:rPr>
              <w:t>——提高</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②</w:t>
            </w:r>
            <w:r>
              <w:rPr>
                <w:rFonts w:hint="eastAsia" w:ascii="Times New Roman" w:hAnsi="Times New Roman" w:cs="Times New Roman"/>
                <w:i w:val="0"/>
                <w:iCs w:val="0"/>
                <w:color w:val="auto"/>
                <w:kern w:val="0"/>
                <w:sz w:val="24"/>
                <w:szCs w:val="24"/>
                <w:u w:val="none"/>
                <w:lang w:val="en-US" w:eastAsia="zh-CN" w:bidi="ar"/>
              </w:rPr>
              <w:t>超标稻谷收购</w:t>
            </w:r>
            <w:r>
              <w:rPr>
                <w:rFonts w:hint="default" w:ascii="Times New Roman" w:hAnsi="Times New Roman" w:eastAsia="仿宋_GB2312" w:cs="Times New Roman"/>
                <w:i w:val="0"/>
                <w:iCs w:val="0"/>
                <w:color w:val="auto"/>
                <w:kern w:val="0"/>
                <w:sz w:val="24"/>
                <w:szCs w:val="24"/>
                <w:u w:val="none"/>
                <w:lang w:val="en-US" w:eastAsia="zh-CN" w:bidi="ar"/>
              </w:rPr>
              <w:t>事故发生次数=0次</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符合以上①—②得满分，每缺失一项扣除50%，直至扣除比例达到100%。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可持续影响指标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default" w:ascii="Times New Roman" w:hAnsi="Times New Roman" w:eastAsia="仿宋_GB2312" w:cs="Times New Roman"/>
                <w:i w:val="0"/>
                <w:iCs w:val="0"/>
                <w:color w:val="auto"/>
                <w:sz w:val="24"/>
                <w:szCs w:val="24"/>
                <w:u w:val="none"/>
              </w:rPr>
            </w:pPr>
            <w:r>
              <w:rPr>
                <w:rFonts w:hint="eastAsia" w:ascii="Times New Roman" w:hAnsi="Times New Roman" w:cs="Times New Roman"/>
                <w:i w:val="0"/>
                <w:iCs w:val="0"/>
                <w:color w:val="auto"/>
                <w:kern w:val="0"/>
                <w:sz w:val="24"/>
                <w:szCs w:val="24"/>
                <w:u w:val="none"/>
                <w:lang w:val="en-US" w:eastAsia="zh-CN" w:bidi="ar"/>
              </w:rPr>
              <w:t>超标稻谷费用</w:t>
            </w:r>
            <w:r>
              <w:rPr>
                <w:rFonts w:hint="default" w:ascii="Times New Roman" w:hAnsi="Times New Roman" w:eastAsia="仿宋_GB2312" w:cs="Times New Roman"/>
                <w:i w:val="0"/>
                <w:iCs w:val="0"/>
                <w:color w:val="auto"/>
                <w:kern w:val="0"/>
                <w:sz w:val="24"/>
                <w:szCs w:val="24"/>
                <w:u w:val="none"/>
                <w:lang w:val="en-US" w:eastAsia="zh-CN" w:bidi="ar"/>
              </w:rPr>
              <w:t>管理机制健全性</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10</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10</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项目实施单位的</w:t>
            </w:r>
            <w:r>
              <w:rPr>
                <w:rFonts w:hint="eastAsia" w:ascii="Times New Roman" w:hAnsi="Times New Roman" w:cs="Times New Roman"/>
                <w:i w:val="0"/>
                <w:iCs w:val="0"/>
                <w:color w:val="auto"/>
                <w:kern w:val="0"/>
                <w:sz w:val="24"/>
                <w:szCs w:val="24"/>
                <w:u w:val="none"/>
                <w:lang w:val="en-US" w:eastAsia="zh-CN" w:bidi="ar"/>
              </w:rPr>
              <w:t>超标稻谷</w:t>
            </w:r>
            <w:r>
              <w:rPr>
                <w:rFonts w:hint="default" w:ascii="Times New Roman" w:hAnsi="Times New Roman" w:eastAsia="仿宋_GB2312" w:cs="Times New Roman"/>
                <w:i w:val="0"/>
                <w:iCs w:val="0"/>
                <w:color w:val="auto"/>
                <w:kern w:val="0"/>
                <w:sz w:val="24"/>
                <w:szCs w:val="24"/>
                <w:u w:val="none"/>
                <w:lang w:val="en-US" w:eastAsia="zh-CN" w:bidi="ar"/>
              </w:rPr>
              <w:t>管理机制是否健全，用以反映和考核</w:t>
            </w:r>
            <w:r>
              <w:rPr>
                <w:rFonts w:hint="eastAsia" w:ascii="Times New Roman" w:hAnsi="Times New Roman" w:cs="Times New Roman"/>
                <w:i w:val="0"/>
                <w:iCs w:val="0"/>
                <w:color w:val="auto"/>
                <w:kern w:val="0"/>
                <w:sz w:val="24"/>
                <w:szCs w:val="24"/>
                <w:u w:val="none"/>
                <w:lang w:val="en-US" w:eastAsia="zh-CN" w:bidi="ar"/>
              </w:rPr>
              <w:t>超标稻谷</w:t>
            </w:r>
            <w:r>
              <w:rPr>
                <w:rFonts w:hint="default" w:ascii="Times New Roman" w:hAnsi="Times New Roman" w:eastAsia="仿宋_GB2312" w:cs="Times New Roman"/>
                <w:i w:val="0"/>
                <w:iCs w:val="0"/>
                <w:color w:val="auto"/>
                <w:kern w:val="0"/>
                <w:sz w:val="24"/>
                <w:szCs w:val="24"/>
                <w:u w:val="none"/>
                <w:lang w:val="en-US" w:eastAsia="zh-CN" w:bidi="ar"/>
              </w:rPr>
              <w:t>管理机制对项目顺利实施的保障情况。</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①是否已制定或具有相应的</w:t>
            </w:r>
            <w:r>
              <w:rPr>
                <w:rFonts w:hint="eastAsia" w:ascii="Times New Roman" w:hAnsi="Times New Roman" w:cs="Times New Roman"/>
                <w:i w:val="0"/>
                <w:iCs w:val="0"/>
                <w:color w:val="auto"/>
                <w:kern w:val="0"/>
                <w:sz w:val="24"/>
                <w:szCs w:val="24"/>
                <w:u w:val="none"/>
                <w:lang w:val="en-US" w:eastAsia="zh-CN" w:bidi="ar"/>
              </w:rPr>
              <w:t>超标稻谷收购、存储和处置</w:t>
            </w:r>
            <w:r>
              <w:rPr>
                <w:rFonts w:hint="default" w:ascii="Times New Roman" w:hAnsi="Times New Roman" w:eastAsia="仿宋_GB2312" w:cs="Times New Roman"/>
                <w:i w:val="0"/>
                <w:iCs w:val="0"/>
                <w:color w:val="auto"/>
                <w:kern w:val="0"/>
                <w:sz w:val="24"/>
                <w:szCs w:val="24"/>
                <w:u w:val="none"/>
                <w:lang w:val="en-US" w:eastAsia="zh-CN" w:bidi="ar"/>
              </w:rPr>
              <w:t>管理机制健全性；</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②</w:t>
            </w:r>
            <w:r>
              <w:rPr>
                <w:rFonts w:hint="eastAsia" w:ascii="Times New Roman" w:hAnsi="Times New Roman" w:cs="Times New Roman"/>
                <w:i w:val="0"/>
                <w:iCs w:val="0"/>
                <w:color w:val="auto"/>
                <w:kern w:val="0"/>
                <w:sz w:val="24"/>
                <w:szCs w:val="24"/>
                <w:u w:val="none"/>
                <w:lang w:val="en-US" w:eastAsia="zh-CN" w:bidi="ar"/>
              </w:rPr>
              <w:t>超标稻谷收购、存储和处置</w:t>
            </w:r>
            <w:r>
              <w:rPr>
                <w:rFonts w:hint="default" w:ascii="Times New Roman" w:hAnsi="Times New Roman" w:eastAsia="仿宋_GB2312" w:cs="Times New Roman"/>
                <w:i w:val="0"/>
                <w:iCs w:val="0"/>
                <w:color w:val="auto"/>
                <w:kern w:val="0"/>
                <w:sz w:val="24"/>
                <w:szCs w:val="24"/>
                <w:u w:val="none"/>
                <w:lang w:val="en-US" w:eastAsia="zh-CN" w:bidi="ar"/>
              </w:rPr>
              <w:t>管理机制健全性是否合法、合规。</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符合以上①—②</w:t>
            </w:r>
            <w:r>
              <w:rPr>
                <w:rFonts w:hint="eastAsia" w:ascii="Times New Roman" w:hAnsi="Times New Roman" w:cs="Times New Roman"/>
                <w:i w:val="0"/>
                <w:iCs w:val="0"/>
                <w:color w:val="auto"/>
                <w:kern w:val="0"/>
                <w:sz w:val="24"/>
                <w:szCs w:val="24"/>
                <w:u w:val="none"/>
                <w:lang w:val="en-US" w:eastAsia="zh-CN" w:bidi="ar"/>
              </w:rPr>
              <w:t>的</w:t>
            </w:r>
            <w:r>
              <w:rPr>
                <w:rFonts w:hint="default" w:ascii="Times New Roman" w:hAnsi="Times New Roman" w:eastAsia="仿宋_GB2312" w:cs="Times New Roman"/>
                <w:i w:val="0"/>
                <w:iCs w:val="0"/>
                <w:color w:val="auto"/>
                <w:kern w:val="0"/>
                <w:sz w:val="24"/>
                <w:szCs w:val="24"/>
                <w:u w:val="none"/>
                <w:lang w:val="en-US" w:eastAsia="zh-CN" w:bidi="ar"/>
              </w:rPr>
              <w:t>满分，每缺失一项扣除50%，直至扣除比例达到100%。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u w:val="none"/>
              </w:rPr>
            </w:pP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满意度</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群众满意度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10</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lang w:val="en-US"/>
              </w:rPr>
            </w:pPr>
            <w:r>
              <w:rPr>
                <w:rFonts w:hint="eastAsia" w:ascii="Times New Roman" w:hAnsi="Times New Roman" w:cs="Times New Roman"/>
                <w:i w:val="0"/>
                <w:iCs w:val="0"/>
                <w:color w:val="auto"/>
                <w:kern w:val="0"/>
                <w:sz w:val="24"/>
                <w:szCs w:val="24"/>
                <w:u w:val="none"/>
                <w:lang w:val="en-US" w:eastAsia="zh-CN" w:bidi="ar"/>
              </w:rPr>
              <w:t>7.27</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受益对象对项目实施效果的满意程度。</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评价要点：</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社会公众或服务对象是指因该项目实施而受到影响的部门（单位）、群体或个人。</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一般采取</w:t>
            </w:r>
            <w:r>
              <w:rPr>
                <w:rFonts w:hint="eastAsia" w:ascii="Times New Roman" w:hAnsi="Times New Roman" w:cs="Times New Roman"/>
                <w:i w:val="0"/>
                <w:iCs w:val="0"/>
                <w:color w:val="auto"/>
                <w:kern w:val="0"/>
                <w:sz w:val="24"/>
                <w:szCs w:val="24"/>
                <w:u w:val="none"/>
                <w:lang w:val="en-US" w:eastAsia="zh-CN" w:bidi="ar"/>
              </w:rPr>
              <w:t>问卷调查</w:t>
            </w:r>
            <w:r>
              <w:rPr>
                <w:rFonts w:hint="default" w:ascii="Times New Roman" w:hAnsi="Times New Roman" w:eastAsia="仿宋_GB2312" w:cs="Times New Roman"/>
                <w:i w:val="0"/>
                <w:iCs w:val="0"/>
                <w:color w:val="auto"/>
                <w:kern w:val="0"/>
                <w:sz w:val="24"/>
                <w:szCs w:val="24"/>
                <w:u w:val="none"/>
                <w:lang w:val="en-US" w:eastAsia="zh-CN" w:bidi="ar"/>
              </w:rPr>
              <w:t>的方式。</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评分规则：</w:t>
            </w:r>
            <w:r>
              <w:rPr>
                <w:rFonts w:hint="default" w:ascii="Times New Roman" w:hAnsi="Times New Roman" w:eastAsia="仿宋_GB2312" w:cs="Times New Roman"/>
                <w:i w:val="0"/>
                <w:iCs w:val="0"/>
                <w:color w:val="auto"/>
                <w:kern w:val="0"/>
                <w:sz w:val="24"/>
                <w:szCs w:val="24"/>
                <w:u w:val="none"/>
                <w:lang w:val="en-US" w:eastAsia="zh-CN" w:bidi="ar"/>
              </w:rPr>
              <w:br w:type="textWrapping"/>
            </w:r>
            <w:r>
              <w:rPr>
                <w:rFonts w:hint="default" w:ascii="Times New Roman" w:hAnsi="Times New Roman" w:eastAsia="仿宋_GB2312" w:cs="Times New Roman"/>
                <w:i w:val="0"/>
                <w:iCs w:val="0"/>
                <w:color w:val="auto"/>
                <w:kern w:val="0"/>
                <w:sz w:val="24"/>
                <w:szCs w:val="24"/>
                <w:u w:val="none"/>
                <w:lang w:val="en-US" w:eastAsia="zh-CN" w:bidi="ar"/>
              </w:rPr>
              <w:t>得分=受益对象实际满意度×本指标分值。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39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得分</w:t>
            </w:r>
          </w:p>
        </w:tc>
        <w:tc>
          <w:tcPr>
            <w:tcW w:w="360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u w:val="none"/>
                <w:lang w:val="en-US"/>
              </w:rPr>
            </w:pPr>
            <w:r>
              <w:rPr>
                <w:rFonts w:hint="default" w:ascii="Times New Roman" w:hAnsi="Times New Roman" w:eastAsia="仿宋_GB2312" w:cs="Times New Roman"/>
                <w:i w:val="0"/>
                <w:iCs w:val="0"/>
                <w:color w:val="auto"/>
                <w:kern w:val="0"/>
                <w:sz w:val="24"/>
                <w:szCs w:val="24"/>
                <w:u w:val="none"/>
                <w:lang w:val="en-US" w:eastAsia="zh-CN" w:bidi="ar"/>
              </w:rPr>
              <w:t>9</w:t>
            </w:r>
            <w:r>
              <w:rPr>
                <w:rFonts w:hint="eastAsia" w:ascii="Times New Roman" w:hAnsi="Times New Roman" w:cs="Times New Roman"/>
                <w:i w:val="0"/>
                <w:iCs w:val="0"/>
                <w:color w:val="auto"/>
                <w:kern w:val="0"/>
                <w:sz w:val="24"/>
                <w:szCs w:val="24"/>
                <w:u w:val="none"/>
                <w:lang w:val="en-US" w:eastAsia="zh-CN" w:bidi="ar"/>
              </w:rPr>
              <w:t>6.1</w:t>
            </w:r>
            <w:r>
              <w:rPr>
                <w:rFonts w:hint="default" w:ascii="Times New Roman" w:hAnsi="Times New Roman" w:eastAsia="仿宋_GB2312" w:cs="Times New Roman"/>
                <w:i w:val="0"/>
                <w:iCs w:val="0"/>
                <w:color w:val="auto"/>
                <w:kern w:val="0"/>
                <w:sz w:val="24"/>
                <w:szCs w:val="24"/>
                <w:u w:val="none"/>
                <w:lang w:val="en-US" w:eastAsia="zh-CN" w:bidi="ar"/>
              </w:rPr>
              <w:t>分</w:t>
            </w:r>
          </w:p>
        </w:tc>
      </w:tr>
    </w:tbl>
    <w:p>
      <w:pPr>
        <w:ind w:left="0" w:leftChars="0" w:firstLine="0" w:firstLineChars="0"/>
        <w:rPr>
          <w:rFonts w:hint="default" w:ascii="Times New Roman" w:hAnsi="Times New Roman" w:cs="Times New Roman"/>
          <w:color w:val="auto"/>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textAlignment w:val="auto"/>
        <w:rPr>
          <w:rFonts w:hint="default" w:ascii="Times New Roman" w:hAnsi="Times New Roman" w:cs="Times New Roman"/>
          <w:color w:val="auto"/>
          <w:szCs w:val="32"/>
          <w:highlight w:val="none"/>
          <w:u w:val="none"/>
          <w:lang w:val="en-US" w:eastAsia="zh-CN"/>
        </w:rPr>
        <w:sectPr>
          <w:footerReference r:id="rId11" w:type="default"/>
          <w:pgSz w:w="11906" w:h="16838"/>
          <w:pgMar w:top="2098" w:right="1474" w:bottom="1928" w:left="1587"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2"/>
        <w:keepNext/>
        <w:keepLines/>
        <w:ind w:firstLine="0" w:firstLineChars="0"/>
        <w:rPr>
          <w:rFonts w:hint="default" w:ascii="Times New Roman" w:hAnsi="Times New Roman" w:eastAsia="黑体" w:cs="Times New Roman"/>
          <w:b w:val="0"/>
          <w:bCs/>
          <w:color w:val="auto"/>
          <w:kern w:val="44"/>
          <w:sz w:val="32"/>
          <w:szCs w:val="20"/>
          <w:highlight w:val="none"/>
          <w:lang w:val="en-US" w:eastAsia="zh-Hans" w:bidi="ar-SA"/>
        </w:rPr>
      </w:pPr>
      <w:bookmarkStart w:id="22" w:name="_Toc12119"/>
      <w:r>
        <w:rPr>
          <w:rFonts w:hint="default" w:ascii="Times New Roman" w:hAnsi="Times New Roman" w:eastAsia="黑体" w:cs="Times New Roman"/>
          <w:b w:val="0"/>
          <w:bCs/>
          <w:color w:val="auto"/>
          <w:kern w:val="44"/>
          <w:sz w:val="32"/>
          <w:szCs w:val="20"/>
          <w:highlight w:val="none"/>
          <w:lang w:val="en-US" w:eastAsia="zh-Hans" w:bidi="ar-SA"/>
        </w:rPr>
        <w:t>附件2社会调查方案</w:t>
      </w:r>
      <w:bookmarkEnd w:id="22"/>
    </w:p>
    <w:p>
      <w:pPr>
        <w:pStyle w:val="6"/>
        <w:spacing w:line="580" w:lineRule="exact"/>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2022年</w:t>
      </w:r>
      <w:r>
        <w:rPr>
          <w:rFonts w:hint="eastAsia" w:ascii="Times New Roman" w:hAnsi="Times New Roman" w:cs="Times New Roman"/>
          <w:sz w:val="32"/>
          <w:szCs w:val="32"/>
          <w:lang w:val="en-US" w:eastAsia="zh-CN"/>
        </w:rPr>
        <w:t>“</w:t>
      </w:r>
      <w:r>
        <w:rPr>
          <w:rFonts w:hint="default" w:ascii="Times New Roman" w:hAnsi="Times New Roman" w:eastAsia="仿宋_GB2312" w:cs="Times New Roman"/>
          <w:sz w:val="32"/>
          <w:szCs w:val="32"/>
          <w:lang w:val="en-US" w:eastAsia="zh-CN"/>
        </w:rPr>
        <w:t>超标稻谷费用项目</w:t>
      </w:r>
      <w:r>
        <w:rPr>
          <w:rFonts w:hint="eastAsia" w:ascii="Times New Roman" w:hAnsi="Times New Roman" w:cs="Times New Roman"/>
          <w:sz w:val="32"/>
          <w:szCs w:val="32"/>
          <w:lang w:val="en-US" w:eastAsia="zh-CN"/>
        </w:rPr>
        <w:t>”</w:t>
      </w:r>
      <w:r>
        <w:rPr>
          <w:rFonts w:hint="default" w:ascii="Times New Roman" w:hAnsi="Times New Roman" w:eastAsia="仿宋_GB2312" w:cs="Times New Roman"/>
          <w:sz w:val="32"/>
          <w:szCs w:val="32"/>
          <w:lang w:val="en-US" w:eastAsia="zh-CN"/>
        </w:rPr>
        <w:t>满意度调查</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为了进一步了解罗江区发展改革实施及满意度情况，掌握2022年</w:t>
      </w:r>
      <w:r>
        <w:rPr>
          <w:rFonts w:hint="eastAsia" w:ascii="Times New Roman" w:hAnsi="Times New Roman" w:cs="Times New Roman"/>
          <w:sz w:val="32"/>
          <w:szCs w:val="32"/>
          <w:lang w:val="en-US" w:eastAsia="zh-CN"/>
        </w:rPr>
        <w:t>“</w:t>
      </w:r>
      <w:r>
        <w:rPr>
          <w:rFonts w:hint="default" w:ascii="Times New Roman" w:hAnsi="Times New Roman" w:eastAsia="仿宋_GB2312" w:cs="Times New Roman"/>
          <w:sz w:val="32"/>
          <w:szCs w:val="32"/>
          <w:lang w:val="en-US" w:eastAsia="zh-CN"/>
        </w:rPr>
        <w:t>超标稻谷费用项目</w:t>
      </w:r>
      <w:r>
        <w:rPr>
          <w:rFonts w:hint="eastAsia" w:ascii="Times New Roman" w:hAnsi="Times New Roman" w:cs="Times New Roman"/>
          <w:sz w:val="32"/>
          <w:szCs w:val="32"/>
          <w:lang w:val="en-US" w:eastAsia="zh-CN"/>
        </w:rPr>
        <w:t>”</w:t>
      </w:r>
      <w:r>
        <w:rPr>
          <w:rFonts w:hint="default" w:ascii="Times New Roman" w:hAnsi="Times New Roman" w:eastAsia="仿宋_GB2312" w:cs="Times New Roman"/>
          <w:sz w:val="32"/>
          <w:szCs w:val="32"/>
          <w:lang w:val="en-US" w:eastAsia="zh-CN"/>
        </w:rPr>
        <w:t>后续绩效情况，促进主管部门管理能效的提升。受德阳市罗江区财政局的委托，我司特开展本次调查问卷工作，诚挚邀请您就问卷发表宝贵意见，我们将会对您填写的信息保密。感谢您的配合与支持！</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1.您是否在罗江区种植水稻？</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2"/>
          <w:sz w:val="32"/>
          <w:szCs w:val="32"/>
        </w:rPr>
      </w:pP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有</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18</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94.7</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没有</w:t>
      </w:r>
      <w:r>
        <w:rPr>
          <w:rFonts w:hint="default" w:ascii="Times New Roman" w:hAnsi="Times New Roman" w:eastAsia="仿宋_GB2312" w:cs="Times New Roman"/>
          <w:color w:val="191919"/>
          <w:spacing w:val="2"/>
          <w:sz w:val="32"/>
          <w:szCs w:val="32"/>
        </w:rPr>
        <w:t>（</w:t>
      </w:r>
      <w:r>
        <w:rPr>
          <w:rFonts w:hint="default" w:ascii="Times New Roman" w:hAnsi="Times New Roman" w:eastAsia="仿宋_GB2312" w:cs="Times New Roman"/>
          <w:color w:val="191919"/>
          <w:spacing w:val="2"/>
          <w:sz w:val="32"/>
          <w:szCs w:val="32"/>
          <w:lang w:val="en-US" w:eastAsia="zh-CN"/>
        </w:rPr>
        <w:t>1</w:t>
      </w:r>
      <w:r>
        <w:rPr>
          <w:rFonts w:hint="default" w:ascii="Times New Roman" w:hAnsi="Times New Roman" w:eastAsia="仿宋_GB2312" w:cs="Times New Roman"/>
          <w:color w:val="191919"/>
          <w:spacing w:val="2"/>
          <w:sz w:val="32"/>
          <w:szCs w:val="32"/>
        </w:rPr>
        <w:t>/</w:t>
      </w:r>
      <w:r>
        <w:rPr>
          <w:rFonts w:hint="default" w:ascii="Times New Roman" w:hAnsi="Times New Roman" w:eastAsia="仿宋_GB2312" w:cs="Times New Roman"/>
          <w:color w:val="191919"/>
          <w:spacing w:val="2"/>
          <w:sz w:val="32"/>
          <w:szCs w:val="32"/>
          <w:lang w:val="en-US" w:eastAsia="zh-CN"/>
        </w:rPr>
        <w:t>5.3</w:t>
      </w:r>
      <w:r>
        <w:rPr>
          <w:rFonts w:hint="default" w:ascii="Times New Roman" w:hAnsi="Times New Roman" w:eastAsia="仿宋_GB2312" w:cs="Times New Roman"/>
          <w:color w:val="191919"/>
          <w:spacing w:val="2"/>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2"/>
          <w:sz w:val="32"/>
          <w:szCs w:val="32"/>
          <w:lang w:val="en-US" w:eastAsia="zh-CN"/>
        </w:rPr>
      </w:pPr>
      <w:r>
        <w:rPr>
          <w:rFonts w:hint="default" w:ascii="Times New Roman" w:hAnsi="Times New Roman" w:eastAsia="仿宋_GB2312" w:cs="Times New Roman"/>
          <w:color w:val="191919"/>
          <w:spacing w:val="2"/>
          <w:sz w:val="32"/>
          <w:szCs w:val="32"/>
          <w:lang w:val="en-US" w:eastAsia="zh-CN"/>
        </w:rPr>
        <w:t>2.您对超标稻谷收购政策的了解程度如何？</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2"/>
          <w:sz w:val="32"/>
          <w:szCs w:val="32"/>
          <w:lang w:val="en-US" w:eastAsia="zh-CN"/>
        </w:rPr>
        <w:t>非常了解（8/44.4%）</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一般了解（7/38.9%</w:t>
      </w:r>
      <w:r>
        <w:rPr>
          <w:rFonts w:hint="default" w:ascii="Times New Roman" w:hAnsi="Times New Roman" w:cs="Times New Roman"/>
          <w:color w:val="191919"/>
          <w:spacing w:val="-7"/>
          <w:sz w:val="32"/>
          <w:szCs w:val="32"/>
          <w:lang w:val="en-US" w:eastAsia="zh-CN"/>
        </w:rPr>
        <w:t>）</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不了解（3/16.7%）</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lang w:val="en-US" w:eastAsia="zh-CN"/>
        </w:rPr>
        <w:t>3.您种植的水稻是否用于售卖</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是（17/94.4%</w:t>
      </w:r>
      <w:r>
        <w:rPr>
          <w:rFonts w:hint="default" w:ascii="Times New Roman" w:hAnsi="Times New Roman" w:cs="Times New Roman"/>
          <w:color w:val="191919"/>
          <w:spacing w:val="-7"/>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不是（1/5.6%）</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lang w:val="en-US" w:eastAsia="zh-CN"/>
        </w:rPr>
        <w:t>4.您售卖的稻谷是否有检测确认为超标稻谷？</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有（9/52.9%）</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没有（8/47.1%</w:t>
      </w:r>
      <w:r>
        <w:rPr>
          <w:rFonts w:hint="default" w:ascii="Times New Roman" w:hAnsi="Times New Roman" w:cs="Times New Roman"/>
          <w:color w:val="191919"/>
          <w:spacing w:val="-7"/>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lang w:val="en-US" w:eastAsia="zh-CN"/>
        </w:rPr>
        <w:t>5.检测出的超标稻谷处置方式？</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全部售卖给超标稻谷收购站点（9/100%）</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部分售卖给超标稻谷收购站点（0/0）</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未售卖给超标稻谷收购站点（0/0）</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lang w:val="en-US" w:eastAsia="zh-CN"/>
        </w:rPr>
        <w:t>6.您全部售卖给超标稻谷收购站点后，对罗江区超标稻谷收购政策的满意度如何？平均数72.7</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lang w:val="en-US" w:eastAsia="zh-CN"/>
        </w:rPr>
        <w:t>7.您部分售卖给超标稻谷收购站点后，对罗江区超标稻谷收购政策的满意度如何？平均数0</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lang w:val="en-US" w:eastAsia="zh-CN"/>
        </w:rPr>
        <w:t>8.未出售的超标稻谷如何处置？</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自用（0/0）</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其他渠道出售（0/0）</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lang w:val="en-US" w:eastAsia="zh-CN"/>
        </w:rPr>
        <w:t>9.未出售的超标稻谷您是以何种方式自用的？</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食用（0/0）</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饲用（0/0）</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其他方式（0/0）</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lang w:val="en-US" w:eastAsia="zh-CN"/>
        </w:rPr>
        <w:t>10.您认为超标稻谷收购政策对稻谷种植户的利益保障度如何？</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很大保障（15/83.3%）</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保障程度一般（1/5.6%）</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保障微小（0/0）</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没有保障（1/5.6%）</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不清楚（1/5.6%）</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lang w:val="en-US" w:eastAsia="zh-CN"/>
        </w:rPr>
        <w:t>11.您认为超标稻谷收购政策是否减轻售卖稻谷负担？</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很大程度减轻（14/77.8%）</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效果一般（2/11.1%）</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没有减轻（1/5.6%）</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不清楚（1/5.6%）</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lang w:val="en-US" w:eastAsia="zh-CN"/>
        </w:rPr>
        <w:t>12.据你所知，2022年是否存在超标稻谷流入口粮市场的情况？</w:t>
      </w:r>
    </w:p>
    <w:p>
      <w:pPr>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color w:val="191919"/>
          <w:spacing w:val="-7"/>
          <w:sz w:val="32"/>
          <w:szCs w:val="32"/>
          <w:lang w:val="en-US" w:eastAsia="zh-CN"/>
        </w:rPr>
      </w:pP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有（4/21.1%）</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没有（11/57.9%）</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不清楚（4/21.1%）</w:t>
      </w:r>
    </w:p>
    <w:p>
      <w:pPr>
        <w:pStyle w:val="6"/>
        <w:rPr>
          <w:rFonts w:hint="default"/>
          <w:lang w:val="en-US" w:eastAsia="zh-Hans"/>
        </w:rPr>
      </w:pPr>
    </w:p>
    <w:sectPr>
      <w:footerReference r:id="rId12" w:type="default"/>
      <w:pgSz w:w="11906" w:h="16838"/>
      <w:pgMar w:top="2098" w:right="1474" w:bottom="1928" w:left="158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218"/>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JmMmQ1ZjgyYmQ5OTFiOTg2YTVkYTYwYmRmMDYzYmUifQ=="/>
  </w:docVars>
  <w:rsids>
    <w:rsidRoot w:val="38A0441F"/>
    <w:rsid w:val="001939C0"/>
    <w:rsid w:val="001F04ED"/>
    <w:rsid w:val="003F6C4D"/>
    <w:rsid w:val="00446E0A"/>
    <w:rsid w:val="005459FB"/>
    <w:rsid w:val="00A364B9"/>
    <w:rsid w:val="00FA0165"/>
    <w:rsid w:val="00FC140F"/>
    <w:rsid w:val="014D5684"/>
    <w:rsid w:val="01625E0F"/>
    <w:rsid w:val="01710365"/>
    <w:rsid w:val="02201D8C"/>
    <w:rsid w:val="02510A14"/>
    <w:rsid w:val="031704DF"/>
    <w:rsid w:val="04553F6E"/>
    <w:rsid w:val="047E421A"/>
    <w:rsid w:val="04BA1E24"/>
    <w:rsid w:val="04C91FEE"/>
    <w:rsid w:val="0529446F"/>
    <w:rsid w:val="05F43BF1"/>
    <w:rsid w:val="069A3EBB"/>
    <w:rsid w:val="06DD0B27"/>
    <w:rsid w:val="06F832D7"/>
    <w:rsid w:val="07612C2A"/>
    <w:rsid w:val="077C7A64"/>
    <w:rsid w:val="07FE44A9"/>
    <w:rsid w:val="08AF1369"/>
    <w:rsid w:val="090A1B1B"/>
    <w:rsid w:val="09811471"/>
    <w:rsid w:val="0A087969"/>
    <w:rsid w:val="0A222F95"/>
    <w:rsid w:val="0A3C5BE5"/>
    <w:rsid w:val="0A850492"/>
    <w:rsid w:val="0B702F0A"/>
    <w:rsid w:val="0B87749D"/>
    <w:rsid w:val="0BB155F6"/>
    <w:rsid w:val="0BFF67B7"/>
    <w:rsid w:val="0C2043B1"/>
    <w:rsid w:val="0C2476D1"/>
    <w:rsid w:val="0C4819DE"/>
    <w:rsid w:val="0C51413B"/>
    <w:rsid w:val="0CD51554"/>
    <w:rsid w:val="0D474A66"/>
    <w:rsid w:val="0E6B5316"/>
    <w:rsid w:val="0EF04975"/>
    <w:rsid w:val="0F2E02F6"/>
    <w:rsid w:val="0F41020A"/>
    <w:rsid w:val="0FBF059F"/>
    <w:rsid w:val="0FDE609B"/>
    <w:rsid w:val="102304C1"/>
    <w:rsid w:val="102D1075"/>
    <w:rsid w:val="10FD2928"/>
    <w:rsid w:val="118D088B"/>
    <w:rsid w:val="12107727"/>
    <w:rsid w:val="12B72988"/>
    <w:rsid w:val="140E7208"/>
    <w:rsid w:val="142A108C"/>
    <w:rsid w:val="143D5AD8"/>
    <w:rsid w:val="146354B5"/>
    <w:rsid w:val="14731B70"/>
    <w:rsid w:val="14946808"/>
    <w:rsid w:val="14A10B0A"/>
    <w:rsid w:val="14E204F4"/>
    <w:rsid w:val="14FC3F92"/>
    <w:rsid w:val="154324D6"/>
    <w:rsid w:val="16666E63"/>
    <w:rsid w:val="167151B6"/>
    <w:rsid w:val="17A82FBC"/>
    <w:rsid w:val="17D3421A"/>
    <w:rsid w:val="18006D71"/>
    <w:rsid w:val="182B350C"/>
    <w:rsid w:val="18E23532"/>
    <w:rsid w:val="19453258"/>
    <w:rsid w:val="19B02A20"/>
    <w:rsid w:val="19CF7199"/>
    <w:rsid w:val="19F724F7"/>
    <w:rsid w:val="1A2E5C3F"/>
    <w:rsid w:val="1A501B8B"/>
    <w:rsid w:val="1B3D55CD"/>
    <w:rsid w:val="1B6B24CD"/>
    <w:rsid w:val="1B80223C"/>
    <w:rsid w:val="1BAF48D6"/>
    <w:rsid w:val="1C3D73FF"/>
    <w:rsid w:val="1C9A0C60"/>
    <w:rsid w:val="1CEE5C4F"/>
    <w:rsid w:val="1DA26929"/>
    <w:rsid w:val="1DDB32DF"/>
    <w:rsid w:val="1E3A16D2"/>
    <w:rsid w:val="1EEA0D21"/>
    <w:rsid w:val="1F015852"/>
    <w:rsid w:val="1F244C93"/>
    <w:rsid w:val="1F3970A2"/>
    <w:rsid w:val="1F9A7B57"/>
    <w:rsid w:val="1FE4757E"/>
    <w:rsid w:val="1FEA4216"/>
    <w:rsid w:val="203564E4"/>
    <w:rsid w:val="222F717C"/>
    <w:rsid w:val="229517D2"/>
    <w:rsid w:val="238251FC"/>
    <w:rsid w:val="249B7324"/>
    <w:rsid w:val="25350F41"/>
    <w:rsid w:val="25A54BD0"/>
    <w:rsid w:val="265003B9"/>
    <w:rsid w:val="26560955"/>
    <w:rsid w:val="26E31314"/>
    <w:rsid w:val="27565005"/>
    <w:rsid w:val="279D3B7E"/>
    <w:rsid w:val="27D35027"/>
    <w:rsid w:val="29007DEF"/>
    <w:rsid w:val="296744B5"/>
    <w:rsid w:val="2AA563F7"/>
    <w:rsid w:val="2B405627"/>
    <w:rsid w:val="2B420611"/>
    <w:rsid w:val="2B764647"/>
    <w:rsid w:val="2BB130FB"/>
    <w:rsid w:val="2C666469"/>
    <w:rsid w:val="2CE2485A"/>
    <w:rsid w:val="2D817219"/>
    <w:rsid w:val="2DAA6F64"/>
    <w:rsid w:val="2DE84EC2"/>
    <w:rsid w:val="2E2B6A57"/>
    <w:rsid w:val="2E8250B1"/>
    <w:rsid w:val="2F226C41"/>
    <w:rsid w:val="2FBBF6D5"/>
    <w:rsid w:val="2FDE51CA"/>
    <w:rsid w:val="309A577E"/>
    <w:rsid w:val="30DF67EA"/>
    <w:rsid w:val="30FC3D2A"/>
    <w:rsid w:val="311A5A74"/>
    <w:rsid w:val="313034EA"/>
    <w:rsid w:val="325F7A7B"/>
    <w:rsid w:val="329207D5"/>
    <w:rsid w:val="32CC0FF0"/>
    <w:rsid w:val="3334631B"/>
    <w:rsid w:val="33781580"/>
    <w:rsid w:val="339A4C4A"/>
    <w:rsid w:val="33A2110B"/>
    <w:rsid w:val="34AB2476"/>
    <w:rsid w:val="35091607"/>
    <w:rsid w:val="35755943"/>
    <w:rsid w:val="359F0C3E"/>
    <w:rsid w:val="37E34B15"/>
    <w:rsid w:val="38A0441F"/>
    <w:rsid w:val="38AF73EA"/>
    <w:rsid w:val="3A3E4582"/>
    <w:rsid w:val="3B3D3053"/>
    <w:rsid w:val="3B5D46E8"/>
    <w:rsid w:val="3B6010CB"/>
    <w:rsid w:val="3B7738BE"/>
    <w:rsid w:val="3B8F4D48"/>
    <w:rsid w:val="3C432C9D"/>
    <w:rsid w:val="3C51112B"/>
    <w:rsid w:val="3E3B4098"/>
    <w:rsid w:val="3EA87834"/>
    <w:rsid w:val="3EC84D62"/>
    <w:rsid w:val="3F0703B3"/>
    <w:rsid w:val="3FC6F9D1"/>
    <w:rsid w:val="3FDA4D4C"/>
    <w:rsid w:val="3FF3036A"/>
    <w:rsid w:val="4003781B"/>
    <w:rsid w:val="40301489"/>
    <w:rsid w:val="41387699"/>
    <w:rsid w:val="416E703D"/>
    <w:rsid w:val="419C217F"/>
    <w:rsid w:val="41D3257E"/>
    <w:rsid w:val="425C35D3"/>
    <w:rsid w:val="4263590C"/>
    <w:rsid w:val="42BD16CA"/>
    <w:rsid w:val="42DF5E21"/>
    <w:rsid w:val="42EB600A"/>
    <w:rsid w:val="43BA4171"/>
    <w:rsid w:val="43CB0F3F"/>
    <w:rsid w:val="447927CC"/>
    <w:rsid w:val="44DA634B"/>
    <w:rsid w:val="45E87A97"/>
    <w:rsid w:val="466420CD"/>
    <w:rsid w:val="46EC69F4"/>
    <w:rsid w:val="4731782F"/>
    <w:rsid w:val="47483F2A"/>
    <w:rsid w:val="47BA287B"/>
    <w:rsid w:val="47CA6C43"/>
    <w:rsid w:val="47CC5653"/>
    <w:rsid w:val="483B39D9"/>
    <w:rsid w:val="489F52C4"/>
    <w:rsid w:val="48CE076C"/>
    <w:rsid w:val="48D5454C"/>
    <w:rsid w:val="493E5754"/>
    <w:rsid w:val="4A9401EE"/>
    <w:rsid w:val="4AA34D5C"/>
    <w:rsid w:val="4B014D99"/>
    <w:rsid w:val="4B070896"/>
    <w:rsid w:val="4B0A3602"/>
    <w:rsid w:val="4B566364"/>
    <w:rsid w:val="4CB804FF"/>
    <w:rsid w:val="4CE74F4D"/>
    <w:rsid w:val="4D1559CD"/>
    <w:rsid w:val="4D7F0CE1"/>
    <w:rsid w:val="4DBE5F60"/>
    <w:rsid w:val="4E5A4077"/>
    <w:rsid w:val="4ECF4AEB"/>
    <w:rsid w:val="4F0A0A7E"/>
    <w:rsid w:val="4F836CDB"/>
    <w:rsid w:val="4FBB1ADF"/>
    <w:rsid w:val="5121205B"/>
    <w:rsid w:val="51F835E3"/>
    <w:rsid w:val="525C7843"/>
    <w:rsid w:val="53E255A0"/>
    <w:rsid w:val="56D508E0"/>
    <w:rsid w:val="57A54323"/>
    <w:rsid w:val="57E512EE"/>
    <w:rsid w:val="59962BB0"/>
    <w:rsid w:val="59BC3784"/>
    <w:rsid w:val="59CB77D5"/>
    <w:rsid w:val="5A751DEA"/>
    <w:rsid w:val="5AC2225A"/>
    <w:rsid w:val="5AEE4080"/>
    <w:rsid w:val="5C3458EC"/>
    <w:rsid w:val="5CF841BF"/>
    <w:rsid w:val="5CFC234E"/>
    <w:rsid w:val="5D066D29"/>
    <w:rsid w:val="5D177F46"/>
    <w:rsid w:val="5E1119BA"/>
    <w:rsid w:val="5F5F495E"/>
    <w:rsid w:val="5FE51C6C"/>
    <w:rsid w:val="5FF75035"/>
    <w:rsid w:val="609D2268"/>
    <w:rsid w:val="613F21CB"/>
    <w:rsid w:val="618D159C"/>
    <w:rsid w:val="620A1069"/>
    <w:rsid w:val="63207328"/>
    <w:rsid w:val="63780255"/>
    <w:rsid w:val="64025D70"/>
    <w:rsid w:val="64704F2F"/>
    <w:rsid w:val="64B17EC2"/>
    <w:rsid w:val="64C32714"/>
    <w:rsid w:val="64D26384"/>
    <w:rsid w:val="65840754"/>
    <w:rsid w:val="659C3396"/>
    <w:rsid w:val="65B7623D"/>
    <w:rsid w:val="65E120E1"/>
    <w:rsid w:val="66D05FAB"/>
    <w:rsid w:val="66F9345B"/>
    <w:rsid w:val="67BF5409"/>
    <w:rsid w:val="689F1109"/>
    <w:rsid w:val="68C22DEE"/>
    <w:rsid w:val="69630078"/>
    <w:rsid w:val="69F61ED3"/>
    <w:rsid w:val="6A0B5689"/>
    <w:rsid w:val="6A4B7B8E"/>
    <w:rsid w:val="6A801F2F"/>
    <w:rsid w:val="6AC03E80"/>
    <w:rsid w:val="6BDD334B"/>
    <w:rsid w:val="6C3B64D5"/>
    <w:rsid w:val="6C6D050E"/>
    <w:rsid w:val="6CCB06CC"/>
    <w:rsid w:val="6D846C60"/>
    <w:rsid w:val="6E4679B2"/>
    <w:rsid w:val="6EED74BB"/>
    <w:rsid w:val="6F716EF3"/>
    <w:rsid w:val="70530F9F"/>
    <w:rsid w:val="70CA381A"/>
    <w:rsid w:val="716F0EE9"/>
    <w:rsid w:val="71B35254"/>
    <w:rsid w:val="72954E7C"/>
    <w:rsid w:val="731A1328"/>
    <w:rsid w:val="73977728"/>
    <w:rsid w:val="73FA6782"/>
    <w:rsid w:val="74297058"/>
    <w:rsid w:val="74A44348"/>
    <w:rsid w:val="75077BE7"/>
    <w:rsid w:val="767E6D8B"/>
    <w:rsid w:val="77155CEF"/>
    <w:rsid w:val="77333B90"/>
    <w:rsid w:val="77F3CAD0"/>
    <w:rsid w:val="78AA2A1F"/>
    <w:rsid w:val="79E71B6B"/>
    <w:rsid w:val="79F67CFB"/>
    <w:rsid w:val="7A946CB6"/>
    <w:rsid w:val="7B9D2AF7"/>
    <w:rsid w:val="7C55055D"/>
    <w:rsid w:val="7C837AA0"/>
    <w:rsid w:val="7CFD5C72"/>
    <w:rsid w:val="7D5B3903"/>
    <w:rsid w:val="7D6C47CA"/>
    <w:rsid w:val="7D8A07A5"/>
    <w:rsid w:val="7DC51E91"/>
    <w:rsid w:val="7DE053D9"/>
    <w:rsid w:val="7E431733"/>
    <w:rsid w:val="7E7A2CF8"/>
    <w:rsid w:val="7ECF4994"/>
    <w:rsid w:val="7F813F87"/>
    <w:rsid w:val="7FB5CD73"/>
    <w:rsid w:val="7FBFF021"/>
    <w:rsid w:val="B9FF31D1"/>
    <w:rsid w:val="BBEDAFB5"/>
    <w:rsid w:val="BFA7D3BB"/>
    <w:rsid w:val="BFDF6CB4"/>
    <w:rsid w:val="D84D813D"/>
    <w:rsid w:val="DF3B8546"/>
    <w:rsid w:val="EE77B394"/>
    <w:rsid w:val="EFFF32E5"/>
    <w:rsid w:val="FBFB0B87"/>
    <w:rsid w:val="FCBB4C1F"/>
    <w:rsid w:val="FEDFD328"/>
    <w:rsid w:val="FEDFDC13"/>
    <w:rsid w:val="FF7D7F45"/>
    <w:rsid w:val="FFFDE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0" w:firstLineChars="200"/>
      <w:jc w:val="both"/>
    </w:pPr>
    <w:rPr>
      <w:rFonts w:eastAsia="仿宋_GB2312" w:asciiTheme="minorHAnsi" w:hAnsiTheme="minorHAnsi" w:cstheme="minorBidi"/>
      <w:kern w:val="2"/>
      <w:sz w:val="32"/>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4">
    <w:name w:val="heading 3"/>
    <w:basedOn w:val="1"/>
    <w:next w:val="1"/>
    <w:unhideWhenUsed/>
    <w:qFormat/>
    <w:uiPriority w:val="0"/>
    <w:pPr>
      <w:keepNext/>
      <w:keepLines/>
      <w:spacing w:before="260" w:after="260" w:line="413" w:lineRule="auto"/>
      <w:outlineLvl w:val="2"/>
    </w:pPr>
    <w:rPr>
      <w:b/>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Salutation"/>
    <w:basedOn w:val="1"/>
    <w:next w:val="1"/>
    <w:qFormat/>
    <w:uiPriority w:val="99"/>
    <w:rPr>
      <w:kern w:val="0"/>
      <w:sz w:val="20"/>
      <w:szCs w:val="20"/>
    </w:rPr>
  </w:style>
  <w:style w:type="paragraph" w:styleId="7">
    <w:name w:val="Body Text"/>
    <w:basedOn w:val="1"/>
    <w:qFormat/>
    <w:uiPriority w:val="0"/>
    <w:pPr>
      <w:spacing w:after="120"/>
    </w:pPr>
  </w:style>
  <w:style w:type="paragraph" w:styleId="8">
    <w:name w:val="Body Text Indent"/>
    <w:basedOn w:val="1"/>
    <w:next w:val="9"/>
    <w:qFormat/>
    <w:uiPriority w:val="99"/>
    <w:pPr>
      <w:ind w:left="420" w:leftChars="200"/>
    </w:pPr>
  </w:style>
  <w:style w:type="paragraph" w:styleId="9">
    <w:name w:val="Body Text First Indent 2"/>
    <w:basedOn w:val="8"/>
    <w:next w:val="1"/>
    <w:qFormat/>
    <w:uiPriority w:val="99"/>
    <w:pPr>
      <w:ind w:firstLine="420" w:firstLine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footnote text"/>
    <w:basedOn w:val="1"/>
    <w:qFormat/>
    <w:uiPriority w:val="0"/>
    <w:pPr>
      <w:snapToGrid w:val="0"/>
      <w:jc w:val="left"/>
    </w:pPr>
    <w:rPr>
      <w:sz w:val="18"/>
    </w:rPr>
  </w:style>
  <w:style w:type="paragraph" w:styleId="14">
    <w:name w:val="toc 2"/>
    <w:basedOn w:val="1"/>
    <w:next w:val="1"/>
    <w:qFormat/>
    <w:uiPriority w:val="0"/>
    <w:pPr>
      <w:ind w:left="420" w:leftChars="200"/>
    </w:pPr>
  </w:style>
  <w:style w:type="paragraph" w:styleId="15">
    <w:name w:val="Body Text First Indent"/>
    <w:basedOn w:val="7"/>
    <w:qFormat/>
    <w:uiPriority w:val="0"/>
    <w:pPr>
      <w:ind w:firstLine="420" w:firstLineChars="1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qFormat/>
    <w:uiPriority w:val="0"/>
    <w:rPr>
      <w:color w:val="0000FF"/>
      <w:u w:val="single"/>
    </w:rPr>
  </w:style>
  <w:style w:type="character" w:styleId="20">
    <w:name w:val="footnote reference"/>
    <w:basedOn w:val="18"/>
    <w:qFormat/>
    <w:uiPriority w:val="0"/>
    <w:rPr>
      <w:vertAlign w:val="superscript"/>
    </w:rPr>
  </w:style>
  <w:style w:type="paragraph" w:customStyle="1" w:styleId="21">
    <w:name w:val="WPSOffice手动目录 1"/>
    <w:qFormat/>
    <w:uiPriority w:val="0"/>
    <w:rPr>
      <w:rFonts w:ascii="Times New Roman" w:hAnsi="Times New Roman" w:eastAsia="宋体" w:cs="Times New Roman"/>
      <w:lang w:val="en-US" w:eastAsia="zh-CN" w:bidi="ar-SA"/>
    </w:rPr>
  </w:style>
  <w:style w:type="paragraph" w:customStyle="1" w:styleId="2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3">
    <w:name w:val="表格样式"/>
    <w:basedOn w:val="1"/>
    <w:qFormat/>
    <w:uiPriority w:val="0"/>
    <w:pPr>
      <w:ind w:firstLine="0" w:firstLineChars="0"/>
      <w:jc w:val="center"/>
    </w:pPr>
    <w:rPr>
      <w:rFonts w:asciiTheme="minorAscii" w:hAnsiTheme="minorAscii"/>
      <w:sz w:val="24"/>
    </w:rPr>
  </w:style>
  <w:style w:type="paragraph" w:customStyle="1" w:styleId="24">
    <w:name w:val="闻政附件一级标题"/>
    <w:basedOn w:val="1"/>
    <w:next w:val="25"/>
    <w:qFormat/>
    <w:uiPriority w:val="6"/>
    <w:pPr>
      <w:spacing w:before="120" w:after="60" w:line="500" w:lineRule="exact"/>
      <w:ind w:firstLine="200"/>
      <w:jc w:val="left"/>
    </w:pPr>
    <w:rPr>
      <w:rFonts w:ascii="Times New Roman" w:hAnsi="Times New Roman" w:cs="宋体"/>
      <w:b/>
      <w:kern w:val="0"/>
      <w:sz w:val="28"/>
      <w:szCs w:val="28"/>
      <w:lang w:val="zh-CN"/>
    </w:rPr>
  </w:style>
  <w:style w:type="paragraph" w:customStyle="1" w:styleId="25">
    <w:name w:val="闻政附件正文"/>
    <w:basedOn w:val="1"/>
    <w:qFormat/>
    <w:uiPriority w:val="6"/>
    <w:pPr>
      <w:spacing w:line="500" w:lineRule="exact"/>
      <w:ind w:firstLine="200"/>
    </w:pPr>
    <w:rPr>
      <w:rFonts w:ascii="Times New Roman" w:hAnsi="Times New Roman" w:cs="Times New Roman"/>
      <w:kern w:val="0"/>
      <w:sz w:val="24"/>
      <w:szCs w:val="28"/>
      <w:lang w:val="zh-CN"/>
    </w:rPr>
  </w:style>
  <w:style w:type="character" w:customStyle="1" w:styleId="26">
    <w:name w:val="font31"/>
    <w:basedOn w:val="18"/>
    <w:qFormat/>
    <w:uiPriority w:val="0"/>
    <w:rPr>
      <w:rFonts w:hint="eastAsia" w:ascii="宋体" w:hAnsi="宋体" w:eastAsia="宋体" w:cs="宋体"/>
      <w:color w:val="000000"/>
      <w:sz w:val="20"/>
      <w:szCs w:val="20"/>
      <w:u w:val="none"/>
    </w:rPr>
  </w:style>
  <w:style w:type="character" w:customStyle="1" w:styleId="27">
    <w:name w:val="font51"/>
    <w:basedOn w:val="18"/>
    <w:qFormat/>
    <w:uiPriority w:val="0"/>
    <w:rPr>
      <w:rFonts w:hint="eastAsia" w:ascii="仿宋_GB2312" w:eastAsia="仿宋_GB2312" w:cs="仿宋_GB2312"/>
      <w:color w:val="000000"/>
      <w:sz w:val="20"/>
      <w:szCs w:val="20"/>
      <w:u w:val="none"/>
    </w:rPr>
  </w:style>
  <w:style w:type="character" w:customStyle="1" w:styleId="28">
    <w:name w:val="font01"/>
    <w:basedOn w:val="18"/>
    <w:qFormat/>
    <w:uiPriority w:val="0"/>
    <w:rPr>
      <w:rFonts w:hint="eastAsia" w:ascii="仿宋_GB2312" w:eastAsia="仿宋_GB2312" w:cs="仿宋_GB2312"/>
      <w:color w:val="000000"/>
      <w:sz w:val="20"/>
      <w:szCs w:val="20"/>
      <w:u w:val="none"/>
    </w:rPr>
  </w:style>
  <w:style w:type="paragraph" w:customStyle="1" w:styleId="29">
    <w:name w:val="正文首行缩进 21"/>
    <w:basedOn w:val="1"/>
    <w:qFormat/>
    <w:uiPriority w:val="0"/>
    <w:pPr>
      <w:ind w:left="420" w:leftChars="200" w:firstLine="420" w:firstLineChars="200"/>
    </w:pPr>
    <w:rPr>
      <w:rFonts w:cs="Calibri"/>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22488</Words>
  <Characters>23937</Characters>
  <Lines>1</Lines>
  <Paragraphs>1</Paragraphs>
  <TotalTime>12715</TotalTime>
  <ScaleCrop>false</ScaleCrop>
  <LinksUpToDate>false</LinksUpToDate>
  <CharactersWithSpaces>24203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2020-08-22T07:14:00Z</dcterms:created>
  <dc:creator>TuTu-Mason</dc:creator>
  <cp:lastModifiedBy>归零GEB</cp:lastModifiedBy>
  <dcterms:modified xsi:type="dcterms:W3CDTF">2023-11-27T07:02:28Z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3C436F3AF6FE491AA6CCB0F7A828ECEB_13</vt:lpwstr>
  </property>
</Properties>
</file>