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50A22">
      <w:pPr>
        <w:bidi w:val="0"/>
        <w:jc w:val="center"/>
        <w:rPr>
          <w:rFonts w:ascii="黑体" w:hAnsi="黑体" w:eastAsia="黑体"/>
          <w:color w:val="000000"/>
          <w:sz w:val="72"/>
          <w:szCs w:val="72"/>
        </w:rPr>
      </w:pPr>
      <w:bookmarkStart w:id="0" w:name="_Toc15377425"/>
      <w:bookmarkStart w:id="1" w:name="_Toc15396597"/>
      <w:bookmarkStart w:id="2" w:name="_Toc15378441"/>
      <w:bookmarkStart w:id="3" w:name="_Toc7475"/>
      <w:bookmarkStart w:id="4" w:name="_Toc15396475"/>
      <w:bookmarkStart w:id="5" w:name="_Toc15377193"/>
    </w:p>
    <w:p w14:paraId="28E112CB">
      <w:pPr>
        <w:bidi w:val="0"/>
        <w:jc w:val="center"/>
        <w:rPr>
          <w:rFonts w:ascii="黑体" w:hAnsi="黑体" w:eastAsia="黑体"/>
          <w:color w:val="000000"/>
          <w:sz w:val="72"/>
          <w:szCs w:val="72"/>
        </w:rPr>
      </w:pPr>
    </w:p>
    <w:p w14:paraId="50AB2F27">
      <w:pPr>
        <w:bidi w:val="0"/>
        <w:jc w:val="center"/>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lang w:val="en-US" w:eastAsia="zh-CN"/>
        </w:rPr>
        <w:t>25</w:t>
      </w:r>
      <w:r>
        <w:rPr>
          <w:rFonts w:hint="eastAsia" w:ascii="方正小标宋简体" w:hAnsi="宋体" w:eastAsia="方正小标宋简体"/>
          <w:color w:val="000000"/>
          <w:sz w:val="72"/>
          <w:szCs w:val="72"/>
        </w:rPr>
        <w:t>年度</w:t>
      </w:r>
      <w:bookmarkEnd w:id="0"/>
      <w:bookmarkEnd w:id="1"/>
      <w:bookmarkEnd w:id="2"/>
      <w:bookmarkEnd w:id="3"/>
      <w:bookmarkEnd w:id="4"/>
      <w:bookmarkEnd w:id="5"/>
    </w:p>
    <w:p w14:paraId="41DA9DB4">
      <w:pPr>
        <w:bidi w:val="0"/>
        <w:ind w:left="2240" w:hanging="2720" w:hangingChars="400"/>
        <w:jc w:val="center"/>
        <w:rPr>
          <w:rFonts w:hint="eastAsia" w:ascii="方正小标宋简体" w:hAnsi="宋体" w:eastAsia="方正小标宋简体"/>
          <w:color w:val="000000"/>
          <w:spacing w:val="-20"/>
          <w:sz w:val="72"/>
          <w:szCs w:val="72"/>
          <w:lang w:eastAsia="zh-CN"/>
        </w:rPr>
      </w:pPr>
      <w:bookmarkStart w:id="6" w:name="_Toc15396598"/>
      <w:bookmarkStart w:id="7" w:name="_Toc15378442"/>
      <w:bookmarkStart w:id="8" w:name="_Toc15396476"/>
      <w:bookmarkStart w:id="9" w:name="_Toc15377194"/>
      <w:bookmarkStart w:id="10" w:name="_Toc15377426"/>
      <w:bookmarkStart w:id="11" w:name="_Toc18515"/>
      <w:r>
        <w:rPr>
          <w:rFonts w:hint="eastAsia" w:ascii="方正小标宋简体" w:hAnsi="宋体" w:eastAsia="方正小标宋简体"/>
          <w:color w:val="000000"/>
          <w:spacing w:val="-20"/>
          <w:sz w:val="72"/>
          <w:szCs w:val="72"/>
        </w:rPr>
        <w:t>四川罗江</w:t>
      </w:r>
      <w:bookmarkStart w:id="12" w:name="_Toc15306268"/>
      <w:r>
        <w:rPr>
          <w:rFonts w:hint="eastAsia" w:ascii="方正小标宋简体" w:hAnsi="宋体" w:eastAsia="方正小标宋简体"/>
          <w:color w:val="000000"/>
          <w:spacing w:val="-20"/>
          <w:sz w:val="72"/>
          <w:szCs w:val="72"/>
          <w:lang w:eastAsia="zh-CN"/>
        </w:rPr>
        <w:t>经济开发区管理委员</w:t>
      </w:r>
    </w:p>
    <w:p w14:paraId="6F0E4B3E">
      <w:pPr>
        <w:bidi w:val="0"/>
        <w:ind w:left="2240" w:hanging="2880" w:hangingChars="400"/>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w:t>
      </w:r>
      <w:bookmarkEnd w:id="6"/>
      <w:bookmarkEnd w:id="7"/>
      <w:bookmarkEnd w:id="8"/>
      <w:bookmarkEnd w:id="9"/>
      <w:bookmarkEnd w:id="10"/>
      <w:bookmarkEnd w:id="12"/>
      <w:r>
        <w:rPr>
          <w:rFonts w:hint="eastAsia" w:ascii="方正小标宋简体" w:hAnsi="宋体" w:eastAsia="方正小标宋简体"/>
          <w:color w:val="000000"/>
          <w:sz w:val="72"/>
          <w:szCs w:val="72"/>
          <w:lang w:eastAsia="zh-CN"/>
        </w:rPr>
        <w:t>预算</w:t>
      </w:r>
      <w:r>
        <w:rPr>
          <w:rFonts w:hint="eastAsia" w:ascii="方正小标宋简体" w:hAnsi="宋体" w:eastAsia="方正小标宋简体"/>
          <w:color w:val="000000"/>
          <w:sz w:val="72"/>
          <w:szCs w:val="72"/>
        </w:rPr>
        <w:t>公开</w:t>
      </w:r>
      <w:bookmarkEnd w:id="11"/>
    </w:p>
    <w:p w14:paraId="53A8DEDE">
      <w:pPr>
        <w:pStyle w:val="13"/>
        <w:keepNext w:val="0"/>
        <w:keepLines w:val="0"/>
        <w:pageBreakBefore w:val="0"/>
        <w:widowControl w:val="0"/>
        <w:kinsoku/>
        <w:wordWrap/>
        <w:overflowPunct/>
        <w:topLinePunct w:val="0"/>
        <w:bidi w:val="0"/>
        <w:spacing w:after="0" w:line="560" w:lineRule="exact"/>
        <w:textAlignment w:val="auto"/>
        <w:rPr>
          <w:rFonts w:hint="eastAsia"/>
          <w:color w:val="auto"/>
        </w:rPr>
      </w:pPr>
    </w:p>
    <w:p w14:paraId="63688579">
      <w:pPr>
        <w:rPr>
          <w:rFonts w:hint="eastAsia"/>
          <w:color w:val="auto"/>
        </w:rPr>
      </w:pPr>
    </w:p>
    <w:p w14:paraId="0730EAF9">
      <w:pPr>
        <w:pStyle w:val="2"/>
        <w:outlineLvl w:val="9"/>
        <w:rPr>
          <w:rFonts w:hint="eastAsia"/>
          <w:color w:val="auto"/>
        </w:rPr>
      </w:pPr>
    </w:p>
    <w:p w14:paraId="36BB6A56">
      <w:pPr>
        <w:rPr>
          <w:rFonts w:hint="eastAsia"/>
          <w:color w:val="auto"/>
        </w:rPr>
      </w:pPr>
    </w:p>
    <w:p w14:paraId="215AAB80">
      <w:pPr>
        <w:pStyle w:val="2"/>
        <w:outlineLvl w:val="9"/>
        <w:rPr>
          <w:rFonts w:hint="eastAsia"/>
          <w:color w:val="auto"/>
        </w:rPr>
      </w:pPr>
    </w:p>
    <w:p w14:paraId="152618A7">
      <w:pPr>
        <w:rPr>
          <w:rFonts w:hint="eastAsia"/>
          <w:color w:val="auto"/>
        </w:rPr>
      </w:pPr>
    </w:p>
    <w:sdt>
      <w:sdtPr>
        <w:rPr>
          <w:rFonts w:ascii="宋体" w:hAnsi="宋体" w:eastAsia="宋体" w:cs="Times New Roman"/>
          <w:kern w:val="2"/>
          <w:sz w:val="21"/>
          <w:szCs w:val="24"/>
          <w:lang w:val="en-US" w:eastAsia="zh-CN" w:bidi="ar-SA"/>
        </w:rPr>
        <w:id w:val="14748222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2B35856E">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pPr>
          <w:r>
            <w:rPr>
              <w:rFonts w:ascii="宋体" w:hAnsi="宋体" w:eastAsia="宋体"/>
              <w:sz w:val="21"/>
            </w:rPr>
            <w:t>目录</w:t>
          </w:r>
        </w:p>
        <w:p w14:paraId="07B98E6A">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fldChar w:fldCharType="begin"/>
          </w:r>
          <w:r>
            <w:instrText xml:space="preserve">TOC \o "1-2" \h \u </w:instrText>
          </w:r>
          <w:r>
            <w:fldChar w:fldCharType="separate"/>
          </w:r>
          <w:r>
            <w:rPr>
              <w:b/>
            </w:rPr>
            <w:fldChar w:fldCharType="begin"/>
          </w:r>
          <w:r>
            <w:rPr>
              <w:b/>
            </w:rPr>
            <w:instrText xml:space="preserve"> HYPERLINK \l _Toc4009 </w:instrText>
          </w:r>
          <w:r>
            <w:rPr>
              <w:b/>
            </w:rPr>
            <w:fldChar w:fldCharType="separate"/>
          </w:r>
          <w:r>
            <w:rPr>
              <w:rFonts w:hint="eastAsia" w:ascii="黑体" w:hAnsi="黑体" w:eastAsia="黑体" w:cs="黑体"/>
              <w:b/>
              <w:szCs w:val="32"/>
            </w:rPr>
            <w:t>一、基本职能及主要工作</w:t>
          </w:r>
          <w:r>
            <w:rPr>
              <w:b/>
            </w:rPr>
            <w:tab/>
          </w:r>
          <w:r>
            <w:rPr>
              <w:b/>
            </w:rPr>
            <w:fldChar w:fldCharType="begin"/>
          </w:r>
          <w:r>
            <w:rPr>
              <w:b/>
            </w:rPr>
            <w:instrText xml:space="preserve"> PAGEREF _Toc4009 </w:instrText>
          </w:r>
          <w:r>
            <w:rPr>
              <w:b/>
            </w:rPr>
            <w:fldChar w:fldCharType="separate"/>
          </w:r>
          <w:r>
            <w:rPr>
              <w:b/>
            </w:rPr>
            <w:t>- 3 -</w:t>
          </w:r>
          <w:r>
            <w:rPr>
              <w:b/>
            </w:rPr>
            <w:fldChar w:fldCharType="end"/>
          </w:r>
          <w:r>
            <w:rPr>
              <w:b/>
            </w:rPr>
            <w:fldChar w:fldCharType="end"/>
          </w:r>
        </w:p>
        <w:p w14:paraId="1C22BE01">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_Toc6856 </w:instrText>
          </w:r>
          <w:r>
            <w:rPr>
              <w:b/>
            </w:rPr>
            <w:fldChar w:fldCharType="separate"/>
          </w:r>
          <w:r>
            <w:rPr>
              <w:rFonts w:hint="eastAsia" w:ascii="黑体" w:hAnsi="黑体" w:eastAsia="黑体" w:cs="黑体"/>
              <w:b/>
              <w:szCs w:val="32"/>
            </w:rPr>
            <w:t>二、部门预算单位构成</w:t>
          </w:r>
          <w:r>
            <w:rPr>
              <w:b/>
            </w:rPr>
            <w:tab/>
          </w:r>
          <w:r>
            <w:rPr>
              <w:b/>
            </w:rPr>
            <w:fldChar w:fldCharType="begin"/>
          </w:r>
          <w:r>
            <w:rPr>
              <w:b/>
            </w:rPr>
            <w:instrText xml:space="preserve"> PAGEREF _Toc6856 </w:instrText>
          </w:r>
          <w:r>
            <w:rPr>
              <w:b/>
            </w:rPr>
            <w:fldChar w:fldCharType="separate"/>
          </w:r>
          <w:r>
            <w:rPr>
              <w:b/>
            </w:rPr>
            <w:t>- 4 -</w:t>
          </w:r>
          <w:r>
            <w:rPr>
              <w:b/>
            </w:rPr>
            <w:fldChar w:fldCharType="end"/>
          </w:r>
          <w:r>
            <w:rPr>
              <w:b/>
            </w:rPr>
            <w:fldChar w:fldCharType="end"/>
          </w:r>
        </w:p>
        <w:p w14:paraId="31E6C667">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_Toc30315 </w:instrText>
          </w:r>
          <w:r>
            <w:rPr>
              <w:b/>
            </w:rPr>
            <w:fldChar w:fldCharType="separate"/>
          </w:r>
          <w:r>
            <w:rPr>
              <w:rFonts w:hint="eastAsia" w:ascii="黑体" w:hAnsi="黑体" w:eastAsia="黑体" w:cs="黑体"/>
              <w:b/>
              <w:szCs w:val="32"/>
            </w:rPr>
            <w:t>三、收支预算增减变化情况说明</w:t>
          </w:r>
          <w:r>
            <w:rPr>
              <w:b/>
            </w:rPr>
            <w:tab/>
          </w:r>
          <w:r>
            <w:rPr>
              <w:b/>
            </w:rPr>
            <w:fldChar w:fldCharType="begin"/>
          </w:r>
          <w:r>
            <w:rPr>
              <w:b/>
            </w:rPr>
            <w:instrText xml:space="preserve"> PAGEREF _Toc30315 </w:instrText>
          </w:r>
          <w:r>
            <w:rPr>
              <w:b/>
            </w:rPr>
            <w:fldChar w:fldCharType="separate"/>
          </w:r>
          <w:r>
            <w:rPr>
              <w:b/>
            </w:rPr>
            <w:t>- 7 -</w:t>
          </w:r>
          <w:r>
            <w:rPr>
              <w:b/>
            </w:rPr>
            <w:fldChar w:fldCharType="end"/>
          </w:r>
          <w:r>
            <w:rPr>
              <w:b/>
            </w:rPr>
            <w:fldChar w:fldCharType="end"/>
          </w:r>
        </w:p>
        <w:p w14:paraId="15B5C1D0">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_Toc17073 </w:instrText>
          </w:r>
          <w:r>
            <w:fldChar w:fldCharType="separate"/>
          </w:r>
          <w:r>
            <w:rPr>
              <w:rFonts w:hint="eastAsia" w:ascii="楷体_GB2312" w:hAnsi="楷体_GB2312" w:eastAsia="楷体_GB2312" w:cs="楷体_GB2312"/>
              <w:bCs/>
              <w:szCs w:val="32"/>
            </w:rPr>
            <w:t>（一）收入预算情况</w:t>
          </w:r>
          <w:r>
            <w:tab/>
          </w:r>
          <w:r>
            <w:fldChar w:fldCharType="begin"/>
          </w:r>
          <w:r>
            <w:instrText xml:space="preserve"> PAGEREF _Toc17073 </w:instrText>
          </w:r>
          <w:r>
            <w:fldChar w:fldCharType="separate"/>
          </w:r>
          <w:r>
            <w:t>- 8 -</w:t>
          </w:r>
          <w:r>
            <w:fldChar w:fldCharType="end"/>
          </w:r>
          <w:r>
            <w:fldChar w:fldCharType="end"/>
          </w:r>
        </w:p>
        <w:p w14:paraId="4F576A01">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_Toc32189 </w:instrText>
          </w:r>
          <w:r>
            <w:fldChar w:fldCharType="separate"/>
          </w:r>
          <w:r>
            <w:rPr>
              <w:rFonts w:hint="eastAsia" w:ascii="楷体_GB2312" w:hAnsi="楷体_GB2312" w:eastAsia="楷体_GB2312" w:cs="楷体_GB2312"/>
              <w:bCs/>
              <w:szCs w:val="32"/>
            </w:rPr>
            <w:t>（二）支出预算情况</w:t>
          </w:r>
          <w:r>
            <w:tab/>
          </w:r>
          <w:r>
            <w:fldChar w:fldCharType="begin"/>
          </w:r>
          <w:r>
            <w:instrText xml:space="preserve"> PAGEREF _Toc32189 </w:instrText>
          </w:r>
          <w:r>
            <w:fldChar w:fldCharType="separate"/>
          </w:r>
          <w:r>
            <w:t>- 8 -</w:t>
          </w:r>
          <w:r>
            <w:fldChar w:fldCharType="end"/>
          </w:r>
          <w:r>
            <w:fldChar w:fldCharType="end"/>
          </w:r>
        </w:p>
        <w:p w14:paraId="27A9AACE">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_Toc29871 </w:instrText>
          </w:r>
          <w:r>
            <w:rPr>
              <w:b/>
            </w:rPr>
            <w:fldChar w:fldCharType="separate"/>
          </w:r>
          <w:r>
            <w:rPr>
              <w:rFonts w:hint="eastAsia" w:ascii="黑体" w:hAnsi="黑体" w:eastAsia="黑体" w:cs="黑体"/>
              <w:b/>
              <w:szCs w:val="32"/>
            </w:rPr>
            <w:t>四、财政拨款收支预算情况说明</w:t>
          </w:r>
          <w:r>
            <w:rPr>
              <w:b/>
            </w:rPr>
            <w:tab/>
          </w:r>
          <w:r>
            <w:rPr>
              <w:b/>
            </w:rPr>
            <w:fldChar w:fldCharType="begin"/>
          </w:r>
          <w:r>
            <w:rPr>
              <w:b/>
            </w:rPr>
            <w:instrText xml:space="preserve"> PAGEREF _Toc29871 </w:instrText>
          </w:r>
          <w:r>
            <w:rPr>
              <w:b/>
            </w:rPr>
            <w:fldChar w:fldCharType="separate"/>
          </w:r>
          <w:r>
            <w:rPr>
              <w:b/>
            </w:rPr>
            <w:t>- 7 -</w:t>
          </w:r>
          <w:r>
            <w:rPr>
              <w:b/>
            </w:rPr>
            <w:fldChar w:fldCharType="end"/>
          </w:r>
          <w:r>
            <w:rPr>
              <w:b/>
            </w:rPr>
            <w:fldChar w:fldCharType="end"/>
          </w:r>
        </w:p>
        <w:p w14:paraId="71625859">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_Toc16520 </w:instrText>
          </w:r>
          <w:r>
            <w:rPr>
              <w:b/>
            </w:rPr>
            <w:fldChar w:fldCharType="separate"/>
          </w:r>
          <w:r>
            <w:rPr>
              <w:rFonts w:hint="eastAsia" w:ascii="黑体" w:hAnsi="黑体" w:eastAsia="黑体" w:cs="黑体"/>
              <w:b/>
              <w:szCs w:val="32"/>
            </w:rPr>
            <w:t>五、一般公共预算当年拨款情况说明</w:t>
          </w:r>
          <w:r>
            <w:rPr>
              <w:b/>
            </w:rPr>
            <w:tab/>
          </w:r>
          <w:r>
            <w:rPr>
              <w:b/>
            </w:rPr>
            <w:fldChar w:fldCharType="begin"/>
          </w:r>
          <w:r>
            <w:rPr>
              <w:b/>
            </w:rPr>
            <w:instrText xml:space="preserve"> PAGEREF _Toc16520 </w:instrText>
          </w:r>
          <w:r>
            <w:rPr>
              <w:b/>
            </w:rPr>
            <w:fldChar w:fldCharType="separate"/>
          </w:r>
          <w:r>
            <w:rPr>
              <w:b/>
            </w:rPr>
            <w:t>- 8 -</w:t>
          </w:r>
          <w:r>
            <w:rPr>
              <w:b/>
            </w:rPr>
            <w:fldChar w:fldCharType="end"/>
          </w:r>
          <w:r>
            <w:rPr>
              <w:b/>
            </w:rPr>
            <w:fldChar w:fldCharType="end"/>
          </w:r>
        </w:p>
        <w:p w14:paraId="48171EB3">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_Toc4128 </w:instrText>
          </w:r>
          <w:r>
            <w:fldChar w:fldCharType="separate"/>
          </w:r>
          <w:r>
            <w:rPr>
              <w:rFonts w:hint="eastAsia" w:ascii="楷体_GB2312" w:hAnsi="楷体_GB2312" w:eastAsia="楷体_GB2312" w:cs="楷体_GB2312"/>
              <w:bCs/>
              <w:szCs w:val="32"/>
            </w:rPr>
            <w:t>（一）一般公共预算当年拨款规模变化情况</w:t>
          </w:r>
          <w:r>
            <w:tab/>
          </w:r>
          <w:r>
            <w:fldChar w:fldCharType="begin"/>
          </w:r>
          <w:r>
            <w:instrText xml:space="preserve"> PAGEREF _Toc4128 </w:instrText>
          </w:r>
          <w:r>
            <w:fldChar w:fldCharType="separate"/>
          </w:r>
          <w:r>
            <w:t>- 8 -</w:t>
          </w:r>
          <w:r>
            <w:fldChar w:fldCharType="end"/>
          </w:r>
          <w:r>
            <w:fldChar w:fldCharType="end"/>
          </w:r>
        </w:p>
        <w:p w14:paraId="7E34431F">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_Toc30818 </w:instrText>
          </w:r>
          <w:r>
            <w:fldChar w:fldCharType="separate"/>
          </w:r>
          <w:r>
            <w:rPr>
              <w:rFonts w:hint="eastAsia" w:ascii="楷体_GB2312" w:hAnsi="楷体_GB2312" w:eastAsia="楷体_GB2312" w:cs="楷体_GB2312"/>
              <w:bCs/>
              <w:szCs w:val="32"/>
            </w:rPr>
            <w:t>（二）一般公共预算当年拨款结构情况</w:t>
          </w:r>
          <w:r>
            <w:tab/>
          </w:r>
          <w:r>
            <w:fldChar w:fldCharType="begin"/>
          </w:r>
          <w:r>
            <w:instrText xml:space="preserve"> PAGEREF _Toc30818 </w:instrText>
          </w:r>
          <w:r>
            <w:fldChar w:fldCharType="separate"/>
          </w:r>
          <w:r>
            <w:t>- 9 -</w:t>
          </w:r>
          <w:r>
            <w:fldChar w:fldCharType="end"/>
          </w:r>
          <w:r>
            <w:fldChar w:fldCharType="end"/>
          </w:r>
        </w:p>
        <w:p w14:paraId="04317BAD">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_Toc10536 </w:instrText>
          </w:r>
          <w:r>
            <w:fldChar w:fldCharType="separate"/>
          </w:r>
          <w:r>
            <w:rPr>
              <w:rFonts w:hint="eastAsia" w:ascii="楷体_GB2312" w:hAnsi="楷体_GB2312" w:eastAsia="楷体_GB2312" w:cs="楷体_GB2312"/>
              <w:bCs/>
              <w:szCs w:val="32"/>
            </w:rPr>
            <w:t>（三）一般公共预算当年拨款具体使用情况</w:t>
          </w:r>
          <w:r>
            <w:tab/>
          </w:r>
          <w:r>
            <w:fldChar w:fldCharType="begin"/>
          </w:r>
          <w:r>
            <w:instrText xml:space="preserve"> PAGEREF _Toc10536 </w:instrText>
          </w:r>
          <w:r>
            <w:fldChar w:fldCharType="separate"/>
          </w:r>
          <w:r>
            <w:t>- 9 -</w:t>
          </w:r>
          <w:r>
            <w:fldChar w:fldCharType="end"/>
          </w:r>
          <w:r>
            <w:fldChar w:fldCharType="end"/>
          </w:r>
        </w:p>
        <w:p w14:paraId="40E3EACA">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_Toc20002 </w:instrText>
          </w:r>
          <w:r>
            <w:rPr>
              <w:b/>
            </w:rPr>
            <w:fldChar w:fldCharType="separate"/>
          </w:r>
          <w:r>
            <w:rPr>
              <w:rFonts w:hint="eastAsia" w:ascii="黑体" w:hAnsi="黑体" w:eastAsia="黑体" w:cs="黑体"/>
              <w:b/>
              <w:szCs w:val="32"/>
            </w:rPr>
            <w:t>六、一般公共预算基本支出情况说明</w:t>
          </w:r>
          <w:r>
            <w:rPr>
              <w:b/>
            </w:rPr>
            <w:tab/>
          </w:r>
          <w:r>
            <w:rPr>
              <w:b/>
            </w:rPr>
            <w:fldChar w:fldCharType="begin"/>
          </w:r>
          <w:r>
            <w:rPr>
              <w:b/>
            </w:rPr>
            <w:instrText xml:space="preserve"> PAGEREF _Toc20002 </w:instrText>
          </w:r>
          <w:r>
            <w:rPr>
              <w:b/>
            </w:rPr>
            <w:fldChar w:fldCharType="separate"/>
          </w:r>
          <w:r>
            <w:rPr>
              <w:b/>
            </w:rPr>
            <w:t>- 11 -</w:t>
          </w:r>
          <w:r>
            <w:rPr>
              <w:b/>
            </w:rPr>
            <w:fldChar w:fldCharType="end"/>
          </w:r>
          <w:r>
            <w:rPr>
              <w:b/>
            </w:rPr>
            <w:fldChar w:fldCharType="end"/>
          </w:r>
        </w:p>
        <w:p w14:paraId="439AD39A">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_Toc7555 </w:instrText>
          </w:r>
          <w:r>
            <w:rPr>
              <w:b/>
            </w:rPr>
            <w:fldChar w:fldCharType="separate"/>
          </w:r>
          <w:r>
            <w:rPr>
              <w:rFonts w:hint="eastAsia" w:ascii="黑体" w:hAnsi="黑体" w:eastAsia="黑体" w:cs="黑体"/>
              <w:b/>
              <w:szCs w:val="32"/>
            </w:rPr>
            <w:t>七、“三公”经费财政拨款预算安排情况说明</w:t>
          </w:r>
          <w:r>
            <w:rPr>
              <w:b/>
            </w:rPr>
            <w:tab/>
          </w:r>
          <w:r>
            <w:rPr>
              <w:b/>
            </w:rPr>
            <w:fldChar w:fldCharType="begin"/>
          </w:r>
          <w:r>
            <w:rPr>
              <w:b/>
            </w:rPr>
            <w:instrText xml:space="preserve"> PAGEREF _Toc7555 </w:instrText>
          </w:r>
          <w:r>
            <w:rPr>
              <w:b/>
            </w:rPr>
            <w:fldChar w:fldCharType="separate"/>
          </w:r>
          <w:r>
            <w:rPr>
              <w:b/>
            </w:rPr>
            <w:t>- 11 -</w:t>
          </w:r>
          <w:r>
            <w:rPr>
              <w:b/>
            </w:rPr>
            <w:fldChar w:fldCharType="end"/>
          </w:r>
          <w:r>
            <w:rPr>
              <w:b/>
            </w:rPr>
            <w:fldChar w:fldCharType="end"/>
          </w:r>
        </w:p>
        <w:p w14:paraId="3FCF53EA">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_Toc2021 </w:instrText>
          </w:r>
          <w:r>
            <w:rPr>
              <w:b/>
            </w:rPr>
            <w:fldChar w:fldCharType="separate"/>
          </w:r>
          <w:r>
            <w:rPr>
              <w:rFonts w:hint="eastAsia" w:ascii="黑体" w:hAnsi="黑体" w:eastAsia="黑体" w:cs="黑体"/>
              <w:b/>
              <w:szCs w:val="32"/>
            </w:rPr>
            <w:t>八、政府性基金预算收支情况说明</w:t>
          </w:r>
          <w:r>
            <w:rPr>
              <w:b/>
            </w:rPr>
            <w:tab/>
          </w:r>
          <w:r>
            <w:rPr>
              <w:b/>
            </w:rPr>
            <w:fldChar w:fldCharType="begin"/>
          </w:r>
          <w:r>
            <w:rPr>
              <w:b/>
            </w:rPr>
            <w:instrText xml:space="preserve"> PAGEREF _Toc2021 </w:instrText>
          </w:r>
          <w:r>
            <w:rPr>
              <w:b/>
            </w:rPr>
            <w:fldChar w:fldCharType="separate"/>
          </w:r>
          <w:r>
            <w:rPr>
              <w:b/>
            </w:rPr>
            <w:t>- 12 -</w:t>
          </w:r>
          <w:r>
            <w:rPr>
              <w:b/>
            </w:rPr>
            <w:fldChar w:fldCharType="end"/>
          </w:r>
          <w:r>
            <w:rPr>
              <w:b/>
            </w:rPr>
            <w:fldChar w:fldCharType="end"/>
          </w:r>
        </w:p>
        <w:p w14:paraId="277D34F6">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_Toc17630 </w:instrText>
          </w:r>
          <w:r>
            <w:fldChar w:fldCharType="separate"/>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lang w:val="en-US" w:eastAsia="zh-CN"/>
            </w:rPr>
            <w:t>一</w:t>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rPr>
            <w:t>收入预算情况</w:t>
          </w:r>
          <w:r>
            <w:tab/>
          </w:r>
          <w:r>
            <w:fldChar w:fldCharType="begin"/>
          </w:r>
          <w:r>
            <w:instrText xml:space="preserve"> PAGEREF _Toc17630 </w:instrText>
          </w:r>
          <w:r>
            <w:fldChar w:fldCharType="separate"/>
          </w:r>
          <w:r>
            <w:t>- 12 -</w:t>
          </w:r>
          <w:r>
            <w:fldChar w:fldCharType="end"/>
          </w:r>
          <w:r>
            <w:fldChar w:fldCharType="end"/>
          </w:r>
        </w:p>
        <w:p w14:paraId="685FC2C9">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_Toc18567 </w:instrText>
          </w:r>
          <w:r>
            <w:fldChar w:fldCharType="separate"/>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lang w:val="en-US" w:eastAsia="zh-CN"/>
            </w:rPr>
            <w:t>二</w:t>
          </w: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rPr>
            <w:t>支出预算情况</w:t>
          </w:r>
          <w:r>
            <w:tab/>
          </w:r>
          <w:r>
            <w:fldChar w:fldCharType="begin"/>
          </w:r>
          <w:r>
            <w:instrText xml:space="preserve"> PAGEREF _Toc18567 </w:instrText>
          </w:r>
          <w:r>
            <w:fldChar w:fldCharType="separate"/>
          </w:r>
          <w:r>
            <w:t>- 12 -</w:t>
          </w:r>
          <w:r>
            <w:fldChar w:fldCharType="end"/>
          </w:r>
          <w:r>
            <w:fldChar w:fldCharType="end"/>
          </w:r>
        </w:p>
        <w:p w14:paraId="5C58C10A">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_Toc16642 </w:instrText>
          </w:r>
          <w:r>
            <w:rPr>
              <w:b/>
            </w:rPr>
            <w:fldChar w:fldCharType="separate"/>
          </w:r>
          <w:r>
            <w:rPr>
              <w:rFonts w:hint="eastAsia" w:ascii="黑体" w:hAnsi="黑体" w:eastAsia="黑体" w:cs="黑体"/>
              <w:b/>
              <w:szCs w:val="32"/>
            </w:rPr>
            <w:t>九、国有资本经营预算支出情况说明</w:t>
          </w:r>
          <w:r>
            <w:rPr>
              <w:b/>
            </w:rPr>
            <w:tab/>
          </w:r>
          <w:r>
            <w:rPr>
              <w:b/>
            </w:rPr>
            <w:fldChar w:fldCharType="begin"/>
          </w:r>
          <w:r>
            <w:rPr>
              <w:b/>
            </w:rPr>
            <w:instrText xml:space="preserve"> PAGEREF _Toc16642 </w:instrText>
          </w:r>
          <w:r>
            <w:rPr>
              <w:b/>
            </w:rPr>
            <w:fldChar w:fldCharType="separate"/>
          </w:r>
          <w:r>
            <w:rPr>
              <w:b/>
            </w:rPr>
            <w:t>- 12 -</w:t>
          </w:r>
          <w:r>
            <w:rPr>
              <w:b/>
            </w:rPr>
            <w:fldChar w:fldCharType="end"/>
          </w:r>
          <w:r>
            <w:rPr>
              <w:b/>
            </w:rPr>
            <w:fldChar w:fldCharType="end"/>
          </w:r>
        </w:p>
        <w:p w14:paraId="001365B6">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_Toc29597 </w:instrText>
          </w:r>
          <w:r>
            <w:rPr>
              <w:b/>
            </w:rPr>
            <w:fldChar w:fldCharType="separate"/>
          </w:r>
          <w:r>
            <w:rPr>
              <w:rFonts w:hint="eastAsia" w:ascii="黑体" w:hAnsi="黑体" w:eastAsia="黑体" w:cs="黑体"/>
              <w:b/>
              <w:szCs w:val="32"/>
            </w:rPr>
            <w:t>十、其他重要事项的情况说明</w:t>
          </w:r>
          <w:r>
            <w:rPr>
              <w:b/>
            </w:rPr>
            <w:tab/>
          </w:r>
          <w:r>
            <w:rPr>
              <w:b/>
            </w:rPr>
            <w:fldChar w:fldCharType="begin"/>
          </w:r>
          <w:r>
            <w:rPr>
              <w:b/>
            </w:rPr>
            <w:instrText xml:space="preserve"> PAGEREF _Toc29597 </w:instrText>
          </w:r>
          <w:r>
            <w:rPr>
              <w:b/>
            </w:rPr>
            <w:fldChar w:fldCharType="separate"/>
          </w:r>
          <w:r>
            <w:rPr>
              <w:b/>
            </w:rPr>
            <w:t>- 12 -</w:t>
          </w:r>
          <w:r>
            <w:rPr>
              <w:b/>
            </w:rPr>
            <w:fldChar w:fldCharType="end"/>
          </w:r>
          <w:r>
            <w:rPr>
              <w:b/>
            </w:rPr>
            <w:fldChar w:fldCharType="end"/>
          </w:r>
        </w:p>
        <w:p w14:paraId="00AE156A">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_Toc21594 </w:instrText>
          </w:r>
          <w:r>
            <w:fldChar w:fldCharType="separate"/>
          </w:r>
          <w:r>
            <w:rPr>
              <w:rFonts w:hint="eastAsia" w:ascii="楷体_GB2312" w:hAnsi="楷体_GB2312" w:eastAsia="楷体_GB2312" w:cs="楷体_GB2312"/>
              <w:bCs/>
              <w:szCs w:val="32"/>
            </w:rPr>
            <w:t>（一）机关运行经费</w:t>
          </w:r>
          <w:r>
            <w:tab/>
          </w:r>
          <w:r>
            <w:fldChar w:fldCharType="begin"/>
          </w:r>
          <w:r>
            <w:instrText xml:space="preserve"> PAGEREF _Toc21594 </w:instrText>
          </w:r>
          <w:r>
            <w:fldChar w:fldCharType="separate"/>
          </w:r>
          <w:r>
            <w:t>- 12 -</w:t>
          </w:r>
          <w:r>
            <w:fldChar w:fldCharType="end"/>
          </w:r>
          <w:r>
            <w:fldChar w:fldCharType="end"/>
          </w:r>
        </w:p>
        <w:p w14:paraId="6FE170A7">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_Toc8810 </w:instrText>
          </w:r>
          <w:r>
            <w:fldChar w:fldCharType="separate"/>
          </w:r>
          <w:r>
            <w:rPr>
              <w:rFonts w:hint="eastAsia" w:ascii="楷体_GB2312" w:hAnsi="楷体_GB2312" w:eastAsia="楷体_GB2312" w:cs="楷体_GB2312"/>
              <w:bCs/>
              <w:strike w:val="0"/>
              <w:dstrike w:val="0"/>
              <w:szCs w:val="32"/>
            </w:rPr>
            <w:t>（二）政府采购情况</w:t>
          </w:r>
          <w:r>
            <w:tab/>
          </w:r>
          <w:r>
            <w:fldChar w:fldCharType="begin"/>
          </w:r>
          <w:r>
            <w:instrText xml:space="preserve"> PAGEREF _Toc8810 </w:instrText>
          </w:r>
          <w:r>
            <w:fldChar w:fldCharType="separate"/>
          </w:r>
          <w:r>
            <w:t>- 13 -</w:t>
          </w:r>
          <w:r>
            <w:fldChar w:fldCharType="end"/>
          </w:r>
          <w:r>
            <w:fldChar w:fldCharType="end"/>
          </w:r>
        </w:p>
        <w:p w14:paraId="1B8ECC23">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_Toc6549 </w:instrText>
          </w:r>
          <w:r>
            <w:fldChar w:fldCharType="separate"/>
          </w:r>
          <w:r>
            <w:rPr>
              <w:rFonts w:hint="eastAsia" w:ascii="楷体_GB2312" w:hAnsi="楷体_GB2312" w:eastAsia="楷体_GB2312" w:cs="楷体_GB2312"/>
              <w:bCs/>
              <w:szCs w:val="32"/>
            </w:rPr>
            <w:t>（三）国有资产占有使用情况</w:t>
          </w:r>
          <w:r>
            <w:tab/>
          </w:r>
          <w:r>
            <w:fldChar w:fldCharType="begin"/>
          </w:r>
          <w:r>
            <w:instrText xml:space="preserve"> PAGEREF _Toc6549 </w:instrText>
          </w:r>
          <w:r>
            <w:fldChar w:fldCharType="separate"/>
          </w:r>
          <w:r>
            <w:t>- 13 -</w:t>
          </w:r>
          <w:r>
            <w:fldChar w:fldCharType="end"/>
          </w:r>
          <w:r>
            <w:fldChar w:fldCharType="end"/>
          </w:r>
        </w:p>
        <w:p w14:paraId="316BE427">
          <w:pPr>
            <w:pStyle w:val="29"/>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pPr>
          <w:r>
            <w:fldChar w:fldCharType="begin"/>
          </w:r>
          <w:r>
            <w:instrText xml:space="preserve"> HYPERLINK \l _Toc14704 </w:instrText>
          </w:r>
          <w:r>
            <w:fldChar w:fldCharType="separate"/>
          </w:r>
          <w:r>
            <w:rPr>
              <w:rFonts w:hint="eastAsia" w:ascii="楷体_GB2312" w:hAnsi="楷体_GB2312" w:eastAsia="楷体_GB2312" w:cs="楷体_GB2312"/>
              <w:bCs/>
              <w:szCs w:val="32"/>
            </w:rPr>
            <w:t>（四）绩效目标设置情况</w:t>
          </w:r>
          <w:r>
            <w:tab/>
          </w:r>
          <w:r>
            <w:fldChar w:fldCharType="begin"/>
          </w:r>
          <w:r>
            <w:instrText xml:space="preserve"> PAGEREF _Toc14704 </w:instrText>
          </w:r>
          <w:r>
            <w:fldChar w:fldCharType="separate"/>
          </w:r>
          <w:r>
            <w:t>- 13 -</w:t>
          </w:r>
          <w:r>
            <w:fldChar w:fldCharType="end"/>
          </w:r>
          <w:r>
            <w:fldChar w:fldCharType="end"/>
          </w:r>
        </w:p>
        <w:p w14:paraId="1300F161">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_Toc3448 </w:instrText>
          </w:r>
          <w:r>
            <w:rPr>
              <w:b/>
            </w:rPr>
            <w:fldChar w:fldCharType="separate"/>
          </w:r>
          <w:r>
            <w:rPr>
              <w:rFonts w:hint="eastAsia" w:ascii="黑体" w:hAnsi="黑体" w:eastAsia="黑体" w:cs="黑体"/>
              <w:b/>
              <w:szCs w:val="32"/>
            </w:rPr>
            <w:t>十、 名词解释</w:t>
          </w:r>
          <w:r>
            <w:rPr>
              <w:b/>
            </w:rPr>
            <w:tab/>
          </w:r>
          <w:r>
            <w:rPr>
              <w:b/>
            </w:rPr>
            <w:fldChar w:fldCharType="begin"/>
          </w:r>
          <w:r>
            <w:rPr>
              <w:b/>
            </w:rPr>
            <w:instrText xml:space="preserve"> PAGEREF _Toc3448 </w:instrText>
          </w:r>
          <w:r>
            <w:rPr>
              <w:b/>
            </w:rPr>
            <w:fldChar w:fldCharType="separate"/>
          </w:r>
          <w:r>
            <w:rPr>
              <w:b/>
            </w:rPr>
            <w:t>- 13 -</w:t>
          </w:r>
          <w:r>
            <w:rPr>
              <w:b/>
            </w:rPr>
            <w:fldChar w:fldCharType="end"/>
          </w:r>
          <w:r>
            <w:rPr>
              <w:b/>
            </w:rPr>
            <w:fldChar w:fldCharType="end"/>
          </w:r>
        </w:p>
        <w:p w14:paraId="008E341F">
          <w:pPr>
            <w:pStyle w:val="28"/>
            <w:keepNext w:val="0"/>
            <w:keepLines w:val="0"/>
            <w:pageBreakBefore w:val="0"/>
            <w:tabs>
              <w:tab w:val="right" w:leader="dot" w:pos="8844"/>
            </w:tabs>
            <w:kinsoku/>
            <w:wordWrap/>
            <w:overflowPunct/>
            <w:topLinePunct w:val="0"/>
            <w:autoSpaceDE/>
            <w:autoSpaceDN/>
            <w:bidi w:val="0"/>
            <w:adjustRightInd/>
            <w:snapToGrid/>
            <w:spacing w:line="480" w:lineRule="exact"/>
            <w:textAlignment w:val="auto"/>
            <w:rPr>
              <w:b/>
            </w:rPr>
          </w:pPr>
          <w:r>
            <w:rPr>
              <w:b/>
            </w:rPr>
            <w:fldChar w:fldCharType="begin"/>
          </w:r>
          <w:r>
            <w:rPr>
              <w:b/>
            </w:rPr>
            <w:instrText xml:space="preserve"> HYPERLINK \l _Toc27526 </w:instrText>
          </w:r>
          <w:r>
            <w:rPr>
              <w:b/>
            </w:rPr>
            <w:fldChar w:fldCharType="separate"/>
          </w:r>
          <w:r>
            <w:rPr>
              <w:rFonts w:hint="eastAsia" w:ascii="黑体" w:hAnsi="黑体" w:eastAsia="黑体" w:cs="黑体"/>
              <w:b/>
              <w:szCs w:val="32"/>
            </w:rPr>
            <w:t>附件：</w:t>
          </w:r>
          <w:r>
            <w:rPr>
              <w:b/>
            </w:rPr>
            <w:tab/>
          </w:r>
          <w:r>
            <w:rPr>
              <w:b/>
            </w:rPr>
            <w:fldChar w:fldCharType="begin"/>
          </w:r>
          <w:r>
            <w:rPr>
              <w:b/>
            </w:rPr>
            <w:instrText xml:space="preserve"> PAGEREF _Toc27526 </w:instrText>
          </w:r>
          <w:r>
            <w:rPr>
              <w:b/>
            </w:rPr>
            <w:fldChar w:fldCharType="separate"/>
          </w:r>
          <w:r>
            <w:rPr>
              <w:b/>
            </w:rPr>
            <w:t>- 17 -</w:t>
          </w:r>
          <w:r>
            <w:rPr>
              <w:b/>
            </w:rPr>
            <w:fldChar w:fldCharType="end"/>
          </w:r>
          <w:r>
            <w:rPr>
              <w:b/>
            </w:rPr>
            <w:fldChar w:fldCharType="end"/>
          </w:r>
        </w:p>
        <w:p w14:paraId="657078BA">
          <w:pPr>
            <w:keepNext w:val="0"/>
            <w:keepLines w:val="0"/>
            <w:pageBreakBefore w:val="0"/>
            <w:kinsoku/>
            <w:wordWrap/>
            <w:overflowPunct/>
            <w:topLinePunct w:val="0"/>
            <w:autoSpaceDE/>
            <w:autoSpaceDN/>
            <w:bidi w:val="0"/>
            <w:adjustRightInd/>
            <w:snapToGrid/>
            <w:spacing w:line="480" w:lineRule="exact"/>
            <w:textAlignment w:val="auto"/>
          </w:pPr>
          <w:r>
            <w:rPr>
              <w:b/>
            </w:rPr>
            <w:fldChar w:fldCharType="end"/>
          </w:r>
        </w:p>
      </w:sdtContent>
    </w:sdt>
    <w:p w14:paraId="34752F26">
      <w:pPr>
        <w:pStyle w:val="2"/>
        <w:pageBreakBefore w:val="0"/>
        <w:kinsoku/>
        <w:wordWrap/>
        <w:overflowPunct/>
        <w:topLinePunct w:val="0"/>
        <w:autoSpaceDE/>
        <w:autoSpaceDN/>
        <w:bidi w:val="0"/>
        <w:adjustRightInd/>
        <w:snapToGrid/>
        <w:spacing w:line="480" w:lineRule="exact"/>
        <w:ind w:firstLine="643" w:firstLineChars="200"/>
        <w:textAlignment w:val="auto"/>
        <w:outlineLvl w:val="0"/>
        <w:rPr>
          <w:rFonts w:hint="eastAsia" w:ascii="黑体" w:hAnsi="黑体" w:eastAsia="黑体" w:cs="黑体"/>
          <w:color w:val="auto"/>
          <w:sz w:val="32"/>
          <w:szCs w:val="32"/>
        </w:rPr>
      </w:pPr>
      <w:bookmarkStart w:id="13" w:name="_Toc4009"/>
      <w:r>
        <w:rPr>
          <w:rFonts w:hint="eastAsia" w:ascii="黑体" w:hAnsi="黑体" w:eastAsia="黑体" w:cs="黑体"/>
          <w:color w:val="auto"/>
          <w:sz w:val="32"/>
          <w:szCs w:val="32"/>
        </w:rPr>
        <w:t>一、基本职能及主要工作</w:t>
      </w:r>
      <w:bookmarkEnd w:id="13"/>
    </w:p>
    <w:p w14:paraId="19C6B80E">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（一）机构设置及主要职责</w:t>
      </w:r>
    </w:p>
    <w:p w14:paraId="1B2184F7">
      <w:pPr>
        <w:keepNext w:val="0"/>
        <w:keepLines w:val="0"/>
        <w:pageBreakBefore w:val="0"/>
        <w:widowControl w:val="0"/>
        <w:suppressLineNumbers w:val="0"/>
        <w:kinsoku/>
        <w:wordWrap/>
        <w:overflowPunct/>
        <w:topLinePunct w:val="0"/>
        <w:bidi w:val="0"/>
        <w:spacing w:line="560" w:lineRule="exact"/>
        <w:ind w:firstLine="620" w:firstLineChars="200"/>
        <w:jc w:val="both"/>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中共四川罗江经济开发区工作委员会（以下简称罗江经开区党工委）、四川罗江经济开发区</w:t>
      </w:r>
      <w:r>
        <w:rPr>
          <w:rFonts w:hint="eastAsia" w:ascii="仿宋_GB2312" w:hAnsi="仿宋_GB2312" w:eastAsia="仿宋_GB2312" w:cs="仿宋_GB2312"/>
          <w:color w:val="auto"/>
          <w:kern w:val="0"/>
          <w:sz w:val="31"/>
          <w:szCs w:val="31"/>
          <w:lang w:val="en-US" w:eastAsia="zh-CN" w:bidi="ar"/>
        </w:rPr>
        <w:t>管理委员会</w:t>
      </w:r>
      <w:r>
        <w:rPr>
          <w:rFonts w:ascii="仿宋_GB2312" w:hAnsi="仿宋_GB2312" w:eastAsia="仿宋_GB2312" w:cs="仿宋_GB2312"/>
          <w:color w:val="auto"/>
          <w:kern w:val="0"/>
          <w:sz w:val="31"/>
          <w:szCs w:val="31"/>
          <w:lang w:val="en-US" w:eastAsia="zh-CN" w:bidi="ar"/>
        </w:rPr>
        <w:t>（以下简称罗江经开区管委会）是罗江区委、区政府的派出机构，机构规格为副处级。党工委与管委会合署办公。罗江经开区党工委（管委会）设下列内设机构</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党群工作部</w:t>
      </w:r>
      <w:r>
        <w:rPr>
          <w:rFonts w:hint="eastAsia" w:ascii="仿宋_GB2312" w:hAnsi="仿宋_GB2312" w:eastAsia="仿宋_GB2312" w:cs="仿宋_GB2312"/>
          <w:color w:val="auto"/>
          <w:kern w:val="0"/>
          <w:sz w:val="31"/>
          <w:szCs w:val="31"/>
          <w:lang w:val="en-US" w:eastAsia="zh-CN" w:bidi="ar"/>
        </w:rPr>
        <w:t>、财税金融</w:t>
      </w:r>
      <w:r>
        <w:rPr>
          <w:rFonts w:ascii="仿宋_GB2312" w:hAnsi="仿宋_GB2312" w:eastAsia="仿宋_GB2312" w:cs="仿宋_GB2312"/>
          <w:color w:val="auto"/>
          <w:kern w:val="0"/>
          <w:sz w:val="31"/>
          <w:szCs w:val="31"/>
          <w:lang w:val="en-US" w:eastAsia="zh-CN" w:bidi="ar"/>
        </w:rPr>
        <w:t>部</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规划建设部、企业</w:t>
      </w:r>
      <w:r>
        <w:rPr>
          <w:rFonts w:hint="eastAsia" w:ascii="仿宋_GB2312" w:hAnsi="仿宋_GB2312" w:eastAsia="仿宋_GB2312" w:cs="仿宋_GB2312"/>
          <w:color w:val="auto"/>
          <w:kern w:val="0"/>
          <w:sz w:val="31"/>
          <w:szCs w:val="31"/>
          <w:lang w:val="en-US" w:eastAsia="zh-CN" w:bidi="ar"/>
        </w:rPr>
        <w:t>发展</w:t>
      </w:r>
      <w:r>
        <w:rPr>
          <w:rFonts w:ascii="仿宋_GB2312" w:hAnsi="仿宋_GB2312" w:eastAsia="仿宋_GB2312" w:cs="仿宋_GB2312"/>
          <w:color w:val="auto"/>
          <w:kern w:val="0"/>
          <w:sz w:val="31"/>
          <w:szCs w:val="31"/>
          <w:lang w:val="en-US" w:eastAsia="zh-CN" w:bidi="ar"/>
        </w:rPr>
        <w:t>部、</w:t>
      </w:r>
      <w:r>
        <w:rPr>
          <w:rFonts w:hint="eastAsia" w:ascii="仿宋_GB2312" w:hAnsi="仿宋_GB2312" w:eastAsia="仿宋_GB2312" w:cs="仿宋_GB2312"/>
          <w:color w:val="auto"/>
          <w:kern w:val="0"/>
          <w:sz w:val="31"/>
          <w:szCs w:val="31"/>
          <w:lang w:val="en-US" w:eastAsia="zh-CN" w:bidi="ar"/>
        </w:rPr>
        <w:t>科技投促部</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社会事务</w:t>
      </w:r>
      <w:r>
        <w:rPr>
          <w:rFonts w:ascii="仿宋_GB2312" w:hAnsi="仿宋_GB2312" w:eastAsia="仿宋_GB2312" w:cs="仿宋_GB2312"/>
          <w:color w:val="auto"/>
          <w:kern w:val="0"/>
          <w:sz w:val="31"/>
          <w:szCs w:val="31"/>
          <w:lang w:val="en-US" w:eastAsia="zh-CN" w:bidi="ar"/>
        </w:rPr>
        <w:t>部、</w:t>
      </w:r>
      <w:r>
        <w:rPr>
          <w:rFonts w:hint="eastAsia" w:ascii="仿宋_GB2312" w:hAnsi="仿宋_GB2312" w:eastAsia="仿宋_GB2312" w:cs="仿宋_GB2312"/>
          <w:color w:val="auto"/>
          <w:kern w:val="0"/>
          <w:sz w:val="31"/>
          <w:szCs w:val="31"/>
          <w:lang w:val="en-US" w:eastAsia="zh-CN" w:bidi="ar"/>
        </w:rPr>
        <w:t>政策研究</w:t>
      </w:r>
      <w:r>
        <w:rPr>
          <w:rFonts w:ascii="仿宋_GB2312" w:hAnsi="仿宋_GB2312" w:eastAsia="仿宋_GB2312" w:cs="仿宋_GB2312"/>
          <w:color w:val="auto"/>
          <w:kern w:val="0"/>
          <w:sz w:val="31"/>
          <w:szCs w:val="31"/>
          <w:lang w:val="en-US" w:eastAsia="zh-CN" w:bidi="ar"/>
        </w:rPr>
        <w:t>部</w:t>
      </w:r>
      <w:r>
        <w:rPr>
          <w:rFonts w:hint="eastAsia" w:ascii="仿宋_GB2312" w:hAnsi="仿宋_GB2312" w:eastAsia="仿宋_GB2312" w:cs="仿宋_GB2312"/>
          <w:color w:val="auto"/>
          <w:kern w:val="0"/>
          <w:sz w:val="31"/>
          <w:szCs w:val="31"/>
          <w:lang w:val="en-US" w:eastAsia="zh-CN" w:bidi="ar"/>
        </w:rPr>
        <w:t>。</w:t>
      </w:r>
    </w:p>
    <w:p w14:paraId="4879E33C">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zh-CN"/>
        </w:rPr>
        <w:t>经开区职能主要是：</w:t>
      </w:r>
      <w:r>
        <w:rPr>
          <w:rFonts w:hint="eastAsia" w:ascii="仿宋_GB2312" w:hAnsi="仿宋_GB2312" w:eastAsia="仿宋_GB2312"/>
          <w:color w:val="auto"/>
          <w:sz w:val="32"/>
          <w:szCs w:val="32"/>
        </w:rPr>
        <w:t>（一）贯彻执行党的路线方针政策和区委决议、决定、指示、工作部署；负责罗江经开区党的建设、领导班子建设、宣传、精神文明建设、统战和群团工作。（二）贯彻落实国家法律法规，负责罗江经开区经济发展规划、产业发展规划、科技发展规划并组织实施。（三）负责罗江经开区人才的引进、管理和使用。（四）负责罗江经开区产业政策的制订、投资促进等工作；承担罗江经开区经信、统计、商务、科技创新工作，指导入园企业开展技术改造工作（五）负责协调园区内发展改革和经济运行中的重大问题并提出政策建议；建立园区内经济运行评价体系，监测、分析经济运行态势和质量，建立园区内工业经济运行预警机制。（六）负责罗江经开区企业服务工作。（七）负责罗江经开区范围内的节能减排、住房建设、园区规划、国土资源、交通以及供水（电、气）、通信等公共设施的建设和管理等工作，参与实施相关的征地拆迁和项目对接等工作。（八）负责罗江经开区财政事务，依法组织财政收支，负责罗江经开区国有资产的管理。协助相关职能部门开展财税征收管理工作。（九）负责罗江经开区军民融合产业园建设的相关工作开展和配套设施建设，推进军民融合产业发展。（十）负责罗江经开区范围内的安全生产和职业健康、生态环境保护、审批服务便民化等工作。（十一）完成罗江区委、区政府交办的其他任务。</w:t>
      </w:r>
    </w:p>
    <w:p w14:paraId="5BF22712">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5" w:firstLineChars="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20</w:t>
      </w:r>
      <w:r>
        <w:rPr>
          <w:rFonts w:hint="eastAsia" w:ascii="楷体_GB2312" w:hAnsi="楷体_GB2312" w:eastAsia="楷体_GB2312" w:cs="楷体_GB2312"/>
          <w:b/>
          <w:bCs/>
          <w:color w:val="auto"/>
          <w:sz w:val="32"/>
          <w:szCs w:val="32"/>
          <w:lang w:val="en-US" w:eastAsia="zh-CN"/>
        </w:rPr>
        <w:t>25</w:t>
      </w:r>
      <w:r>
        <w:rPr>
          <w:rFonts w:hint="eastAsia" w:ascii="楷体_GB2312" w:hAnsi="楷体_GB2312" w:eastAsia="楷体_GB2312" w:cs="楷体_GB2312"/>
          <w:b/>
          <w:bCs/>
          <w:color w:val="auto"/>
          <w:sz w:val="32"/>
          <w:szCs w:val="32"/>
        </w:rPr>
        <w:t>年重点工作</w:t>
      </w:r>
    </w:p>
    <w:p w14:paraId="5A1981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bookmarkStart w:id="14" w:name="_Toc6856"/>
      <w:r>
        <w:rPr>
          <w:rFonts w:hint="default" w:ascii="Times New Roman" w:hAnsi="Times New Roman" w:eastAsia="楷体_GB2312" w:cs="Times New Roman"/>
          <w:b w:val="0"/>
          <w:bCs/>
          <w:sz w:val="32"/>
          <w:szCs w:val="32"/>
          <w:lang w:val="en-US" w:eastAsia="zh-CN"/>
        </w:rPr>
        <w:t>（一）</w:t>
      </w:r>
      <w:r>
        <w:rPr>
          <w:rFonts w:hint="eastAsia" w:ascii="Times New Roman" w:hAnsi="Times New Roman" w:eastAsia="楷体_GB2312" w:cs="Times New Roman"/>
          <w:b w:val="0"/>
          <w:bCs/>
          <w:sz w:val="32"/>
          <w:szCs w:val="32"/>
          <w:lang w:val="en-US" w:eastAsia="zh-CN"/>
        </w:rPr>
        <w:t>加快</w:t>
      </w:r>
      <w:r>
        <w:rPr>
          <w:rFonts w:hint="default" w:ascii="Times New Roman" w:hAnsi="Times New Roman" w:eastAsia="楷体_GB2312" w:cs="Times New Roman"/>
          <w:b w:val="0"/>
          <w:bCs/>
          <w:sz w:val="32"/>
          <w:szCs w:val="32"/>
          <w:lang w:val="en-US" w:eastAsia="zh-CN"/>
        </w:rPr>
        <w:t>项目建设，夯实经济发展基础。</w:t>
      </w:r>
      <w:r>
        <w:rPr>
          <w:rFonts w:hint="eastAsia" w:ascii="Times New Roman" w:hAnsi="Times New Roman" w:eastAsia="仿宋_GB2312" w:cs="Times New Roman"/>
          <w:sz w:val="32"/>
          <w:szCs w:val="32"/>
          <w:lang w:val="en-US" w:eastAsia="zh-CN"/>
        </w:rPr>
        <w:t>加强项目谋划储备，扎实抓好总投资9.6亿元的14个重点项目建设，全力</w:t>
      </w:r>
      <w:r>
        <w:rPr>
          <w:rFonts w:hint="default" w:ascii="Times New Roman" w:hAnsi="Times New Roman" w:eastAsia="仿宋_GB2312" w:cs="Times New Roman"/>
          <w:sz w:val="32"/>
          <w:szCs w:val="32"/>
          <w:lang w:val="en-US" w:eastAsia="zh-CN"/>
        </w:rPr>
        <w:t>推动西部光电材料产业园等11个项目建成投产，加快德阳平急两用农业科技示范园等32个项目建设，努力形成更多实物工作量，着力形成有效支撑。</w:t>
      </w:r>
    </w:p>
    <w:p w14:paraId="17DB59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sz w:val="32"/>
          <w:szCs w:val="32"/>
          <w:lang w:val="en-US" w:eastAsia="zh-CN"/>
        </w:rPr>
        <w:t>（二）强化精准调度，推动经济稳中有进。</w:t>
      </w:r>
      <w:r>
        <w:rPr>
          <w:rFonts w:hint="eastAsia" w:ascii="Times New Roman" w:hAnsi="Times New Roman" w:eastAsia="仿宋_GB2312" w:cs="Times New Roman"/>
          <w:sz w:val="32"/>
          <w:szCs w:val="32"/>
          <w:lang w:val="en-US" w:eastAsia="zh-CN"/>
        </w:rPr>
        <w:t>坚持“周监测、月调度、季盘点”，提高数据质量，统税比持续保持在2.0以下，全力推动经济持续向好发展。力争规上工业产值突破500亿元，入库项目13个、完成固投45亿元。</w:t>
      </w:r>
    </w:p>
    <w:p w14:paraId="4B085A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bCs/>
          <w:kern w:val="2"/>
          <w:sz w:val="36"/>
          <w:szCs w:val="36"/>
          <w:lang w:val="en-US" w:eastAsia="zh-CN" w:bidi="ar-SA"/>
        </w:rPr>
      </w:pP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楷体_GB2312" w:cs="Times New Roman"/>
          <w:b w:val="0"/>
          <w:bCs/>
          <w:sz w:val="32"/>
          <w:szCs w:val="32"/>
          <w:lang w:val="en-US" w:eastAsia="zh-CN"/>
        </w:rPr>
        <w:t>三</w:t>
      </w: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楷体_GB2312" w:cs="Times New Roman"/>
          <w:b w:val="0"/>
          <w:bCs/>
          <w:sz w:val="32"/>
          <w:szCs w:val="32"/>
          <w:lang w:val="en-US" w:eastAsia="zh-CN"/>
        </w:rPr>
        <w:t>全</w:t>
      </w:r>
      <w:r>
        <w:rPr>
          <w:rFonts w:hint="default" w:ascii="Times New Roman" w:hAnsi="Times New Roman" w:eastAsia="楷体_GB2312" w:cs="Times New Roman"/>
          <w:b w:val="0"/>
          <w:bCs/>
          <w:sz w:val="32"/>
          <w:szCs w:val="32"/>
          <w:lang w:val="en-US" w:eastAsia="zh-CN"/>
        </w:rPr>
        <w:t>力招商引资，巩固产业集聚态势。</w:t>
      </w:r>
      <w:r>
        <w:rPr>
          <w:rFonts w:hint="default" w:ascii="Times New Roman" w:hAnsi="Times New Roman" w:eastAsia="仿宋_GB2312" w:cs="Times New Roman"/>
          <w:sz w:val="32"/>
          <w:szCs w:val="32"/>
          <w:lang w:val="en-US" w:eastAsia="zh-CN"/>
        </w:rPr>
        <w:t>与区产促中心通力配合，细化以商招商、市场招商、中介招商、存量招商工作举措，深化与成华区、安州区招商合作，优化健全组织运行机制、协调联动机制、项目促进机制和落地服务机制，</w:t>
      </w:r>
      <w:r>
        <w:rPr>
          <w:rFonts w:hint="eastAsia" w:ascii="Times New Roman" w:hAnsi="Times New Roman" w:eastAsia="仿宋_GB2312" w:cs="Times New Roman"/>
          <w:sz w:val="32"/>
          <w:szCs w:val="32"/>
          <w:lang w:val="en-US" w:eastAsia="zh-CN"/>
        </w:rPr>
        <w:t>力争</w:t>
      </w:r>
      <w:r>
        <w:rPr>
          <w:rFonts w:hint="default" w:ascii="Times New Roman" w:hAnsi="Times New Roman" w:eastAsia="仿宋_GB2312" w:cs="Times New Roman"/>
          <w:sz w:val="32"/>
          <w:szCs w:val="32"/>
          <w:lang w:val="en-US" w:eastAsia="zh-CN"/>
        </w:rPr>
        <w:t>引进主导产业链上的新项目10个以上，其中：50亿元以上项目1个、30亿元以上项目3个</w:t>
      </w:r>
      <w:r>
        <w:rPr>
          <w:rFonts w:hint="eastAsia" w:ascii="Times New Roman" w:hAnsi="Times New Roman" w:eastAsia="仿宋_GB2312" w:cs="Times New Roman"/>
          <w:sz w:val="32"/>
          <w:szCs w:val="32"/>
          <w:lang w:val="en-US" w:eastAsia="zh-CN"/>
        </w:rPr>
        <w:t>，1-5亿元项目4个</w:t>
      </w:r>
      <w:r>
        <w:rPr>
          <w:rFonts w:hint="default" w:ascii="Times New Roman" w:hAnsi="Times New Roman" w:eastAsia="仿宋_GB2312" w:cs="Times New Roman"/>
          <w:sz w:val="32"/>
          <w:szCs w:val="32"/>
          <w:lang w:val="en-US" w:eastAsia="zh-CN"/>
        </w:rPr>
        <w:t>。</w:t>
      </w:r>
    </w:p>
    <w:p w14:paraId="1AC5C6D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楷体_GB2312" w:cs="Times New Roman"/>
          <w:b w:val="0"/>
          <w:bCs/>
          <w:sz w:val="32"/>
          <w:szCs w:val="32"/>
          <w:lang w:val="en-US" w:eastAsia="zh-CN"/>
        </w:rPr>
        <w:t>四</w:t>
      </w:r>
      <w:r>
        <w:rPr>
          <w:rFonts w:hint="default" w:ascii="Times New Roman" w:hAnsi="Times New Roman" w:eastAsia="楷体_GB2312" w:cs="Times New Roman"/>
          <w:b w:val="0"/>
          <w:bCs/>
          <w:sz w:val="32"/>
          <w:szCs w:val="32"/>
          <w:lang w:val="en-US" w:eastAsia="zh-CN"/>
        </w:rPr>
        <w:t>）大力创新培育，提升核心产业质效。</w:t>
      </w:r>
      <w:r>
        <w:rPr>
          <w:rFonts w:hint="default" w:ascii="Times New Roman" w:hAnsi="Times New Roman" w:eastAsia="仿宋_GB2312" w:cs="Times New Roman"/>
          <w:sz w:val="32"/>
          <w:szCs w:val="32"/>
          <w:lang w:val="en-US" w:eastAsia="zh-CN"/>
        </w:rPr>
        <w:t>深入实施“蓝鲸倍增”“升规入统”行动，及时协调解决企业发展中</w:t>
      </w:r>
      <w:r>
        <w:rPr>
          <w:rFonts w:hint="eastAsia" w:ascii="Times New Roman" w:hAnsi="Times New Roman" w:eastAsia="仿宋_GB2312" w:cs="Times New Roman"/>
          <w:sz w:val="32"/>
          <w:szCs w:val="32"/>
          <w:lang w:val="en-US" w:eastAsia="zh-CN"/>
        </w:rPr>
        <w:t>遇到</w:t>
      </w:r>
      <w:r>
        <w:rPr>
          <w:rFonts w:hint="default" w:ascii="Times New Roman" w:hAnsi="Times New Roman" w:eastAsia="仿宋_GB2312" w:cs="Times New Roman"/>
          <w:sz w:val="32"/>
          <w:szCs w:val="32"/>
          <w:lang w:val="en-US" w:eastAsia="zh-CN"/>
        </w:rPr>
        <w:t>的困难和问题，全力推动西部光电材料产业园、汉江新材料等企业突破发展，</w:t>
      </w:r>
      <w:r>
        <w:rPr>
          <w:rFonts w:hint="eastAsia" w:ascii="Times New Roman" w:hAnsi="Times New Roman" w:eastAsia="仿宋_GB2312" w:cs="Times New Roman"/>
          <w:sz w:val="32"/>
          <w:szCs w:val="32"/>
          <w:lang w:val="en-US" w:eastAsia="zh-CN"/>
        </w:rPr>
        <w:t>力争</w:t>
      </w:r>
      <w:r>
        <w:rPr>
          <w:rFonts w:hint="default" w:ascii="Times New Roman" w:hAnsi="Times New Roman" w:eastAsia="仿宋_GB2312" w:cs="Times New Roman"/>
          <w:sz w:val="32"/>
          <w:szCs w:val="32"/>
          <w:lang w:val="en-US" w:eastAsia="zh-CN"/>
        </w:rPr>
        <w:t>全年新培育规上工业企业15家，支持迪弗电工、纳涂科技等企业“登板上市”，支持企业“智改数转”和技改扩能，打造上川科技、泓炜门业</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智能工厂、数字化车间25个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推动形成优势集聚、融通发展的良好产业生态。</w:t>
      </w:r>
    </w:p>
    <w:p w14:paraId="0B105E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bCs/>
          <w:kern w:val="2"/>
          <w:sz w:val="36"/>
          <w:szCs w:val="36"/>
          <w:lang w:val="en-US" w:eastAsia="zh-CN" w:bidi="ar-SA"/>
        </w:rPr>
      </w:pP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楷体_GB2312" w:cs="Times New Roman"/>
          <w:b w:val="0"/>
          <w:bCs/>
          <w:sz w:val="32"/>
          <w:szCs w:val="32"/>
          <w:lang w:val="en-US" w:eastAsia="zh-CN"/>
        </w:rPr>
        <w:t>五</w:t>
      </w:r>
      <w:r>
        <w:rPr>
          <w:rFonts w:hint="default" w:ascii="Times New Roman" w:hAnsi="Times New Roman" w:eastAsia="楷体_GB2312" w:cs="Times New Roman"/>
          <w:b w:val="0"/>
          <w:bCs/>
          <w:sz w:val="32"/>
          <w:szCs w:val="32"/>
          <w:lang w:val="en-US" w:eastAsia="zh-CN"/>
        </w:rPr>
        <w:t>）聚力区域融合，搭建合作共赢阵地。</w:t>
      </w:r>
      <w:r>
        <w:rPr>
          <w:rFonts w:hint="default" w:ascii="Times New Roman" w:hAnsi="Times New Roman" w:eastAsia="仿宋_GB2312" w:cs="Times New Roman"/>
          <w:sz w:val="32"/>
          <w:szCs w:val="32"/>
          <w:lang w:val="en-US" w:eastAsia="zh-CN"/>
        </w:rPr>
        <w:t>全面启动“罗江·成华机器人产业合作园区”建设工作。有序推动标准厂房二期项目、园区基础设施、公共服务等配套设施项目建设，筑牢园区高质量发展要素保障基础，逐步</w:t>
      </w:r>
      <w:r>
        <w:rPr>
          <w:rFonts w:hint="eastAsia"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lang w:val="en-US" w:eastAsia="zh-CN"/>
        </w:rPr>
        <w:t>与成华区龙潭机器人工业园产业配套、链条互补、融合发展。加强与安州高新区互访交流，举办互访考察学习、创新创业大赛等活动，进一步促进两地企业深化合作。</w:t>
      </w:r>
    </w:p>
    <w:p w14:paraId="6E55006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楷体_GB2312" w:cs="Times New Roman"/>
          <w:b w:val="0"/>
          <w:bCs/>
          <w:sz w:val="32"/>
          <w:szCs w:val="32"/>
          <w:lang w:val="en-US" w:eastAsia="zh-CN"/>
        </w:rPr>
        <w:t>六</w:t>
      </w: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楷体_GB2312" w:cs="Times New Roman"/>
          <w:b w:val="0"/>
          <w:bCs/>
          <w:sz w:val="32"/>
          <w:szCs w:val="32"/>
          <w:lang w:val="en-US" w:eastAsia="zh-CN"/>
        </w:rPr>
        <w:t>全面</w:t>
      </w:r>
      <w:r>
        <w:rPr>
          <w:rFonts w:hint="default" w:ascii="Times New Roman" w:hAnsi="Times New Roman" w:eastAsia="楷体_GB2312" w:cs="Times New Roman"/>
          <w:b w:val="0"/>
          <w:bCs/>
          <w:sz w:val="32"/>
          <w:szCs w:val="32"/>
          <w:lang w:val="en-US" w:eastAsia="zh-CN"/>
        </w:rPr>
        <w:t>深化改革，推进服务提质增效。</w:t>
      </w:r>
      <w:r>
        <w:rPr>
          <w:rFonts w:hint="eastAsia" w:ascii="Times New Roman" w:hAnsi="Times New Roman" w:eastAsia="仿宋_GB2312" w:cs="Times New Roman"/>
          <w:sz w:val="32"/>
          <w:szCs w:val="32"/>
          <w:lang w:val="en-US" w:eastAsia="zh-CN"/>
        </w:rPr>
        <w:t>抢抓新一轮开发区目录调整机遇，进一步优化“一区两园”发展格局，探索经开区“去行政化”改革，着力理顺职责职能，优化组织架构，构建“管委会+公司”管理模式，完善考核评价体系，强化分配激励，充分激发干部职工干事创业内生动力。</w:t>
      </w:r>
      <w:r>
        <w:rPr>
          <w:rFonts w:hint="default" w:ascii="Times New Roman" w:hAnsi="Times New Roman" w:eastAsia="仿宋_GB2312" w:cs="Times New Roman"/>
          <w:sz w:val="32"/>
          <w:szCs w:val="32"/>
          <w:lang w:val="en-US" w:eastAsia="zh-CN"/>
        </w:rPr>
        <w:t>抓好人才、法律、金融、要素保障等政务服务增值化改革，以做实企业服务为抓手，持续完善5G+智慧园区数字化平台功能，落实优惠政策免申即享，推行“线上点单、上门服务”政务服务新模式，构建园区内“资源共享”生态圈</w:t>
      </w:r>
      <w:r>
        <w:rPr>
          <w:rFonts w:hint="eastAsia" w:ascii="Times New Roman" w:hAnsi="Times New Roman" w:eastAsia="仿宋_GB2312" w:cs="Times New Roman"/>
          <w:sz w:val="32"/>
          <w:szCs w:val="32"/>
          <w:lang w:val="en-US" w:eastAsia="zh-CN"/>
        </w:rPr>
        <w:t>。严格落实《国务院办公厅关于严格规范涉企行政检查的意见》，建立园区企业分级分类检查管理制度，合理优化行政检查方式，最大限度减少入企检查频次，切实减轻企业负担，</w:t>
      </w:r>
      <w:r>
        <w:rPr>
          <w:rFonts w:hint="default" w:ascii="Times New Roman" w:hAnsi="Times New Roman" w:eastAsia="仿宋_GB2312" w:cs="Times New Roman"/>
          <w:sz w:val="32"/>
          <w:szCs w:val="32"/>
          <w:lang w:val="en-US" w:eastAsia="zh-CN"/>
        </w:rPr>
        <w:t>全力推进营商环境持续优化。</w:t>
      </w:r>
    </w:p>
    <w:p w14:paraId="3E9C74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sz w:val="32"/>
          <w:szCs w:val="32"/>
          <w:lang w:val="en-US" w:eastAsia="zh-CN"/>
        </w:rPr>
        <w:t>（七）守牢红线底线，确保园区和谐稳定。</w:t>
      </w:r>
      <w:r>
        <w:rPr>
          <w:rFonts w:hint="default" w:ascii="Times New Roman" w:hAnsi="Times New Roman" w:eastAsia="仿宋_GB2312" w:cs="Times New Roman"/>
          <w:sz w:val="32"/>
          <w:szCs w:val="32"/>
          <w:lang w:val="en-US" w:eastAsia="zh-CN"/>
        </w:rPr>
        <w:t>切实树牢底线思维、强化极限思维，完善预警和应急响应联动机制，强化值班值守和应急处置，抓紧抓实安全生产各项工作，有效防范各类安全事故发生，切实保障好人民群众生命财产安全。统筹抓好绿色低碳发展、三大污染防治攻坚、自然生态保护修复等各项工作，</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lang w:val="en-US" w:eastAsia="zh-CN"/>
        </w:rPr>
        <w:t>大气污染防治，加快推进黄水河水系综合治理</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工业企业排污整治，扎实推进各类环保问题整改销号，坚决守住生态环境安全底线。</w:t>
      </w:r>
    </w:p>
    <w:p w14:paraId="0EDBF931">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sz w:val="32"/>
          <w:szCs w:val="32"/>
          <w:lang w:val="en-US" w:eastAsia="zh-CN"/>
        </w:rPr>
        <w:t>（八）夯实基层基础，筑牢坚强战斗堡垒。</w:t>
      </w:r>
      <w:r>
        <w:rPr>
          <w:rFonts w:hint="eastAsia" w:ascii="Times New Roman" w:hAnsi="Times New Roman" w:eastAsia="仿宋_GB2312" w:cs="Times New Roman"/>
          <w:sz w:val="32"/>
          <w:szCs w:val="32"/>
          <w:lang w:val="en-US" w:eastAsia="zh-CN"/>
        </w:rPr>
        <w:t>突出大抓基层鲜明导向，严格履行主体责任，全面加强基层党组织班子队伍建设，强化党员队伍教育管理，严格落实“三会一课”、双重组织生活等制度，持续抓好两个覆盖，高质量做好党员发展工作，加强阵地建设，切实提升党建规范化标准化水平。持续巩固深化党纪学习教育成果，坚决贯彻中央八项规定精神，大力纠治“四风”顽疾，着力涵养风清气正的政治生态，以高质量党建推动园区高质量发展。</w:t>
      </w:r>
    </w:p>
    <w:p w14:paraId="2AA00BCA">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二、部门预算单位构成</w:t>
      </w:r>
      <w:bookmarkEnd w:id="14"/>
    </w:p>
    <w:p w14:paraId="3CC8E2FB">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hint="eastAsia" w:ascii="仿宋_GB2312" w:hAnsi="仿宋_GB2312" w:eastAsia="仿宋_GB2312"/>
          <w:color w:val="auto"/>
          <w:sz w:val="32"/>
          <w:szCs w:val="32"/>
          <w:lang w:val="zh-CN"/>
        </w:rPr>
      </w:pPr>
      <w:r>
        <w:rPr>
          <w:rFonts w:hint="eastAsia" w:ascii="仿宋_GB2312" w:hAnsi="仿宋_GB2312" w:eastAsia="仿宋_GB2312"/>
          <w:color w:val="auto"/>
          <w:sz w:val="32"/>
          <w:szCs w:val="32"/>
          <w:lang w:val="zh-CN"/>
        </w:rPr>
        <w:t>四川罗江经济</w:t>
      </w:r>
      <w:r>
        <w:rPr>
          <w:rFonts w:hint="eastAsia" w:ascii="仿宋_GB2312" w:hAnsi="仿宋_GB2312" w:eastAsia="仿宋_GB2312"/>
          <w:color w:val="auto"/>
          <w:sz w:val="32"/>
          <w:szCs w:val="32"/>
          <w:lang w:val="zh-CN" w:eastAsia="zh-CN"/>
        </w:rPr>
        <w:t>开发区</w:t>
      </w:r>
      <w:r>
        <w:rPr>
          <w:rFonts w:hint="eastAsia" w:ascii="仿宋_GB2312" w:hAnsi="仿宋_GB2312" w:eastAsia="仿宋_GB2312"/>
          <w:color w:val="auto"/>
          <w:sz w:val="32"/>
          <w:szCs w:val="32"/>
          <w:lang w:val="zh-CN"/>
        </w:rPr>
        <w:t>管理委员会</w:t>
      </w:r>
      <w:r>
        <w:rPr>
          <w:rFonts w:hint="eastAsia" w:ascii="仿宋_GB2312" w:hAnsi="仿宋_GB2312" w:eastAsia="仿宋_GB2312"/>
          <w:color w:val="auto"/>
          <w:sz w:val="32"/>
          <w:szCs w:val="32"/>
        </w:rPr>
        <w:t>一级预算单位1个，</w:t>
      </w:r>
      <w:r>
        <w:rPr>
          <w:rFonts w:hint="eastAsia" w:ascii="仿宋_GB2312" w:hAnsi="仿宋_GB2312" w:eastAsia="仿宋_GB2312"/>
          <w:color w:val="auto"/>
          <w:sz w:val="32"/>
          <w:szCs w:val="32"/>
          <w:lang w:eastAsia="zh-CN"/>
        </w:rPr>
        <w:t>无二级预算单位。</w:t>
      </w:r>
      <w:r>
        <w:rPr>
          <w:rFonts w:hint="eastAsia" w:ascii="仿宋_GB2312" w:hAnsi="仿宋_GB2312" w:eastAsia="仿宋_GB2312"/>
          <w:color w:val="auto"/>
          <w:sz w:val="32"/>
          <w:szCs w:val="32"/>
          <w:lang w:val="zh-CN" w:eastAsia="zh-CN"/>
        </w:rPr>
        <w:t>独立编制机构</w:t>
      </w:r>
      <w:r>
        <w:rPr>
          <w:rFonts w:hint="eastAsia" w:ascii="仿宋_GB2312" w:hAnsi="仿宋_GB2312" w:eastAsia="仿宋_GB2312"/>
          <w:color w:val="auto"/>
          <w:sz w:val="32"/>
          <w:szCs w:val="32"/>
          <w:lang w:val="en-US" w:eastAsia="zh-CN"/>
        </w:rPr>
        <w:t>2个，</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lang w:val="zh-CN"/>
        </w:rPr>
        <w:t>：四川罗江经济</w:t>
      </w:r>
      <w:r>
        <w:rPr>
          <w:rFonts w:hint="eastAsia" w:ascii="仿宋_GB2312" w:hAnsi="仿宋_GB2312" w:eastAsia="仿宋_GB2312"/>
          <w:color w:val="auto"/>
          <w:sz w:val="32"/>
          <w:szCs w:val="32"/>
          <w:lang w:val="zh-CN" w:eastAsia="zh-CN"/>
        </w:rPr>
        <w:t>开发区</w:t>
      </w:r>
      <w:r>
        <w:rPr>
          <w:rFonts w:hint="eastAsia" w:ascii="仿宋_GB2312" w:hAnsi="仿宋_GB2312" w:eastAsia="仿宋_GB2312"/>
          <w:color w:val="auto"/>
          <w:sz w:val="32"/>
          <w:szCs w:val="32"/>
          <w:lang w:val="zh-CN"/>
        </w:rPr>
        <w:t>管理委员会是行政单位，编制</w:t>
      </w:r>
      <w:r>
        <w:rPr>
          <w:rFonts w:hint="eastAsia" w:ascii="仿宋_GB2312" w:hAnsi="仿宋_GB2312" w:eastAsia="仿宋_GB2312"/>
          <w:color w:val="auto"/>
          <w:sz w:val="32"/>
          <w:szCs w:val="32"/>
          <w:lang w:val="en-US" w:eastAsia="zh-CN"/>
        </w:rPr>
        <w:t>14</w:t>
      </w:r>
      <w:r>
        <w:rPr>
          <w:rFonts w:hint="eastAsia" w:ascii="仿宋_GB2312" w:hAnsi="仿宋_GB2312" w:eastAsia="仿宋_GB2312"/>
          <w:color w:val="auto"/>
          <w:sz w:val="32"/>
          <w:szCs w:val="32"/>
          <w:lang w:val="zh-CN"/>
        </w:rPr>
        <w:t>名</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lang w:val="zh-CN" w:eastAsia="zh-CN"/>
        </w:rPr>
        <w:t>德阳市罗江区经济开发区服务中心是</w:t>
      </w:r>
      <w:r>
        <w:rPr>
          <w:rFonts w:hint="eastAsia" w:ascii="仿宋_GB2312" w:hAnsi="仿宋_GB2312" w:eastAsia="仿宋_GB2312"/>
          <w:color w:val="auto"/>
          <w:sz w:val="32"/>
          <w:szCs w:val="32"/>
          <w:lang w:val="zh-CN"/>
        </w:rPr>
        <w:t>事业单位，编制</w:t>
      </w:r>
      <w:r>
        <w:rPr>
          <w:rFonts w:hint="eastAsia" w:ascii="仿宋_GB2312" w:hAnsi="仿宋_GB2312" w:eastAsia="仿宋_GB2312"/>
          <w:color w:val="auto"/>
          <w:sz w:val="32"/>
          <w:szCs w:val="32"/>
          <w:lang w:val="en-US" w:eastAsia="zh-CN"/>
        </w:rPr>
        <w:t>39</w:t>
      </w:r>
      <w:r>
        <w:rPr>
          <w:rFonts w:hint="eastAsia" w:ascii="仿宋_GB2312" w:hAnsi="仿宋_GB2312" w:eastAsia="仿宋_GB2312"/>
          <w:color w:val="auto"/>
          <w:sz w:val="32"/>
          <w:szCs w:val="32"/>
          <w:lang w:val="zh-CN"/>
        </w:rPr>
        <w:t>名。在职人员总数</w:t>
      </w:r>
      <w:r>
        <w:rPr>
          <w:rFonts w:hint="eastAsia" w:ascii="仿宋_GB2312" w:hAnsi="仿宋_GB2312" w:eastAsia="仿宋_GB2312"/>
          <w:color w:val="auto"/>
          <w:sz w:val="32"/>
          <w:szCs w:val="32"/>
          <w:lang w:val="en-US" w:eastAsia="zh-CN"/>
        </w:rPr>
        <w:t>49</w:t>
      </w:r>
      <w:r>
        <w:rPr>
          <w:rFonts w:hint="eastAsia" w:ascii="仿宋_GB2312" w:hAnsi="仿宋_GB2312" w:eastAsia="仿宋_GB2312"/>
          <w:color w:val="auto"/>
          <w:sz w:val="32"/>
          <w:szCs w:val="32"/>
          <w:lang w:val="zh-CN"/>
        </w:rPr>
        <w:t>人，其中：公务员</w:t>
      </w:r>
      <w:r>
        <w:rPr>
          <w:rFonts w:hint="eastAsia" w:ascii="仿宋_GB2312" w:hAnsi="仿宋_GB2312" w:eastAsia="仿宋_GB2312"/>
          <w:color w:val="auto"/>
          <w:sz w:val="32"/>
          <w:szCs w:val="32"/>
          <w:lang w:val="en-US" w:eastAsia="zh-CN"/>
        </w:rPr>
        <w:t>14</w:t>
      </w:r>
      <w:r>
        <w:rPr>
          <w:rFonts w:hint="eastAsia" w:ascii="仿宋_GB2312" w:hAnsi="仿宋_GB2312" w:eastAsia="仿宋_GB2312"/>
          <w:color w:val="auto"/>
          <w:sz w:val="32"/>
          <w:szCs w:val="32"/>
          <w:lang w:val="zh-CN"/>
        </w:rPr>
        <w:t>人</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lang w:val="zh-CN"/>
        </w:rPr>
        <w:t>事业人员</w:t>
      </w:r>
      <w:r>
        <w:rPr>
          <w:rFonts w:hint="eastAsia" w:ascii="仿宋_GB2312" w:hAnsi="仿宋_GB2312" w:eastAsia="仿宋_GB2312"/>
          <w:color w:val="auto"/>
          <w:sz w:val="32"/>
          <w:szCs w:val="32"/>
          <w:lang w:val="en-US" w:eastAsia="zh-CN"/>
        </w:rPr>
        <w:t>30</w:t>
      </w:r>
      <w:r>
        <w:rPr>
          <w:rFonts w:hint="eastAsia" w:ascii="仿宋_GB2312" w:hAnsi="仿宋_GB2312" w:eastAsia="仿宋_GB2312"/>
          <w:color w:val="auto"/>
          <w:sz w:val="32"/>
          <w:szCs w:val="32"/>
          <w:lang w:val="zh-CN"/>
        </w:rPr>
        <w:t>人，长期聘用人员</w:t>
      </w:r>
      <w:r>
        <w:rPr>
          <w:rFonts w:hint="eastAsia" w:ascii="仿宋_GB2312" w:hAnsi="仿宋_GB2312" w:eastAsia="仿宋_GB2312"/>
          <w:color w:val="auto"/>
          <w:sz w:val="32"/>
          <w:szCs w:val="32"/>
          <w:lang w:val="en-US" w:eastAsia="zh-CN"/>
        </w:rPr>
        <w:t>5人</w:t>
      </w:r>
      <w:r>
        <w:rPr>
          <w:rFonts w:hint="eastAsia" w:ascii="仿宋_GB2312" w:hAnsi="仿宋_GB2312" w:eastAsia="仿宋_GB2312"/>
          <w:color w:val="auto"/>
          <w:sz w:val="32"/>
          <w:szCs w:val="32"/>
          <w:lang w:val="zh-CN"/>
        </w:rPr>
        <w:t>。本次公开数据包括所有下属二级单位数据。</w:t>
      </w:r>
    </w:p>
    <w:p w14:paraId="77781D15">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15" w:name="_Toc30315"/>
      <w:r>
        <w:rPr>
          <w:rFonts w:hint="eastAsia" w:ascii="黑体" w:hAnsi="黑体" w:eastAsia="黑体" w:cs="黑体"/>
          <w:color w:val="auto"/>
          <w:sz w:val="32"/>
          <w:szCs w:val="32"/>
        </w:rPr>
        <w:t>三、收支预算增减变化情况说明</w:t>
      </w:r>
      <w:bookmarkEnd w:id="15"/>
    </w:p>
    <w:p w14:paraId="56FA726B">
      <w:pPr>
        <w:keepNext w:val="0"/>
        <w:keepLines w:val="0"/>
        <w:pageBreakBefore w:val="0"/>
        <w:widowControl w:val="0"/>
        <w:shd w:val="clear" w:color="auto" w:fill="FFFFFF" w:themeFill="background1"/>
        <w:kinsoku/>
        <w:wordWrap/>
        <w:overflowPunct/>
        <w:topLinePunct w:val="0"/>
        <w:bidi w:val="0"/>
        <w:spacing w:line="560" w:lineRule="exact"/>
        <w:ind w:firstLine="642"/>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按照综合预算的原则，四川罗江经济开发区管理委员会所有收支均包含下属单位数据，全部纳入部门预算管理。收入包括：一般公共预算拨款收入1832.89万元，政府性基金预算拨款收入</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收入</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950.99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520.99万元，</w:t>
      </w:r>
      <w:r>
        <w:rPr>
          <w:rFonts w:hint="eastAsia" w:ascii="仿宋_GB2312" w:hAnsi="仿宋_GB2312" w:eastAsia="仿宋_GB2312"/>
          <w:color w:val="auto"/>
          <w:sz w:val="32"/>
          <w:szCs w:val="32"/>
        </w:rPr>
        <w:t>政府性基金预算拨款收入</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430万元，</w:t>
      </w:r>
      <w:r>
        <w:rPr>
          <w:rFonts w:hint="eastAsia" w:ascii="仿宋_GB2312" w:hAnsi="仿宋_GB2312" w:eastAsia="仿宋_GB2312"/>
          <w:color w:val="auto"/>
          <w:sz w:val="32"/>
          <w:szCs w:val="32"/>
          <w:lang w:eastAsia="zh-CN"/>
        </w:rPr>
        <w:t>增加的主要原因是为促进企业发展，</w:t>
      </w:r>
      <w:r>
        <w:rPr>
          <w:rFonts w:hint="eastAsia" w:ascii="仿宋_GB2312" w:hAnsi="仿宋_GB2312" w:eastAsia="仿宋_GB2312"/>
          <w:color w:val="auto"/>
          <w:sz w:val="32"/>
          <w:szCs w:val="32"/>
          <w:lang w:val="en-US" w:eastAsia="zh-CN"/>
        </w:rPr>
        <w:t>2025年新增产业发展项目资金。</w:t>
      </w:r>
    </w:p>
    <w:p w14:paraId="3C8926AD">
      <w:pPr>
        <w:keepNext w:val="0"/>
        <w:keepLines w:val="0"/>
        <w:pageBreakBefore w:val="0"/>
        <w:widowControl w:val="0"/>
        <w:shd w:val="clear" w:color="auto" w:fill="FFFFFF" w:themeFill="background1"/>
        <w:kinsoku/>
        <w:wordWrap/>
        <w:overflowPunct/>
        <w:topLinePunct w:val="0"/>
        <w:bidi w:val="0"/>
        <w:spacing w:line="560" w:lineRule="exact"/>
        <w:ind w:firstLine="642"/>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3832.89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支出</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950.99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一般公共服务支出</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507.26万元、社会保障和就业支出增加6.03万元、卫生健康支出增加0.91万元、节能环保支出增加4.49万元、城乡社区支出增加430万元、住房保障支出增加2.3万元。</w:t>
      </w:r>
    </w:p>
    <w:p w14:paraId="37F3B0CE">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16" w:name="_Toc29871"/>
      <w:r>
        <w:rPr>
          <w:rFonts w:hint="eastAsia" w:ascii="黑体" w:hAnsi="黑体" w:eastAsia="黑体" w:cs="黑体"/>
          <w:color w:val="auto"/>
          <w:sz w:val="32"/>
          <w:szCs w:val="32"/>
        </w:rPr>
        <w:t>四、财政拨款收支预算情况说明</w:t>
      </w:r>
      <w:bookmarkEnd w:id="16"/>
    </w:p>
    <w:p w14:paraId="6A13C7C6">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lang w:val="en-US" w:eastAsia="zh-CN"/>
        </w:rPr>
        <w:t>3832.89</w:t>
      </w:r>
      <w:r>
        <w:rPr>
          <w:rFonts w:hint="eastAsia" w:ascii="仿宋_GB2312" w:hAnsi="仿宋_GB2312" w:eastAsia="仿宋_GB2312"/>
          <w:color w:val="auto"/>
          <w:sz w:val="32"/>
          <w:szCs w:val="32"/>
        </w:rPr>
        <w:t>万元。</w:t>
      </w:r>
      <w:r>
        <w:rPr>
          <w:rFonts w:ascii="仿宋_GB2312" w:hAnsi="仿宋_GB2312" w:eastAsia="仿宋_GB2312"/>
          <w:color w:val="auto"/>
          <w:sz w:val="32"/>
          <w:szCs w:val="32"/>
        </w:rPr>
        <w:t>收入包括：本年</w:t>
      </w:r>
      <w:r>
        <w:rPr>
          <w:rFonts w:hint="eastAsia"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val="en-US" w:eastAsia="zh-CN"/>
        </w:rPr>
        <w:t>1832.89</w:t>
      </w:r>
      <w:r>
        <w:rPr>
          <w:rFonts w:hint="eastAsia" w:ascii="仿宋_GB2312" w:hAnsi="仿宋_GB2312" w:eastAsia="仿宋_GB2312"/>
          <w:color w:val="auto"/>
          <w:sz w:val="32"/>
          <w:szCs w:val="32"/>
        </w:rPr>
        <w:t>万元，政府性基金预算拨款收入</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w:t>
      </w:r>
      <w:r>
        <w:rPr>
          <w:rFonts w:ascii="仿宋_GB2312" w:hAnsi="仿宋_GB2312" w:eastAsia="仿宋_GB2312"/>
          <w:color w:val="auto"/>
          <w:sz w:val="32"/>
          <w:szCs w:val="32"/>
        </w:rPr>
        <w:t>上年结转一般公共预算拨款收入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w:t>
      </w:r>
      <w:r>
        <w:rPr>
          <w:rFonts w:hint="eastAsia" w:ascii="仿宋_GB2312" w:hAnsi="仿宋_GB2312" w:eastAsia="仿宋_GB2312"/>
          <w:color w:val="auto"/>
          <w:sz w:val="32"/>
          <w:szCs w:val="32"/>
        </w:rPr>
        <w:t>支出包括：一般公共服务支出</w:t>
      </w:r>
      <w:r>
        <w:rPr>
          <w:rFonts w:hint="eastAsia" w:ascii="仿宋_GB2312" w:hAnsi="仿宋_GB2312" w:eastAsia="仿宋_GB2312"/>
          <w:color w:val="auto"/>
          <w:sz w:val="32"/>
          <w:szCs w:val="32"/>
          <w:lang w:val="en-US" w:eastAsia="zh-CN"/>
        </w:rPr>
        <w:t>1616.91</w:t>
      </w:r>
      <w:r>
        <w:rPr>
          <w:rFonts w:hint="eastAsia" w:ascii="仿宋_GB2312" w:hAnsi="仿宋_GB2312" w:eastAsia="仿宋_GB2312"/>
          <w:color w:val="auto"/>
          <w:sz w:val="32"/>
          <w:szCs w:val="32"/>
        </w:rPr>
        <w:t>万元、社会保障和就业支出</w:t>
      </w:r>
      <w:r>
        <w:rPr>
          <w:rFonts w:hint="eastAsia" w:ascii="仿宋_GB2312" w:hAnsi="仿宋_GB2312" w:eastAsia="仿宋_GB2312"/>
          <w:color w:val="auto"/>
          <w:sz w:val="32"/>
          <w:szCs w:val="32"/>
          <w:lang w:val="en-US" w:eastAsia="zh-CN"/>
        </w:rPr>
        <w:t>100.61</w:t>
      </w:r>
      <w:r>
        <w:rPr>
          <w:rFonts w:hint="eastAsia" w:ascii="仿宋_GB2312" w:hAnsi="仿宋_GB2312" w:eastAsia="仿宋_GB2312"/>
          <w:color w:val="auto"/>
          <w:sz w:val="32"/>
          <w:szCs w:val="32"/>
        </w:rPr>
        <w:t>万元、卫生健康支出</w:t>
      </w:r>
      <w:r>
        <w:rPr>
          <w:rFonts w:hint="eastAsia" w:ascii="仿宋_GB2312" w:hAnsi="仿宋_GB2312" w:eastAsia="仿宋_GB2312"/>
          <w:color w:val="auto"/>
          <w:sz w:val="32"/>
          <w:szCs w:val="32"/>
          <w:lang w:val="en-US" w:eastAsia="zh-CN"/>
        </w:rPr>
        <w:t>26.58</w:t>
      </w:r>
      <w:r>
        <w:rPr>
          <w:rFonts w:hint="eastAsia" w:ascii="仿宋_GB2312" w:hAnsi="仿宋_GB2312" w:eastAsia="仿宋_GB2312"/>
          <w:color w:val="auto"/>
          <w:sz w:val="32"/>
          <w:szCs w:val="32"/>
        </w:rPr>
        <w:t>万元、节能环保支出</w:t>
      </w:r>
      <w:r>
        <w:rPr>
          <w:rFonts w:hint="eastAsia" w:ascii="仿宋_GB2312" w:hAnsi="仿宋_GB2312" w:eastAsia="仿宋_GB2312"/>
          <w:color w:val="auto"/>
          <w:sz w:val="32"/>
          <w:szCs w:val="32"/>
          <w:lang w:val="en-US" w:eastAsia="zh-CN"/>
        </w:rPr>
        <w:t>34.49</w:t>
      </w:r>
      <w:r>
        <w:rPr>
          <w:rFonts w:hint="eastAsia" w:ascii="仿宋_GB2312" w:hAnsi="仿宋_GB2312" w:eastAsia="仿宋_GB2312"/>
          <w:color w:val="auto"/>
          <w:sz w:val="32"/>
          <w:szCs w:val="32"/>
        </w:rPr>
        <w:t>万元、城乡社区支出</w:t>
      </w:r>
      <w:r>
        <w:rPr>
          <w:rFonts w:hint="eastAsia" w:ascii="仿宋_GB2312" w:hAnsi="仿宋_GB2312" w:eastAsia="仿宋_GB2312"/>
          <w:color w:val="auto"/>
          <w:sz w:val="32"/>
          <w:szCs w:val="32"/>
          <w:lang w:val="en-US" w:eastAsia="zh-CN"/>
        </w:rPr>
        <w:t>200</w:t>
      </w:r>
      <w:r>
        <w:rPr>
          <w:rFonts w:hint="eastAsia" w:ascii="仿宋_GB2312" w:hAnsi="仿宋_GB2312" w:eastAsia="仿宋_GB2312"/>
          <w:color w:val="auto"/>
          <w:sz w:val="32"/>
          <w:szCs w:val="32"/>
        </w:rPr>
        <w:t>0</w:t>
      </w:r>
      <w:r>
        <w:rPr>
          <w:rFonts w:hint="eastAsia" w:ascii="仿宋_GB2312" w:hAnsi="仿宋_GB2312" w:eastAsia="仿宋_GB2312"/>
          <w:color w:val="auto"/>
          <w:sz w:val="32"/>
          <w:szCs w:val="32"/>
          <w:lang w:eastAsia="zh-CN"/>
        </w:rPr>
        <w:t>万元、</w:t>
      </w:r>
      <w:r>
        <w:rPr>
          <w:rFonts w:hint="eastAsia" w:ascii="仿宋_GB2312" w:hAnsi="仿宋_GB2312" w:eastAsia="仿宋_GB2312"/>
          <w:color w:val="auto"/>
          <w:sz w:val="32"/>
          <w:szCs w:val="32"/>
        </w:rPr>
        <w:t>住房保障支出</w:t>
      </w:r>
      <w:r>
        <w:rPr>
          <w:rFonts w:hint="eastAsia" w:ascii="仿宋_GB2312" w:hAnsi="仿宋_GB2312" w:eastAsia="仿宋_GB2312"/>
          <w:color w:val="auto"/>
          <w:sz w:val="32"/>
          <w:szCs w:val="32"/>
          <w:lang w:val="en-US" w:eastAsia="zh-CN"/>
        </w:rPr>
        <w:t>54.3</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bookmarkStart w:id="17" w:name="_Toc17073"/>
    </w:p>
    <w:p w14:paraId="6A35E1FD">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收入预算情况</w:t>
      </w:r>
      <w:bookmarkEnd w:id="17"/>
    </w:p>
    <w:p w14:paraId="6DFF5A9D">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ascii="仿宋_GB2312" w:hAnsi="仿宋_GB2312" w:eastAsia="仿宋_GB2312"/>
          <w:color w:val="auto"/>
          <w:sz w:val="32"/>
          <w:szCs w:val="32"/>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lang w:val="en-US" w:eastAsia="zh-CN"/>
        </w:rPr>
        <w:t>3832.89</w:t>
      </w:r>
      <w:r>
        <w:rPr>
          <w:rFonts w:ascii="仿宋_GB2312" w:hAnsi="仿宋_GB2312" w:eastAsia="仿宋_GB2312"/>
          <w:color w:val="auto"/>
          <w:sz w:val="32"/>
          <w:szCs w:val="32"/>
        </w:rPr>
        <w:t>万元，其中：上年结转</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%；一般公共预算拨款收入</w:t>
      </w:r>
      <w:r>
        <w:rPr>
          <w:rFonts w:hint="eastAsia" w:ascii="仿宋_GB2312" w:hAnsi="仿宋_GB2312" w:eastAsia="仿宋_GB2312"/>
          <w:color w:val="auto"/>
          <w:sz w:val="32"/>
          <w:szCs w:val="32"/>
          <w:lang w:val="en-US" w:eastAsia="zh-CN"/>
        </w:rPr>
        <w:t>1832.89</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47.82</w:t>
      </w:r>
      <w:r>
        <w:rPr>
          <w:rFonts w:ascii="仿宋_GB2312" w:hAnsi="仿宋_GB2312" w:eastAsia="仿宋_GB2312"/>
          <w:color w:val="auto"/>
          <w:sz w:val="32"/>
          <w:szCs w:val="32"/>
        </w:rPr>
        <w:t>%；</w:t>
      </w:r>
      <w:r>
        <w:rPr>
          <w:rFonts w:hint="eastAsia" w:ascii="仿宋_GB2312" w:hAnsi="仿宋_GB2312" w:eastAsia="仿宋_GB2312"/>
          <w:color w:val="auto"/>
          <w:sz w:val="32"/>
          <w:szCs w:val="32"/>
        </w:rPr>
        <w:t>政府性基金预算拨款收入</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52.18</w:t>
      </w:r>
      <w:r>
        <w:rPr>
          <w:rFonts w:ascii="仿宋_GB2312" w:hAnsi="仿宋_GB2312" w:eastAsia="仿宋_GB2312"/>
          <w:color w:val="auto"/>
          <w:sz w:val="32"/>
          <w:szCs w:val="32"/>
        </w:rPr>
        <w:t>%</w:t>
      </w:r>
      <w:r>
        <w:rPr>
          <w:rFonts w:hint="eastAsia" w:ascii="仿宋_GB2312" w:hAnsi="仿宋_GB2312" w:eastAsia="仿宋_GB2312"/>
          <w:color w:val="auto"/>
          <w:sz w:val="32"/>
          <w:szCs w:val="32"/>
          <w:lang w:eastAsia="zh-CN"/>
        </w:rPr>
        <w:t>；国有资本经营预算拨款收入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%；事业单位经营收</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%；其他收入</w:t>
      </w:r>
      <w:r>
        <w:rPr>
          <w:rFonts w:hint="eastAsia" w:ascii="仿宋_GB2312" w:hAnsi="仿宋_GB2312" w:eastAsia="仿宋_GB2312"/>
          <w:color w:val="auto"/>
          <w:sz w:val="32"/>
          <w:szCs w:val="32"/>
        </w:rPr>
        <w:t>0</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rPr>
        <w:t>0</w:t>
      </w:r>
      <w:r>
        <w:rPr>
          <w:rFonts w:ascii="仿宋_GB2312" w:hAnsi="仿宋_GB2312" w:eastAsia="仿宋_GB2312"/>
          <w:color w:val="auto"/>
          <w:sz w:val="32"/>
          <w:szCs w:val="32"/>
        </w:rPr>
        <w:t>%。</w:t>
      </w:r>
    </w:p>
    <w:p w14:paraId="6F7E6A81">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18" w:name="_Toc32189"/>
      <w:r>
        <w:rPr>
          <w:rFonts w:hint="eastAsia" w:ascii="楷体_GB2312" w:hAnsi="楷体_GB2312" w:eastAsia="楷体_GB2312" w:cs="楷体_GB2312"/>
          <w:b/>
          <w:bCs/>
          <w:color w:val="auto"/>
          <w:sz w:val="32"/>
          <w:szCs w:val="32"/>
        </w:rPr>
        <w:t>（二）支出预算情况</w:t>
      </w:r>
      <w:bookmarkEnd w:id="18"/>
    </w:p>
    <w:p w14:paraId="788921B2">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ascii="仿宋_GB2312" w:hAnsi="仿宋_GB2312" w:eastAsia="仿宋_GB2312"/>
          <w:color w:val="auto"/>
          <w:sz w:val="32"/>
          <w:szCs w:val="32"/>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ascii="仿宋_GB2312" w:hAnsi="仿宋_GB2312" w:eastAsia="仿宋_GB2312"/>
          <w:color w:val="auto"/>
          <w:sz w:val="32"/>
          <w:szCs w:val="32"/>
        </w:rPr>
        <w:t>年支出预算</w:t>
      </w:r>
      <w:r>
        <w:rPr>
          <w:rFonts w:hint="eastAsia" w:ascii="仿宋_GB2312" w:hAnsi="仿宋_GB2312" w:eastAsia="仿宋_GB2312"/>
          <w:color w:val="auto"/>
          <w:sz w:val="32"/>
          <w:szCs w:val="32"/>
          <w:lang w:val="en-US" w:eastAsia="zh-CN"/>
        </w:rPr>
        <w:t>3832.89</w:t>
      </w:r>
      <w:r>
        <w:rPr>
          <w:rFonts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769.6</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20.08</w:t>
      </w:r>
      <w:r>
        <w:rPr>
          <w:rFonts w:ascii="仿宋_GB2312" w:hAnsi="仿宋_GB2312" w:eastAsia="仿宋_GB2312"/>
          <w:color w:val="auto"/>
          <w:sz w:val="32"/>
          <w:szCs w:val="32"/>
        </w:rPr>
        <w:t>%；项目支出</w:t>
      </w:r>
      <w:r>
        <w:rPr>
          <w:rFonts w:hint="eastAsia" w:ascii="仿宋_GB2312" w:hAnsi="仿宋_GB2312" w:eastAsia="仿宋_GB2312"/>
          <w:color w:val="auto"/>
          <w:sz w:val="32"/>
          <w:szCs w:val="32"/>
          <w:lang w:val="en-US" w:eastAsia="zh-CN"/>
        </w:rPr>
        <w:t>3063.29</w:t>
      </w:r>
      <w:r>
        <w:rPr>
          <w:rFonts w:ascii="仿宋_GB2312" w:hAnsi="仿宋_GB2312" w:eastAsia="仿宋_GB2312"/>
          <w:color w:val="auto"/>
          <w:sz w:val="32"/>
          <w:szCs w:val="32"/>
        </w:rPr>
        <w:t>万元，占</w:t>
      </w:r>
      <w:r>
        <w:rPr>
          <w:rFonts w:hint="eastAsia" w:ascii="仿宋_GB2312" w:hAnsi="仿宋_GB2312" w:eastAsia="仿宋_GB2312"/>
          <w:color w:val="auto"/>
          <w:sz w:val="32"/>
          <w:szCs w:val="32"/>
          <w:lang w:val="en-US" w:eastAsia="zh-CN"/>
        </w:rPr>
        <w:t>79.92</w:t>
      </w:r>
      <w:r>
        <w:rPr>
          <w:rFonts w:ascii="仿宋_GB2312" w:hAnsi="仿宋_GB2312" w:eastAsia="仿宋_GB2312"/>
          <w:color w:val="auto"/>
          <w:sz w:val="32"/>
          <w:szCs w:val="32"/>
        </w:rPr>
        <w:t>%。</w:t>
      </w:r>
    </w:p>
    <w:p w14:paraId="17F673E3">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19" w:name="_Toc16520"/>
      <w:r>
        <w:rPr>
          <w:rFonts w:hint="eastAsia" w:ascii="黑体" w:hAnsi="黑体" w:eastAsia="黑体" w:cs="黑体"/>
          <w:color w:val="auto"/>
          <w:sz w:val="32"/>
          <w:szCs w:val="32"/>
        </w:rPr>
        <w:t>五、一般公共预算当年拨款情况说明</w:t>
      </w:r>
      <w:bookmarkEnd w:id="19"/>
    </w:p>
    <w:p w14:paraId="04909FA0">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0" w:name="_Toc4128"/>
      <w:r>
        <w:rPr>
          <w:rFonts w:hint="eastAsia" w:ascii="楷体_GB2312" w:hAnsi="楷体_GB2312" w:eastAsia="楷体_GB2312" w:cs="楷体_GB2312"/>
          <w:b/>
          <w:bCs/>
          <w:color w:val="auto"/>
          <w:sz w:val="32"/>
          <w:szCs w:val="32"/>
        </w:rPr>
        <w:t>（一）一般公共预算当年拨款规模变化情况</w:t>
      </w:r>
      <w:bookmarkEnd w:id="20"/>
    </w:p>
    <w:p w14:paraId="74182667">
      <w:pPr>
        <w:keepNext w:val="0"/>
        <w:keepLines w:val="0"/>
        <w:pageBreakBefore w:val="0"/>
        <w:widowControl w:val="0"/>
        <w:shd w:val="clear" w:color="auto" w:fill="FFFFFF" w:themeFill="background1"/>
        <w:kinsoku/>
        <w:wordWrap/>
        <w:overflowPunct/>
        <w:topLinePunct w:val="0"/>
        <w:bidi w:val="0"/>
        <w:spacing w:line="560" w:lineRule="exact"/>
        <w:ind w:firstLine="642"/>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年一般公共预算当年拨款</w:t>
      </w:r>
      <w:r>
        <w:rPr>
          <w:rFonts w:hint="eastAsia" w:ascii="仿宋_GB2312" w:hAnsi="仿宋_GB2312" w:eastAsia="仿宋_GB2312"/>
          <w:color w:val="auto"/>
          <w:sz w:val="32"/>
          <w:szCs w:val="32"/>
          <w:lang w:val="en-US" w:eastAsia="zh-CN"/>
        </w:rPr>
        <w:t>1832.89</w:t>
      </w:r>
      <w:r>
        <w:rPr>
          <w:rFonts w:hint="eastAsia" w:ascii="仿宋_GB2312" w:hAnsi="仿宋_GB2312" w:eastAsia="仿宋_GB2312"/>
          <w:color w:val="auto"/>
          <w:sz w:val="32"/>
          <w:szCs w:val="32"/>
        </w:rPr>
        <w:t>万元，比</w:t>
      </w:r>
      <w:r>
        <w:rPr>
          <w:rFonts w:hint="eastAsia" w:ascii="仿宋_GB2312" w:hAnsi="仿宋_GB2312" w:eastAsia="仿宋_GB2312"/>
          <w:color w:val="auto"/>
          <w:sz w:val="32"/>
          <w:szCs w:val="32"/>
          <w:lang w:eastAsia="zh-CN"/>
        </w:rPr>
        <w:t>2</w:t>
      </w:r>
      <w:r>
        <w:rPr>
          <w:rFonts w:hint="eastAsia" w:ascii="仿宋_GB2312" w:hAnsi="仿宋_GB2312" w:eastAsia="仿宋_GB2312"/>
          <w:color w:val="auto"/>
          <w:sz w:val="32"/>
          <w:szCs w:val="32"/>
          <w:lang w:val="en-US" w:eastAsia="zh-CN"/>
        </w:rPr>
        <w:t>024</w:t>
      </w:r>
      <w:r>
        <w:rPr>
          <w:rFonts w:hint="eastAsia" w:ascii="仿宋_GB2312" w:hAnsi="仿宋_GB2312" w:eastAsia="仿宋_GB2312"/>
          <w:color w:val="auto"/>
          <w:sz w:val="32"/>
          <w:szCs w:val="32"/>
        </w:rPr>
        <w:t>年一般公共预算</w:t>
      </w:r>
      <w:r>
        <w:rPr>
          <w:rFonts w:hint="eastAsia" w:ascii="仿宋_GB2312" w:hAnsi="仿宋_GB2312" w:eastAsia="仿宋_GB2312"/>
          <w:color w:val="auto"/>
          <w:sz w:val="32"/>
          <w:szCs w:val="32"/>
          <w:lang w:eastAsia="zh-CN"/>
        </w:rPr>
        <w:t>收入</w:t>
      </w:r>
      <w:r>
        <w:rPr>
          <w:rFonts w:hint="eastAsia" w:ascii="仿宋_GB2312" w:hAnsi="仿宋_GB2312" w:eastAsia="仿宋_GB2312"/>
          <w:color w:val="auto"/>
          <w:sz w:val="32"/>
          <w:szCs w:val="32"/>
        </w:rPr>
        <w:t>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520.99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增加的主要原因是一般公共预算中新增园区运行经费项目</w:t>
      </w:r>
      <w:r>
        <w:rPr>
          <w:rFonts w:hint="eastAsia" w:ascii="仿宋_GB2312" w:hAnsi="仿宋_GB2312" w:eastAsia="仿宋_GB2312"/>
          <w:color w:val="auto"/>
          <w:sz w:val="32"/>
          <w:szCs w:val="32"/>
          <w:lang w:val="en-US" w:eastAsia="zh-CN"/>
        </w:rPr>
        <w:t>500万元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一般公共服务支出</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507.26万元、社会保障和就业支出增加6.03万元、卫生健康支出增加0.91万元、节能环保支出增加4.49万元、住房保障支出增加2.3万元。</w:t>
      </w:r>
    </w:p>
    <w:p w14:paraId="1011F8E7">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1" w:name="_Toc30818"/>
      <w:r>
        <w:rPr>
          <w:rFonts w:hint="eastAsia" w:ascii="楷体_GB2312" w:hAnsi="楷体_GB2312" w:eastAsia="楷体_GB2312" w:cs="楷体_GB2312"/>
          <w:b/>
          <w:bCs/>
          <w:color w:val="auto"/>
          <w:sz w:val="32"/>
          <w:szCs w:val="32"/>
        </w:rPr>
        <w:t>（二）一般公共预算当年拨款结构情况</w:t>
      </w:r>
      <w:bookmarkEnd w:id="21"/>
    </w:p>
    <w:p w14:paraId="5509756B">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hint="eastAsia" w:ascii="仿宋_GB2312" w:hAnsi="仿宋_GB2312" w:eastAsia="仿宋_GB2312"/>
          <w:color w:val="auto"/>
          <w:sz w:val="32"/>
          <w:szCs w:val="32"/>
          <w:lang w:eastAsia="zh-CN"/>
        </w:rPr>
      </w:pPr>
      <w:r>
        <w:rPr>
          <w:rFonts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ascii="仿宋_GB2312" w:hAnsi="仿宋_GB2312" w:eastAsia="仿宋_GB2312"/>
          <w:color w:val="auto"/>
          <w:sz w:val="32"/>
          <w:szCs w:val="32"/>
        </w:rPr>
        <w:t>年收入预算</w:t>
      </w:r>
      <w:r>
        <w:rPr>
          <w:rFonts w:hint="eastAsia" w:ascii="仿宋_GB2312" w:hAnsi="仿宋_GB2312" w:eastAsia="仿宋_GB2312"/>
          <w:color w:val="auto"/>
          <w:sz w:val="32"/>
          <w:szCs w:val="32"/>
          <w:lang w:val="en-US" w:eastAsia="zh-CN"/>
        </w:rPr>
        <w:t>1832.89</w:t>
      </w:r>
      <w:r>
        <w:rPr>
          <w:rFonts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其中：</w:t>
      </w:r>
      <w:r>
        <w:rPr>
          <w:rFonts w:hint="eastAsia" w:ascii="仿宋_GB2312" w:hAnsi="仿宋_GB2312" w:eastAsia="仿宋_GB2312"/>
          <w:color w:val="auto"/>
          <w:sz w:val="32"/>
          <w:szCs w:val="32"/>
        </w:rPr>
        <w:t>一般公共服务支出</w:t>
      </w:r>
      <w:r>
        <w:rPr>
          <w:rFonts w:hint="eastAsia" w:ascii="仿宋_GB2312" w:hAnsi="仿宋_GB2312" w:eastAsia="仿宋_GB2312"/>
          <w:color w:val="auto"/>
          <w:sz w:val="32"/>
          <w:szCs w:val="32"/>
          <w:lang w:val="en-US" w:eastAsia="zh-CN"/>
        </w:rPr>
        <w:t>1616.91</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88.22%</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社会保障和就业支出</w:t>
      </w:r>
      <w:r>
        <w:rPr>
          <w:rFonts w:hint="eastAsia" w:ascii="仿宋_GB2312" w:hAnsi="仿宋_GB2312" w:eastAsia="仿宋_GB2312"/>
          <w:color w:val="auto"/>
          <w:sz w:val="32"/>
          <w:szCs w:val="32"/>
          <w:lang w:val="en-US" w:eastAsia="zh-CN"/>
        </w:rPr>
        <w:t>100.61</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5.49%</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卫生健康支出</w:t>
      </w:r>
      <w:r>
        <w:rPr>
          <w:rFonts w:hint="eastAsia" w:ascii="仿宋_GB2312" w:hAnsi="仿宋_GB2312" w:eastAsia="仿宋_GB2312"/>
          <w:color w:val="auto"/>
          <w:sz w:val="32"/>
          <w:szCs w:val="32"/>
          <w:lang w:val="en-US" w:eastAsia="zh-CN"/>
        </w:rPr>
        <w:t>26.58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1.45%</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节能环保支出</w:t>
      </w:r>
      <w:r>
        <w:rPr>
          <w:rFonts w:hint="eastAsia" w:ascii="仿宋_GB2312" w:hAnsi="仿宋_GB2312" w:eastAsia="仿宋_GB2312"/>
          <w:color w:val="auto"/>
          <w:sz w:val="32"/>
          <w:szCs w:val="32"/>
          <w:lang w:val="en-US" w:eastAsia="zh-CN"/>
        </w:rPr>
        <w:t>34.49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1.88%</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住房保障支出</w:t>
      </w:r>
      <w:r>
        <w:rPr>
          <w:rFonts w:hint="eastAsia" w:ascii="仿宋_GB2312" w:hAnsi="仿宋_GB2312" w:eastAsia="仿宋_GB2312"/>
          <w:color w:val="auto"/>
          <w:sz w:val="32"/>
          <w:szCs w:val="32"/>
          <w:lang w:val="en-US" w:eastAsia="zh-CN"/>
        </w:rPr>
        <w:t>54.3</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占</w:t>
      </w:r>
      <w:r>
        <w:rPr>
          <w:rFonts w:hint="eastAsia" w:ascii="仿宋_GB2312" w:hAnsi="仿宋_GB2312" w:eastAsia="仿宋_GB2312"/>
          <w:color w:val="auto"/>
          <w:sz w:val="32"/>
          <w:szCs w:val="32"/>
          <w:lang w:val="en-US" w:eastAsia="zh-CN"/>
        </w:rPr>
        <w:t>2.96%</w:t>
      </w:r>
      <w:r>
        <w:rPr>
          <w:rFonts w:hint="eastAsia" w:ascii="仿宋_GB2312" w:hAnsi="仿宋_GB2312" w:eastAsia="仿宋_GB2312"/>
          <w:color w:val="auto"/>
          <w:sz w:val="32"/>
          <w:szCs w:val="32"/>
          <w:lang w:eastAsia="zh-CN"/>
        </w:rPr>
        <w:t>。</w:t>
      </w:r>
    </w:p>
    <w:p w14:paraId="37C69B16">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2" w:name="_Toc10536"/>
      <w:r>
        <w:rPr>
          <w:rFonts w:hint="eastAsia" w:ascii="楷体_GB2312" w:hAnsi="楷体_GB2312" w:eastAsia="楷体_GB2312" w:cs="楷体_GB2312"/>
          <w:b/>
          <w:bCs/>
          <w:color w:val="auto"/>
          <w:sz w:val="32"/>
          <w:szCs w:val="32"/>
        </w:rPr>
        <w:t>（三）一般公共预算当年拨款具体使用情况</w:t>
      </w:r>
      <w:bookmarkEnd w:id="22"/>
    </w:p>
    <w:p w14:paraId="6EDC774B">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1.一般公共服务（类）政府办公厅（室）及相关机构事务（款）行政运行（项）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223.36</w:t>
      </w:r>
      <w:r>
        <w:rPr>
          <w:rFonts w:hint="eastAsia" w:ascii="仿宋_GB2312" w:hAnsi="仿宋_GB2312" w:eastAsia="仿宋_GB2312"/>
          <w:color w:val="auto"/>
          <w:sz w:val="32"/>
          <w:szCs w:val="32"/>
        </w:rPr>
        <w:t>万元，主要用于：行政</w:t>
      </w:r>
      <w:r>
        <w:rPr>
          <w:rFonts w:hint="eastAsia" w:ascii="仿宋_GB2312" w:hAnsi="仿宋_GB2312" w:eastAsia="仿宋_GB2312"/>
          <w:color w:val="auto"/>
          <w:sz w:val="32"/>
          <w:szCs w:val="32"/>
          <w:lang w:eastAsia="zh-CN"/>
        </w:rPr>
        <w:t>单位的基本支出</w:t>
      </w:r>
      <w:r>
        <w:rPr>
          <w:rFonts w:hint="eastAsia" w:ascii="仿宋_GB2312" w:hAnsi="仿宋_GB2312" w:eastAsia="仿宋_GB2312"/>
          <w:color w:val="auto"/>
          <w:sz w:val="32"/>
          <w:szCs w:val="32"/>
        </w:rPr>
        <w:t>。</w:t>
      </w:r>
    </w:p>
    <w:p w14:paraId="6B07D7A6">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.一般公共服务（类）政府办公厅（室）及相关机构事务（款）</w:t>
      </w:r>
      <w:r>
        <w:rPr>
          <w:rFonts w:hint="eastAsia" w:ascii="仿宋_GB2312" w:hAnsi="仿宋_GB2312" w:eastAsia="仿宋_GB2312"/>
          <w:color w:val="auto"/>
          <w:sz w:val="32"/>
          <w:szCs w:val="32"/>
          <w:lang w:eastAsia="zh-CN"/>
        </w:rPr>
        <w:t>一般行政管理事务</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500</w:t>
      </w:r>
      <w:r>
        <w:rPr>
          <w:rFonts w:hint="eastAsia" w:ascii="仿宋_GB2312" w:hAnsi="仿宋_GB2312" w:eastAsia="仿宋_GB2312"/>
          <w:color w:val="auto"/>
          <w:sz w:val="32"/>
          <w:szCs w:val="32"/>
        </w:rPr>
        <w:t>万元，主要用于：行政</w:t>
      </w:r>
      <w:r>
        <w:rPr>
          <w:rFonts w:hint="eastAsia" w:ascii="仿宋_GB2312" w:hAnsi="仿宋_GB2312" w:eastAsia="仿宋_GB2312"/>
          <w:color w:val="auto"/>
          <w:sz w:val="32"/>
          <w:szCs w:val="32"/>
          <w:lang w:eastAsia="zh-CN"/>
        </w:rPr>
        <w:t>单位的基本支出</w:t>
      </w:r>
      <w:r>
        <w:rPr>
          <w:rFonts w:hint="eastAsia" w:ascii="仿宋_GB2312" w:hAnsi="仿宋_GB2312" w:eastAsia="仿宋_GB2312"/>
          <w:color w:val="auto"/>
          <w:sz w:val="32"/>
          <w:szCs w:val="32"/>
        </w:rPr>
        <w:t>。</w:t>
      </w:r>
    </w:p>
    <w:p w14:paraId="1D9001CE">
      <w:pPr>
        <w:shd w:val="clear" w:color="auto" w:fill="FFFFFF" w:themeFill="background1"/>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olor w:val="auto"/>
          <w:sz w:val="32"/>
          <w:szCs w:val="32"/>
        </w:rPr>
        <w:t>.</w:t>
      </w:r>
      <w:r>
        <w:rPr>
          <w:rFonts w:hint="eastAsia" w:ascii="仿宋_GB2312" w:hAnsi="仿宋_GB2312" w:eastAsia="仿宋_GB2312"/>
          <w:color w:val="000000" w:themeColor="text1"/>
          <w:sz w:val="32"/>
          <w:szCs w:val="32"/>
          <w14:textFill>
            <w14:solidFill>
              <w14:schemeClr w14:val="tx1"/>
            </w14:solidFill>
          </w14:textFill>
        </w:rPr>
        <w:t>一般公共服务（类）政府办公厅（室）及相关机构事务（款）</w:t>
      </w:r>
      <w:r>
        <w:rPr>
          <w:rFonts w:hint="eastAsia" w:ascii="仿宋_GB2312" w:hAnsi="仿宋_GB2312" w:eastAsia="仿宋_GB2312"/>
          <w:color w:val="000000" w:themeColor="text1"/>
          <w:sz w:val="32"/>
          <w:szCs w:val="32"/>
          <w:lang w:eastAsia="zh-CN"/>
          <w14:textFill>
            <w14:solidFill>
              <w14:schemeClr w14:val="tx1"/>
            </w14:solidFill>
          </w14:textFill>
        </w:rPr>
        <w:t>专项服务</w:t>
      </w:r>
      <w:r>
        <w:rPr>
          <w:rFonts w:hint="eastAsia" w:ascii="仿宋_GB2312" w:hAnsi="仿宋_GB2312" w:eastAsia="仿宋_GB2312"/>
          <w:color w:val="000000" w:themeColor="text1"/>
          <w:sz w:val="32"/>
          <w:szCs w:val="32"/>
          <w14:textFill>
            <w14:solidFill>
              <w14:schemeClr w14:val="tx1"/>
            </w14:solidFill>
          </w14:textFill>
        </w:rPr>
        <w:t>（项）20</w:t>
      </w:r>
      <w:r>
        <w:rPr>
          <w:rFonts w:hint="eastAsia" w:ascii="仿宋_GB2312" w:hAnsi="仿宋_GB2312" w:eastAsia="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olor w:val="000000" w:themeColor="text1"/>
          <w:sz w:val="32"/>
          <w:szCs w:val="32"/>
          <w14:textFill>
            <w14:solidFill>
              <w14:schemeClr w14:val="tx1"/>
            </w14:solidFill>
          </w14:textFill>
        </w:rPr>
        <w:t>年预算数为</w:t>
      </w:r>
      <w:r>
        <w:rPr>
          <w:rFonts w:hint="eastAsia" w:ascii="仿宋_GB2312" w:hAnsi="仿宋_GB2312" w:eastAsia="仿宋_GB2312"/>
          <w:color w:val="000000" w:themeColor="text1"/>
          <w:sz w:val="32"/>
          <w:szCs w:val="32"/>
          <w:lang w:val="en-US" w:eastAsia="zh-CN"/>
          <w14:textFill>
            <w14:solidFill>
              <w14:schemeClr w14:val="tx1"/>
            </w14:solidFill>
          </w14:textFill>
        </w:rPr>
        <w:t>478.8</w:t>
      </w:r>
      <w:r>
        <w:rPr>
          <w:rFonts w:hint="eastAsia" w:ascii="仿宋_GB2312" w:hAnsi="仿宋_GB2312" w:eastAsia="仿宋_GB2312"/>
          <w:color w:val="000000" w:themeColor="text1"/>
          <w:sz w:val="32"/>
          <w:szCs w:val="32"/>
          <w14:textFill>
            <w14:solidFill>
              <w14:schemeClr w14:val="tx1"/>
            </w14:solidFill>
          </w14:textFill>
        </w:rPr>
        <w:t>万元，主要用于：</w:t>
      </w:r>
      <w:r>
        <w:rPr>
          <w:rFonts w:hint="eastAsia" w:ascii="仿宋_GB2312" w:hAnsi="仿宋_GB2312" w:eastAsia="仿宋_GB2312"/>
          <w:color w:val="000000" w:themeColor="text1"/>
          <w:sz w:val="32"/>
          <w:szCs w:val="32"/>
          <w:lang w:eastAsia="zh-CN"/>
          <w14:textFill>
            <w14:solidFill>
              <w14:schemeClr w14:val="tx1"/>
            </w14:solidFill>
          </w14:textFill>
        </w:rPr>
        <w:t>行政单位专项服务管理支出</w:t>
      </w:r>
      <w:r>
        <w:rPr>
          <w:rFonts w:hint="eastAsia" w:ascii="仿宋_GB2312" w:hAnsi="仿宋_GB2312" w:eastAsia="仿宋_GB2312"/>
          <w:color w:val="000000" w:themeColor="text1"/>
          <w:sz w:val="32"/>
          <w:szCs w:val="32"/>
          <w14:textFill>
            <w14:solidFill>
              <w14:schemeClr w14:val="tx1"/>
            </w14:solidFill>
          </w14:textFill>
        </w:rPr>
        <w:t>。</w:t>
      </w:r>
    </w:p>
    <w:p w14:paraId="4A34C1CD">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.一般公共服务（类）政府办公厅（室）及相关机构事务（款）事业运行（项）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364.76</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事业单位的基本</w:t>
      </w:r>
      <w:r>
        <w:rPr>
          <w:rFonts w:hint="eastAsia" w:ascii="仿宋_GB2312" w:hAnsi="仿宋_GB2312" w:eastAsia="仿宋_GB2312"/>
          <w:color w:val="auto"/>
          <w:sz w:val="32"/>
          <w:szCs w:val="32"/>
        </w:rPr>
        <w:t>支出。</w:t>
      </w:r>
    </w:p>
    <w:p w14:paraId="0EC7675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s="Times New Roman"/>
          <w:color w:val="auto"/>
          <w:sz w:val="32"/>
          <w:szCs w:val="32"/>
          <w:lang w:val="en-US" w:eastAsia="zh-CN"/>
        </w:rPr>
        <w:t>5.一般公</w:t>
      </w:r>
      <w:r>
        <w:rPr>
          <w:rFonts w:hint="eastAsia" w:ascii="仿宋_GB2312" w:hAnsi="仿宋_GB2312" w:eastAsia="仿宋_GB2312"/>
          <w:color w:val="auto"/>
          <w:sz w:val="32"/>
          <w:szCs w:val="32"/>
        </w:rPr>
        <w:t>共服务（类）</w:t>
      </w:r>
      <w:r>
        <w:rPr>
          <w:rFonts w:hint="eastAsia" w:ascii="仿宋_GB2312" w:hAnsi="仿宋_GB2312" w:eastAsia="仿宋_GB2312"/>
          <w:color w:val="auto"/>
          <w:sz w:val="32"/>
          <w:szCs w:val="32"/>
          <w:lang w:eastAsia="zh-CN"/>
        </w:rPr>
        <w:t>商贸事务（款）招商引资（项）20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50</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招商引资、优化经济环境等方面的</w:t>
      </w:r>
      <w:r>
        <w:rPr>
          <w:rFonts w:hint="eastAsia" w:ascii="仿宋_GB2312" w:hAnsi="仿宋_GB2312" w:eastAsia="仿宋_GB2312"/>
          <w:color w:val="auto"/>
          <w:sz w:val="32"/>
          <w:szCs w:val="32"/>
        </w:rPr>
        <w:t>支出。</w:t>
      </w:r>
    </w:p>
    <w:p w14:paraId="6CE5B344">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.社会保障和就业支出（类）行政事业单位离退休（款）机关事业单位基本养老保险缴费支出（项）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年预算数为64.5</w:t>
      </w:r>
      <w:r>
        <w:rPr>
          <w:rFonts w:hint="eastAsia" w:ascii="仿宋_GB2312" w:hAnsi="仿宋_GB2312" w:eastAsia="仿宋_GB2312" w:cs="Times New Roman"/>
          <w:color w:val="auto"/>
          <w:sz w:val="32"/>
          <w:szCs w:val="32"/>
        </w:rPr>
        <w:t>万元，主要用于：</w:t>
      </w:r>
      <w:r>
        <w:rPr>
          <w:rFonts w:hint="eastAsia" w:ascii="仿宋_GB2312" w:hAnsi="仿宋_GB2312" w:eastAsia="仿宋_GB2312" w:cs="Times New Roman"/>
          <w:color w:val="auto"/>
          <w:sz w:val="32"/>
          <w:szCs w:val="32"/>
          <w:lang w:eastAsia="zh-CN"/>
        </w:rPr>
        <w:t>机关事业单位实施养老保险制度由单位缴纳的基本养老保险费</w:t>
      </w:r>
      <w:r>
        <w:rPr>
          <w:rFonts w:hint="eastAsia" w:ascii="仿宋_GB2312" w:hAnsi="仿宋_GB2312" w:eastAsia="仿宋_GB2312" w:cs="Times New Roman"/>
          <w:color w:val="auto"/>
          <w:sz w:val="32"/>
          <w:szCs w:val="32"/>
        </w:rPr>
        <w:t>支出。</w:t>
      </w:r>
    </w:p>
    <w:p w14:paraId="41C27582">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s="Times New Roman"/>
          <w:color w:val="auto"/>
          <w:sz w:val="32"/>
          <w:szCs w:val="32"/>
          <w:lang w:val="en-US" w:eastAsia="zh-CN"/>
        </w:rPr>
        <w:t>7.</w:t>
      </w:r>
      <w:r>
        <w:rPr>
          <w:rFonts w:hint="eastAsia" w:ascii="仿宋_GB2312" w:hAnsi="仿宋_GB2312" w:eastAsia="仿宋_GB2312" w:cs="Times New Roman"/>
          <w:color w:val="auto"/>
          <w:sz w:val="32"/>
          <w:szCs w:val="32"/>
        </w:rPr>
        <w:t>社会保障和就业支出（类）行政事业单位离退休（款）机关事业单位职业年金缴费</w:t>
      </w:r>
      <w:r>
        <w:rPr>
          <w:rFonts w:hint="eastAsia" w:ascii="仿宋_GB2312" w:hAnsi="仿宋_GB2312" w:eastAsia="仿宋_GB2312"/>
          <w:color w:val="auto"/>
          <w:sz w:val="32"/>
          <w:szCs w:val="32"/>
        </w:rPr>
        <w:t>支出（项）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年预算数为32.25万元，主要用于：</w:t>
      </w:r>
      <w:r>
        <w:rPr>
          <w:rFonts w:hint="eastAsia" w:ascii="仿宋_GB2312" w:hAnsi="仿宋_GB2312" w:eastAsia="仿宋_GB2312"/>
          <w:color w:val="auto"/>
          <w:sz w:val="32"/>
          <w:szCs w:val="32"/>
          <w:lang w:eastAsia="zh-CN"/>
        </w:rPr>
        <w:t>机关事业单位实施养老保险制度由单位实际缴纳的职业年金</w:t>
      </w:r>
      <w:r>
        <w:rPr>
          <w:rFonts w:hint="eastAsia" w:ascii="仿宋_GB2312" w:hAnsi="仿宋_GB2312" w:eastAsia="仿宋_GB2312"/>
          <w:color w:val="auto"/>
          <w:sz w:val="32"/>
          <w:szCs w:val="32"/>
        </w:rPr>
        <w:t>支出。</w:t>
      </w:r>
    </w:p>
    <w:p w14:paraId="10407644">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default" w:eastAsia="宋体"/>
          <w:lang w:val="en-US" w:eastAsia="zh-CN"/>
        </w:rPr>
      </w:pPr>
      <w:r>
        <w:rPr>
          <w:rFonts w:hint="eastAsia" w:ascii="仿宋_GB2312" w:hAnsi="仿宋_GB2312" w:eastAsia="仿宋_GB2312" w:cs="Times New Roman"/>
          <w:color w:val="auto"/>
          <w:sz w:val="32"/>
          <w:szCs w:val="32"/>
          <w:lang w:val="en-US" w:eastAsia="zh-CN"/>
        </w:rPr>
        <w:t>8.</w:t>
      </w:r>
      <w:r>
        <w:rPr>
          <w:rFonts w:hint="eastAsia" w:ascii="仿宋_GB2312" w:hAnsi="仿宋_GB2312" w:eastAsia="仿宋_GB2312" w:cs="Times New Roman"/>
          <w:color w:val="auto"/>
          <w:sz w:val="32"/>
          <w:szCs w:val="32"/>
        </w:rPr>
        <w:t>社会保障和就业支出（类）行政事业单位离退休（款）其他行政事业单位养老支出</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2.00</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其他用于机关事业单位养老方面的</w:t>
      </w:r>
      <w:r>
        <w:rPr>
          <w:rFonts w:hint="eastAsia" w:ascii="仿宋_GB2312" w:hAnsi="仿宋_GB2312" w:eastAsia="仿宋_GB2312"/>
          <w:color w:val="auto"/>
          <w:sz w:val="32"/>
          <w:szCs w:val="32"/>
        </w:rPr>
        <w:t>支出。</w:t>
      </w:r>
    </w:p>
    <w:p w14:paraId="4D2B6F62">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9</w:t>
      </w:r>
      <w:r>
        <w:rPr>
          <w:rFonts w:hint="eastAsia" w:ascii="仿宋_GB2312" w:hAnsi="仿宋_GB2312" w:eastAsia="仿宋_GB2312"/>
          <w:color w:val="auto"/>
          <w:sz w:val="32"/>
          <w:szCs w:val="32"/>
        </w:rPr>
        <w:t>.社会保障和就业支出（类）其他社会保障和就业支出（款）其他社会保障和就业支出（项）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1.86</w:t>
      </w:r>
      <w:r>
        <w:rPr>
          <w:rFonts w:hint="eastAsia" w:ascii="仿宋_GB2312" w:hAnsi="仿宋_GB2312" w:eastAsia="仿宋_GB2312"/>
          <w:color w:val="auto"/>
          <w:sz w:val="32"/>
          <w:szCs w:val="32"/>
        </w:rPr>
        <w:t>万元，主要用于：行政事业单位职</w:t>
      </w:r>
      <w:r>
        <w:rPr>
          <w:rFonts w:hint="eastAsia" w:ascii="仿宋_GB2312" w:hAnsi="仿宋_GB2312" w:eastAsia="仿宋_GB2312"/>
          <w:color w:val="auto"/>
          <w:sz w:val="32"/>
          <w:szCs w:val="32"/>
          <w:lang w:eastAsia="zh-CN"/>
        </w:rPr>
        <w:t>工</w:t>
      </w:r>
      <w:r>
        <w:rPr>
          <w:rFonts w:hint="eastAsia" w:ascii="仿宋_GB2312" w:hAnsi="仿宋_GB2312" w:eastAsia="仿宋_GB2312"/>
          <w:color w:val="auto"/>
          <w:sz w:val="32"/>
          <w:szCs w:val="32"/>
        </w:rPr>
        <w:t>失业、工伤</w:t>
      </w:r>
      <w:r>
        <w:rPr>
          <w:rFonts w:hint="eastAsia" w:ascii="仿宋_GB2312" w:hAnsi="仿宋_GB2312" w:eastAsia="仿宋_GB2312"/>
          <w:color w:val="auto"/>
          <w:sz w:val="32"/>
          <w:szCs w:val="32"/>
          <w:lang w:eastAsia="zh-CN"/>
        </w:rPr>
        <w:t>、生育</w:t>
      </w:r>
      <w:r>
        <w:rPr>
          <w:rFonts w:hint="eastAsia" w:ascii="仿宋_GB2312" w:hAnsi="仿宋_GB2312" w:eastAsia="仿宋_GB2312"/>
          <w:color w:val="auto"/>
          <w:sz w:val="32"/>
          <w:szCs w:val="32"/>
        </w:rPr>
        <w:t>保险费支出。</w:t>
      </w:r>
    </w:p>
    <w:p w14:paraId="21EB89D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.卫生健康支出（类）行政事业单位医疗（款）行政单位医疗（项）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年预算数为10.3万元，主要用于：行政单位</w:t>
      </w:r>
      <w:r>
        <w:rPr>
          <w:rFonts w:hint="eastAsia" w:ascii="仿宋_GB2312" w:hAnsi="仿宋_GB2312" w:eastAsia="仿宋_GB2312"/>
          <w:color w:val="auto"/>
          <w:sz w:val="32"/>
          <w:szCs w:val="32"/>
          <w:lang w:eastAsia="zh-CN"/>
        </w:rPr>
        <w:t>基本</w:t>
      </w:r>
      <w:r>
        <w:rPr>
          <w:rFonts w:hint="eastAsia" w:ascii="仿宋_GB2312" w:hAnsi="仿宋_GB2312" w:eastAsia="仿宋_GB2312"/>
          <w:color w:val="auto"/>
          <w:sz w:val="32"/>
          <w:szCs w:val="32"/>
        </w:rPr>
        <w:t>医疗保险缴费支出。</w:t>
      </w:r>
    </w:p>
    <w:p w14:paraId="051FBA10">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11</w:t>
      </w:r>
      <w:r>
        <w:rPr>
          <w:rFonts w:hint="eastAsia" w:ascii="仿宋_GB2312" w:hAnsi="仿宋_GB2312" w:eastAsia="仿宋_GB2312"/>
          <w:color w:val="auto"/>
          <w:sz w:val="32"/>
          <w:szCs w:val="32"/>
        </w:rPr>
        <w:t>.卫生健康支出（类）行政事业单位医疗（款）事业单位医疗（项）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年预算数为16.28万元，主要用于：事业单位</w:t>
      </w:r>
      <w:r>
        <w:rPr>
          <w:rFonts w:hint="eastAsia" w:ascii="仿宋_GB2312" w:hAnsi="仿宋_GB2312" w:eastAsia="仿宋_GB2312"/>
          <w:color w:val="auto"/>
          <w:sz w:val="32"/>
          <w:szCs w:val="32"/>
          <w:lang w:eastAsia="zh-CN"/>
        </w:rPr>
        <w:t>基本</w:t>
      </w:r>
      <w:r>
        <w:rPr>
          <w:rFonts w:hint="eastAsia" w:ascii="仿宋_GB2312" w:hAnsi="仿宋_GB2312" w:eastAsia="仿宋_GB2312"/>
          <w:color w:val="auto"/>
          <w:sz w:val="32"/>
          <w:szCs w:val="32"/>
        </w:rPr>
        <w:t>医疗保险缴费支出。</w:t>
      </w:r>
    </w:p>
    <w:p w14:paraId="387D61A4">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12.</w:t>
      </w:r>
      <w:r>
        <w:rPr>
          <w:rFonts w:hint="eastAsia" w:ascii="仿宋_GB2312" w:hAnsi="仿宋_GB2312" w:eastAsia="仿宋_GB2312"/>
          <w:color w:val="auto"/>
          <w:sz w:val="32"/>
          <w:szCs w:val="32"/>
          <w:lang w:eastAsia="zh-CN"/>
        </w:rPr>
        <w:t>节能环保支出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eastAsia="zh-CN"/>
        </w:rPr>
        <w:t>污染减排</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生态环境监测与信息</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34.49</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生态环境部门监测和信息方面的</w:t>
      </w:r>
      <w:r>
        <w:rPr>
          <w:rFonts w:hint="eastAsia" w:ascii="仿宋_GB2312" w:hAnsi="仿宋_GB2312" w:eastAsia="仿宋_GB2312"/>
          <w:color w:val="auto"/>
          <w:sz w:val="32"/>
          <w:szCs w:val="32"/>
        </w:rPr>
        <w:t>支出。</w:t>
      </w:r>
    </w:p>
    <w:p w14:paraId="7DDB2DDC">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13.</w:t>
      </w:r>
      <w:r>
        <w:rPr>
          <w:rFonts w:hint="eastAsia" w:ascii="仿宋_GB2312" w:hAnsi="仿宋_GB2312" w:eastAsia="仿宋_GB2312"/>
          <w:color w:val="auto"/>
          <w:sz w:val="32"/>
          <w:szCs w:val="32"/>
          <w:lang w:eastAsia="zh-CN"/>
        </w:rPr>
        <w:t>城乡社区支出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eastAsia="zh-CN"/>
        </w:rPr>
        <w:t>国有土地使用权出让收入安排的支出</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其他国有土地使用权出让收入安排的支出</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反映土地出让收入用于其他方面的</w:t>
      </w:r>
      <w:r>
        <w:rPr>
          <w:rFonts w:hint="eastAsia" w:ascii="仿宋_GB2312" w:hAnsi="仿宋_GB2312" w:eastAsia="仿宋_GB2312"/>
          <w:color w:val="auto"/>
          <w:sz w:val="32"/>
          <w:szCs w:val="32"/>
        </w:rPr>
        <w:t>支出。</w:t>
      </w:r>
    </w:p>
    <w:p w14:paraId="460E81F4">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14</w:t>
      </w:r>
      <w:r>
        <w:rPr>
          <w:rFonts w:hint="eastAsia" w:ascii="仿宋_GB2312" w:hAnsi="仿宋_GB2312" w:eastAsia="仿宋_GB2312"/>
          <w:color w:val="auto"/>
          <w:sz w:val="32"/>
          <w:szCs w:val="32"/>
        </w:rPr>
        <w:t>.住房保障支出（类）住房改革支出（款）住房公积金（项）</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54.30</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行政事业</w:t>
      </w:r>
      <w:r>
        <w:rPr>
          <w:rFonts w:hint="eastAsia" w:ascii="仿宋_GB2312" w:hAnsi="仿宋_GB2312" w:eastAsia="仿宋_GB2312"/>
          <w:color w:val="auto"/>
          <w:sz w:val="32"/>
          <w:szCs w:val="32"/>
        </w:rPr>
        <w:t>单位</w:t>
      </w:r>
      <w:r>
        <w:rPr>
          <w:rFonts w:hint="eastAsia" w:ascii="仿宋_GB2312" w:hAnsi="仿宋_GB2312" w:eastAsia="仿宋_GB2312"/>
          <w:color w:val="auto"/>
          <w:sz w:val="32"/>
          <w:szCs w:val="32"/>
          <w:lang w:eastAsia="zh-CN"/>
        </w:rPr>
        <w:t>按规定比例为</w:t>
      </w:r>
      <w:r>
        <w:rPr>
          <w:rFonts w:hint="eastAsia" w:ascii="仿宋_GB2312" w:hAnsi="仿宋_GB2312" w:eastAsia="仿宋_GB2312"/>
          <w:color w:val="auto"/>
          <w:sz w:val="32"/>
          <w:szCs w:val="32"/>
        </w:rPr>
        <w:t>职业</w:t>
      </w:r>
      <w:r>
        <w:rPr>
          <w:rFonts w:hint="eastAsia" w:ascii="仿宋_GB2312" w:hAnsi="仿宋_GB2312" w:eastAsia="仿宋_GB2312"/>
          <w:color w:val="auto"/>
          <w:sz w:val="32"/>
          <w:szCs w:val="32"/>
          <w:lang w:eastAsia="zh-CN"/>
        </w:rPr>
        <w:t>缴纳</w:t>
      </w:r>
      <w:r>
        <w:rPr>
          <w:rFonts w:hint="eastAsia" w:ascii="仿宋_GB2312" w:hAnsi="仿宋_GB2312" w:eastAsia="仿宋_GB2312"/>
          <w:color w:val="auto"/>
          <w:sz w:val="32"/>
          <w:szCs w:val="32"/>
        </w:rPr>
        <w:t>住房公积金支出。</w:t>
      </w:r>
    </w:p>
    <w:p w14:paraId="430B1AEE">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3" w:name="_Toc20002"/>
      <w:r>
        <w:rPr>
          <w:rFonts w:hint="eastAsia" w:ascii="黑体" w:hAnsi="黑体" w:eastAsia="黑体" w:cs="黑体"/>
          <w:color w:val="auto"/>
          <w:sz w:val="32"/>
          <w:szCs w:val="32"/>
        </w:rPr>
        <w:t>六、一般公共预算基本支出情况说明</w:t>
      </w:r>
      <w:bookmarkEnd w:id="23"/>
    </w:p>
    <w:p w14:paraId="5267E658">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769.6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其中：人员经费</w:t>
      </w:r>
      <w:r>
        <w:rPr>
          <w:rFonts w:hint="eastAsia" w:ascii="仿宋_GB2312" w:hAnsi="仿宋_GB2312" w:eastAsia="仿宋_GB2312"/>
          <w:color w:val="auto"/>
          <w:sz w:val="32"/>
          <w:szCs w:val="32"/>
          <w:lang w:val="en-US" w:eastAsia="zh-CN"/>
        </w:rPr>
        <w:t>679.13</w:t>
      </w:r>
      <w:r>
        <w:rPr>
          <w:rFonts w:hint="eastAsia" w:ascii="仿宋_GB2312" w:hAnsi="仿宋_GB2312" w:eastAsia="仿宋_GB2312"/>
          <w:color w:val="auto"/>
          <w:sz w:val="32"/>
          <w:szCs w:val="32"/>
        </w:rPr>
        <w:t>万元，主要包括：基本工资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津贴补贴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奖金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绩效工资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机关事业单位基本养老保险缴费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职业年金缴费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职工基本医疗保险缴费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其他社会保障缴费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住房公积金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其他工资福利支出</w:t>
      </w:r>
      <w:r>
        <w:rPr>
          <w:rFonts w:hint="eastAsia" w:ascii="仿宋_GB2312" w:hAnsi="仿宋_GB2312" w:eastAsia="仿宋_GB2312"/>
          <w:color w:val="auto"/>
          <w:sz w:val="32"/>
          <w:szCs w:val="32"/>
          <w:lang w:eastAsia="zh-CN"/>
        </w:rPr>
        <w:t>、奖励金、其他对个人和家庭的补助支出；</w:t>
      </w:r>
      <w:r>
        <w:rPr>
          <w:rFonts w:hint="eastAsia" w:ascii="仿宋_GB2312" w:hAnsi="仿宋_GB2312" w:eastAsia="仿宋_GB2312"/>
          <w:color w:val="auto"/>
          <w:sz w:val="32"/>
          <w:szCs w:val="32"/>
        </w:rPr>
        <w:t>公用经费</w:t>
      </w:r>
      <w:r>
        <w:rPr>
          <w:rFonts w:hint="eastAsia" w:ascii="仿宋_GB2312" w:hAnsi="仿宋_GB2312" w:eastAsia="仿宋_GB2312"/>
          <w:color w:val="auto"/>
          <w:sz w:val="32"/>
          <w:szCs w:val="32"/>
          <w:lang w:val="en-US" w:eastAsia="zh-CN"/>
        </w:rPr>
        <w:t>90.47</w:t>
      </w:r>
      <w:r>
        <w:rPr>
          <w:rFonts w:hint="eastAsia" w:ascii="仿宋_GB2312" w:hAnsi="仿宋_GB2312" w:eastAsia="仿宋_GB2312"/>
          <w:color w:val="auto"/>
          <w:sz w:val="32"/>
          <w:szCs w:val="32"/>
        </w:rPr>
        <w:t>万元，主要包括：办公费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电费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邮电费</w:t>
      </w:r>
      <w:r>
        <w:rPr>
          <w:rFonts w:hint="eastAsia" w:ascii="仿宋_GB2312" w:hAnsi="仿宋_GB2312" w:eastAsia="仿宋_GB2312"/>
          <w:color w:val="auto"/>
          <w:sz w:val="32"/>
          <w:szCs w:val="32"/>
          <w:lang w:eastAsia="zh-CN"/>
        </w:rPr>
        <w:t>、差旅费、培训费、公务接待费、工会经费、其他交通费用。</w:t>
      </w:r>
      <w:r>
        <w:rPr>
          <w:rFonts w:hint="eastAsia" w:ascii="仿宋_GB2312" w:hAnsi="仿宋_GB2312" w:eastAsia="仿宋_GB2312"/>
          <w:color w:val="auto"/>
          <w:sz w:val="32"/>
          <w:szCs w:val="32"/>
          <w:lang w:eastAsia="zh-CN"/>
        </w:rPr>
        <w:tab/>
      </w:r>
    </w:p>
    <w:p w14:paraId="6E37A65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4" w:name="_Toc7555"/>
      <w:r>
        <w:rPr>
          <w:rFonts w:hint="eastAsia" w:ascii="黑体" w:hAnsi="黑体" w:eastAsia="黑体" w:cs="黑体"/>
          <w:color w:val="auto"/>
          <w:sz w:val="32"/>
          <w:szCs w:val="32"/>
        </w:rPr>
        <w:t>七、“三公”经费财政拨款预算安排情况说明</w:t>
      </w:r>
      <w:bookmarkEnd w:id="24"/>
    </w:p>
    <w:p w14:paraId="161EB0C4">
      <w:pPr>
        <w:keepNext w:val="0"/>
        <w:keepLines w:val="0"/>
        <w:pageBreakBefore w:val="0"/>
        <w:widowControl w:val="0"/>
        <w:shd w:val="clear" w:color="auto" w:fill="FFFFFF" w:themeFill="background1"/>
        <w:kinsoku/>
        <w:wordWrap/>
        <w:overflowPunct/>
        <w:topLinePunct w:val="0"/>
        <w:bidi w:val="0"/>
        <w:spacing w:line="560" w:lineRule="exact"/>
        <w:ind w:firstLine="643"/>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0.2</w:t>
      </w:r>
      <w:r>
        <w:rPr>
          <w:rFonts w:hint="eastAsia" w:ascii="仿宋_GB2312" w:hAnsi="仿宋_GB2312" w:eastAsia="仿宋_GB2312"/>
          <w:color w:val="auto"/>
          <w:sz w:val="32"/>
          <w:szCs w:val="32"/>
        </w:rPr>
        <w:t>万元，其中：因公出国（境）经费0万元，公务接待费</w:t>
      </w:r>
      <w:r>
        <w:rPr>
          <w:rFonts w:hint="eastAsia" w:ascii="仿宋_GB2312" w:hAnsi="仿宋_GB2312" w:eastAsia="仿宋_GB2312"/>
          <w:color w:val="auto"/>
          <w:sz w:val="32"/>
          <w:szCs w:val="32"/>
          <w:lang w:val="en-US" w:eastAsia="zh-CN"/>
        </w:rPr>
        <w:t>0.2</w:t>
      </w:r>
      <w:r>
        <w:rPr>
          <w:rFonts w:hint="eastAsia" w:ascii="仿宋_GB2312" w:hAnsi="仿宋_GB2312" w:eastAsia="仿宋_GB2312"/>
          <w:color w:val="auto"/>
          <w:sz w:val="32"/>
          <w:szCs w:val="32"/>
        </w:rPr>
        <w:t>万元，公务用车购置0万元，公务用车运行维护费0万元。</w:t>
      </w:r>
    </w:p>
    <w:p w14:paraId="2FB50082">
      <w:pPr>
        <w:keepNext w:val="0"/>
        <w:keepLines w:val="0"/>
        <w:pageBreakBefore w:val="0"/>
        <w:widowControl w:val="0"/>
        <w:shd w:val="clear" w:color="auto" w:fill="FFFFFF" w:themeFill="background1"/>
        <w:kinsoku/>
        <w:wordWrap/>
        <w:overflowPunct/>
        <w:topLinePunct w:val="0"/>
        <w:bidi w:val="0"/>
        <w:spacing w:line="560" w:lineRule="exact"/>
        <w:ind w:firstLine="643"/>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（一）因公出国（境）经费与</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年预算持平。主要原因是</w:t>
      </w:r>
      <w:r>
        <w:rPr>
          <w:rFonts w:hint="eastAsia" w:ascii="仿宋_GB2312" w:hAnsi="仿宋_GB2312" w:eastAsia="仿宋_GB2312"/>
          <w:color w:val="auto"/>
          <w:sz w:val="32"/>
          <w:szCs w:val="32"/>
          <w:lang w:eastAsia="zh-CN"/>
        </w:rPr>
        <w:t>无</w:t>
      </w:r>
      <w:r>
        <w:rPr>
          <w:rFonts w:hint="eastAsia" w:ascii="仿宋_GB2312" w:hAnsi="仿宋_GB2312" w:eastAsia="仿宋_GB2312"/>
          <w:color w:val="auto"/>
          <w:sz w:val="32"/>
          <w:szCs w:val="32"/>
        </w:rPr>
        <w:t>因公出国（境）元预算。</w:t>
      </w:r>
    </w:p>
    <w:p w14:paraId="6F53A18E">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（二）公务接待费与</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年预算持平。主要原因是</w:t>
      </w:r>
      <w:r>
        <w:rPr>
          <w:rFonts w:hint="eastAsia" w:ascii="仿宋_GB2312" w:hAnsi="仿宋_GB2312" w:eastAsia="仿宋_GB2312"/>
          <w:color w:val="auto"/>
          <w:sz w:val="32"/>
          <w:szCs w:val="32"/>
          <w:lang w:eastAsia="zh-CN"/>
        </w:rPr>
        <w:t>厉行节约，严格按照三公经费标准执行</w:t>
      </w:r>
      <w:r>
        <w:rPr>
          <w:rFonts w:hint="eastAsia" w:ascii="仿宋_GB2312" w:hAnsi="仿宋_GB2312" w:eastAsia="仿宋_GB2312"/>
          <w:color w:val="auto"/>
          <w:sz w:val="32"/>
          <w:szCs w:val="32"/>
          <w:lang w:val="en-US" w:eastAsia="zh-CN"/>
        </w:rPr>
        <w:t>。</w:t>
      </w:r>
    </w:p>
    <w:p w14:paraId="144F995E">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（三）公务用车购置及运行维护费与</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年预算持平。主要原因是单位无公务用车支出。</w:t>
      </w:r>
    </w:p>
    <w:p w14:paraId="266E2569">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5" w:name="_Toc2021"/>
      <w:r>
        <w:rPr>
          <w:rFonts w:hint="eastAsia" w:ascii="黑体" w:hAnsi="黑体" w:eastAsia="黑体" w:cs="黑体"/>
          <w:color w:val="auto"/>
          <w:sz w:val="32"/>
          <w:szCs w:val="32"/>
        </w:rPr>
        <w:t>八、政府性基金预算收支情况说明</w:t>
      </w:r>
      <w:bookmarkEnd w:id="25"/>
    </w:p>
    <w:p w14:paraId="692C675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ascii="仿宋_GB2312" w:hAnsi="仿宋_GB2312" w:eastAsia="仿宋_GB2312"/>
          <w:color w:val="auto"/>
          <w:sz w:val="32"/>
          <w:szCs w:val="32"/>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年政府性基金收支总预算</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万元。收入包括：政府性基金预算收入</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与20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年政府性基金预算收入</w:t>
      </w:r>
      <w:r>
        <w:rPr>
          <w:rFonts w:hint="eastAsia" w:ascii="仿宋_GB2312" w:hAnsi="仿宋_GB2312" w:eastAsia="仿宋_GB2312"/>
          <w:color w:val="auto"/>
          <w:sz w:val="32"/>
          <w:szCs w:val="32"/>
          <w:lang w:eastAsia="zh-CN"/>
        </w:rPr>
        <w:t>相比增加</w:t>
      </w:r>
      <w:r>
        <w:rPr>
          <w:rFonts w:hint="eastAsia" w:ascii="仿宋_GB2312" w:hAnsi="仿宋_GB2312" w:eastAsia="仿宋_GB2312"/>
          <w:color w:val="auto"/>
          <w:sz w:val="32"/>
          <w:szCs w:val="32"/>
          <w:lang w:val="en-US" w:eastAsia="zh-CN"/>
        </w:rPr>
        <w:t>430万元。</w:t>
      </w:r>
      <w:r>
        <w:rPr>
          <w:rFonts w:hint="eastAsia" w:ascii="仿宋_GB2312" w:hAnsi="仿宋_GB2312" w:eastAsia="仿宋_GB2312"/>
          <w:color w:val="auto"/>
          <w:sz w:val="32"/>
          <w:szCs w:val="32"/>
        </w:rPr>
        <w:t>支出包括：城乡社区支出</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与20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年政府性基金预算</w:t>
      </w:r>
      <w:r>
        <w:rPr>
          <w:rFonts w:hint="eastAsia" w:ascii="仿宋_GB2312" w:hAnsi="仿宋_GB2312" w:eastAsia="仿宋_GB2312"/>
          <w:color w:val="auto"/>
          <w:sz w:val="32"/>
          <w:szCs w:val="32"/>
          <w:lang w:eastAsia="zh-CN"/>
        </w:rPr>
        <w:t>支出相比增加</w:t>
      </w:r>
      <w:r>
        <w:rPr>
          <w:rFonts w:hint="eastAsia" w:ascii="仿宋_GB2312" w:hAnsi="仿宋_GB2312" w:eastAsia="仿宋_GB2312"/>
          <w:color w:val="auto"/>
          <w:sz w:val="32"/>
          <w:szCs w:val="32"/>
          <w:lang w:val="en-US" w:eastAsia="zh-CN"/>
        </w:rPr>
        <w:t>430万元,增加的主要原因是为支持中小企业发展，为企业提供更好的服务，对符合优惠企业奖励政策给予更多资金支持，营造更好的营商环境</w:t>
      </w:r>
      <w:r>
        <w:rPr>
          <w:rFonts w:hint="eastAsia" w:ascii="仿宋_GB2312" w:hAnsi="仿宋_GB2312" w:eastAsia="仿宋_GB2312"/>
          <w:color w:val="auto"/>
          <w:sz w:val="32"/>
          <w:szCs w:val="32"/>
        </w:rPr>
        <w:t>。</w:t>
      </w:r>
    </w:p>
    <w:p w14:paraId="1B68E0D8">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6" w:name="_Toc17630"/>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收入预算情况</w:t>
      </w:r>
      <w:bookmarkEnd w:id="26"/>
    </w:p>
    <w:p w14:paraId="78FC0E0E">
      <w:pPr>
        <w:keepNext w:val="0"/>
        <w:keepLines w:val="0"/>
        <w:pageBreakBefore w:val="0"/>
        <w:widowControl w:val="0"/>
        <w:shd w:val="clear" w:color="auto" w:fill="FFFFFF" w:themeFill="background1"/>
        <w:kinsoku/>
        <w:wordWrap/>
        <w:overflowPunct/>
        <w:topLinePunct w:val="0"/>
        <w:bidi w:val="0"/>
        <w:spacing w:line="560" w:lineRule="exact"/>
        <w:ind w:left="64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政府性基金预算收入</w:t>
      </w:r>
      <w:r>
        <w:rPr>
          <w:rFonts w:hint="eastAsia" w:ascii="仿宋_GB2312" w:hAnsi="仿宋_GB2312" w:eastAsia="仿宋_GB2312"/>
          <w:color w:val="auto"/>
          <w:sz w:val="32"/>
          <w:szCs w:val="32"/>
          <w:lang w:val="en-US" w:eastAsia="zh-CN"/>
        </w:rPr>
        <w:t>2000</w:t>
      </w:r>
      <w:r>
        <w:rPr>
          <w:rFonts w:hint="eastAsia" w:ascii="仿宋_GB2312" w:hAnsi="仿宋_GB2312" w:eastAsia="仿宋_GB2312"/>
          <w:color w:val="auto"/>
          <w:sz w:val="32"/>
          <w:szCs w:val="32"/>
        </w:rPr>
        <w:t>万元。</w:t>
      </w:r>
    </w:p>
    <w:p w14:paraId="2AAA2DEE">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27" w:name="_Toc18567"/>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支出预算情况</w:t>
      </w:r>
      <w:bookmarkEnd w:id="27"/>
    </w:p>
    <w:p w14:paraId="36FE88EC">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rPr>
        <w:t>其他国有土地使用权出让收入安排的支出</w:t>
      </w:r>
      <w:r>
        <w:rPr>
          <w:rFonts w:hint="eastAsia" w:ascii="仿宋_GB2312" w:hAnsi="仿宋_GB2312" w:eastAsia="仿宋_GB2312" w:cs="Times New Roman"/>
          <w:color w:val="auto"/>
          <w:sz w:val="32"/>
          <w:szCs w:val="32"/>
          <w:lang w:val="en-US" w:eastAsia="zh-CN"/>
        </w:rPr>
        <w:t>2000</w:t>
      </w:r>
      <w:r>
        <w:rPr>
          <w:rFonts w:hint="eastAsia" w:ascii="仿宋_GB2312" w:hAnsi="仿宋_GB2312" w:eastAsia="仿宋_GB2312" w:cs="Times New Roman"/>
          <w:color w:val="auto"/>
          <w:sz w:val="32"/>
          <w:szCs w:val="32"/>
        </w:rPr>
        <w:t>万元</w:t>
      </w:r>
      <w:r>
        <w:rPr>
          <w:rFonts w:hint="eastAsia" w:ascii="仿宋_GB2312" w:hAnsi="仿宋_GB2312" w:eastAsia="仿宋_GB2312" w:cs="Times New Roman"/>
          <w:color w:val="auto"/>
          <w:sz w:val="32"/>
          <w:szCs w:val="32"/>
          <w:lang w:eastAsia="zh-CN"/>
        </w:rPr>
        <w:t>。</w:t>
      </w:r>
    </w:p>
    <w:p w14:paraId="4DE9321B">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8" w:name="_Toc16642"/>
      <w:r>
        <w:rPr>
          <w:rFonts w:hint="eastAsia" w:ascii="黑体" w:hAnsi="黑体" w:eastAsia="黑体" w:cs="黑体"/>
          <w:color w:val="auto"/>
          <w:sz w:val="32"/>
          <w:szCs w:val="32"/>
        </w:rPr>
        <w:t>九、国有资本经营预算支出情况说明</w:t>
      </w:r>
      <w:bookmarkEnd w:id="28"/>
    </w:p>
    <w:p w14:paraId="6B35D39A">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四川罗江经济开发区管理委员会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年使用国有资本经营预算拨款安排0万元，其中：基本支出0万元，项目支出0万元。</w:t>
      </w:r>
    </w:p>
    <w:p w14:paraId="0C8397A6">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29" w:name="_Toc29597"/>
      <w:r>
        <w:rPr>
          <w:rFonts w:hint="eastAsia" w:ascii="黑体" w:hAnsi="黑体" w:eastAsia="黑体" w:cs="黑体"/>
          <w:color w:val="auto"/>
          <w:sz w:val="32"/>
          <w:szCs w:val="32"/>
        </w:rPr>
        <w:t>十、其他重要事项的情况说明</w:t>
      </w:r>
      <w:bookmarkEnd w:id="29"/>
    </w:p>
    <w:p w14:paraId="6B24EDFB">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30" w:name="_Toc21594"/>
      <w:r>
        <w:rPr>
          <w:rFonts w:hint="eastAsia" w:ascii="楷体_GB2312" w:hAnsi="楷体_GB2312" w:eastAsia="楷体_GB2312" w:cs="楷体_GB2312"/>
          <w:b/>
          <w:bCs/>
          <w:color w:val="auto"/>
          <w:sz w:val="32"/>
          <w:szCs w:val="32"/>
        </w:rPr>
        <w:t>（一）机关运行经费</w:t>
      </w:r>
      <w:bookmarkEnd w:id="30"/>
    </w:p>
    <w:p w14:paraId="3F6905C4">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outlineLvl w:val="1"/>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年，四川罗江经济开发区管理委员会机关运行经费财政预算为</w:t>
      </w:r>
      <w:r>
        <w:rPr>
          <w:rFonts w:hint="eastAsia" w:ascii="仿宋_GB2312" w:hAnsi="仿宋_GB2312" w:eastAsia="仿宋_GB2312"/>
          <w:color w:val="auto"/>
          <w:sz w:val="32"/>
          <w:szCs w:val="32"/>
          <w:lang w:val="en-US" w:eastAsia="zh-CN"/>
        </w:rPr>
        <w:t>90.47</w:t>
      </w:r>
      <w:r>
        <w:rPr>
          <w:rFonts w:hint="eastAsia" w:ascii="仿宋_GB2312" w:hAnsi="仿宋_GB2312" w:eastAsia="仿宋_GB2312"/>
          <w:color w:val="auto"/>
          <w:sz w:val="32"/>
          <w:szCs w:val="32"/>
        </w:rPr>
        <w:t>万元，比</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13.33</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12.84</w:t>
      </w:r>
      <w:r>
        <w:rPr>
          <w:rFonts w:hint="eastAsia" w:ascii="仿宋_GB2312" w:hAnsi="仿宋_GB2312" w:eastAsia="仿宋_GB2312"/>
          <w:color w:val="auto"/>
          <w:sz w:val="32"/>
          <w:szCs w:val="32"/>
        </w:rPr>
        <w:t>%。</w:t>
      </w:r>
    </w:p>
    <w:p w14:paraId="483AD83D">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left="0" w:leftChars="0" w:firstLine="645" w:firstLineChars="0"/>
        <w:jc w:val="both"/>
        <w:textAlignment w:val="auto"/>
        <w:outlineLvl w:val="1"/>
        <w:rPr>
          <w:rFonts w:hint="eastAsia" w:ascii="楷体_GB2312" w:hAnsi="楷体_GB2312" w:eastAsia="楷体_GB2312" w:cs="楷体_GB2312"/>
          <w:b/>
          <w:bCs/>
          <w:strike w:val="0"/>
          <w:dstrike w:val="0"/>
          <w:color w:val="auto"/>
          <w:sz w:val="32"/>
          <w:szCs w:val="32"/>
        </w:rPr>
      </w:pPr>
      <w:bookmarkStart w:id="31" w:name="_Toc8810"/>
      <w:r>
        <w:rPr>
          <w:rFonts w:hint="eastAsia" w:ascii="楷体_GB2312" w:hAnsi="楷体_GB2312" w:eastAsia="楷体_GB2312" w:cs="楷体_GB2312"/>
          <w:b/>
          <w:bCs/>
          <w:strike w:val="0"/>
          <w:dstrike w:val="0"/>
          <w:color w:val="auto"/>
          <w:kern w:val="2"/>
          <w:sz w:val="32"/>
          <w:szCs w:val="32"/>
          <w:lang w:val="en-US" w:eastAsia="zh-CN" w:bidi="ar-SA"/>
        </w:rPr>
        <w:t>（三）</w:t>
      </w:r>
      <w:r>
        <w:rPr>
          <w:rFonts w:hint="eastAsia" w:ascii="楷体_GB2312" w:hAnsi="楷体_GB2312" w:eastAsia="楷体_GB2312" w:cs="楷体_GB2312"/>
          <w:b/>
          <w:bCs/>
          <w:strike w:val="0"/>
          <w:dstrike w:val="0"/>
          <w:color w:val="auto"/>
          <w:sz w:val="32"/>
          <w:szCs w:val="32"/>
        </w:rPr>
        <w:t>政府采购情况</w:t>
      </w:r>
      <w:bookmarkEnd w:id="31"/>
    </w:p>
    <w:p w14:paraId="04B9B6AA">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left="0" w:leftChars="0" w:firstLine="645" w:firstLineChars="0"/>
        <w:jc w:val="both"/>
        <w:textAlignment w:val="auto"/>
        <w:outlineLvl w:val="1"/>
        <w:rPr>
          <w:rFonts w:ascii="仿宋_GB2312" w:hAnsi="仿宋_GB2312" w:eastAsia="仿宋_GB2312"/>
          <w:strike w:val="0"/>
          <w:dstrike w:val="0"/>
          <w:color w:val="auto"/>
          <w:sz w:val="32"/>
          <w:szCs w:val="32"/>
        </w:rPr>
      </w:pPr>
      <w:r>
        <w:rPr>
          <w:rFonts w:hint="eastAsia" w:ascii="仿宋_GB2312" w:hAnsi="仿宋_GB2312" w:eastAsia="仿宋_GB2312"/>
          <w:strike w:val="0"/>
          <w:dstrike w:val="0"/>
          <w:color w:val="auto"/>
          <w:sz w:val="32"/>
          <w:szCs w:val="32"/>
          <w:lang w:val="en-US" w:eastAsia="zh-CN"/>
        </w:rPr>
        <w:t>2025</w:t>
      </w:r>
      <w:r>
        <w:rPr>
          <w:rFonts w:hint="eastAsia" w:ascii="仿宋_GB2312" w:hAnsi="仿宋_GB2312" w:eastAsia="仿宋_GB2312"/>
          <w:strike w:val="0"/>
          <w:dstrike w:val="0"/>
          <w:color w:val="auto"/>
          <w:sz w:val="32"/>
          <w:szCs w:val="32"/>
        </w:rPr>
        <w:t>年四川罗江经济开发区管理委员会安排政府采购预算</w:t>
      </w:r>
      <w:r>
        <w:rPr>
          <w:rFonts w:hint="eastAsia" w:ascii="仿宋_GB2312" w:hAnsi="仿宋_GB2312" w:eastAsia="仿宋_GB2312"/>
          <w:strike w:val="0"/>
          <w:dstrike w:val="0"/>
          <w:color w:val="auto"/>
          <w:sz w:val="32"/>
          <w:szCs w:val="32"/>
          <w:lang w:val="en-US" w:eastAsia="zh-CN"/>
        </w:rPr>
        <w:t>0</w:t>
      </w:r>
      <w:r>
        <w:rPr>
          <w:rFonts w:hint="eastAsia" w:ascii="仿宋_GB2312" w:hAnsi="仿宋_GB2312" w:eastAsia="仿宋_GB2312"/>
          <w:strike w:val="0"/>
          <w:dstrike w:val="0"/>
          <w:color w:val="auto"/>
          <w:sz w:val="32"/>
          <w:szCs w:val="32"/>
        </w:rPr>
        <w:t>万元。</w:t>
      </w:r>
    </w:p>
    <w:p w14:paraId="114D48EF">
      <w:pPr>
        <w:keepNext w:val="0"/>
        <w:keepLines w:val="0"/>
        <w:pageBreakBefore w:val="0"/>
        <w:widowControl w:val="0"/>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32" w:name="_Toc6549"/>
      <w:r>
        <w:rPr>
          <w:rFonts w:hint="eastAsia" w:ascii="楷体_GB2312" w:hAnsi="楷体_GB2312" w:eastAsia="楷体_GB2312" w:cs="楷体_GB2312"/>
          <w:b/>
          <w:bCs/>
          <w:color w:val="auto"/>
          <w:sz w:val="32"/>
          <w:szCs w:val="32"/>
        </w:rPr>
        <w:t>（三）国有资产占有使用情况</w:t>
      </w:r>
      <w:bookmarkEnd w:id="32"/>
    </w:p>
    <w:p w14:paraId="138C5F0E">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截至</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年底，四川罗江经济开发区管理委员会所属各预算单位共有固定资产总额</w:t>
      </w:r>
      <w:r>
        <w:rPr>
          <w:rFonts w:hint="eastAsia" w:ascii="仿宋_GB2312" w:hAnsi="仿宋_GB2312" w:eastAsia="仿宋_GB2312"/>
          <w:color w:val="auto"/>
          <w:sz w:val="32"/>
          <w:szCs w:val="32"/>
          <w:lang w:val="en-US" w:eastAsia="zh-CN"/>
        </w:rPr>
        <w:t>652.43</w:t>
      </w:r>
      <w:r>
        <w:rPr>
          <w:rFonts w:hint="eastAsia" w:ascii="仿宋_GB2312" w:hAnsi="仿宋_GB2312" w:eastAsia="仿宋_GB2312"/>
          <w:color w:val="auto"/>
          <w:sz w:val="32"/>
          <w:szCs w:val="32"/>
        </w:rPr>
        <w:t>万元，其中公务用车0辆。其中：办公用房59.44万元，其他固定资产</w:t>
      </w:r>
      <w:r>
        <w:rPr>
          <w:rFonts w:hint="eastAsia" w:ascii="仿宋_GB2312" w:hAnsi="仿宋_GB2312" w:eastAsia="仿宋_GB2312"/>
          <w:color w:val="auto"/>
          <w:sz w:val="32"/>
          <w:szCs w:val="32"/>
          <w:lang w:val="en-US" w:eastAsia="zh-CN"/>
        </w:rPr>
        <w:t>592.99</w:t>
      </w:r>
      <w:r>
        <w:rPr>
          <w:rFonts w:hint="eastAsia" w:ascii="仿宋_GB2312" w:hAnsi="仿宋_GB2312" w:eastAsia="仿宋_GB2312"/>
          <w:color w:val="auto"/>
          <w:sz w:val="32"/>
          <w:szCs w:val="32"/>
        </w:rPr>
        <w:t>万元。</w:t>
      </w:r>
    </w:p>
    <w:p w14:paraId="77AD0EAD">
      <w:pPr>
        <w:keepNext w:val="0"/>
        <w:keepLines w:val="0"/>
        <w:pageBreakBefore w:val="0"/>
        <w:widowControl w:val="0"/>
        <w:shd w:val="clear" w:color="auto" w:fill="FFFFFF" w:themeFill="background1"/>
        <w:kinsoku/>
        <w:wordWrap/>
        <w:overflowPunct/>
        <w:topLinePunct w:val="0"/>
        <w:bidi w:val="0"/>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年部门预算未安排购置车辆及单位价值200万元以上大型设备。</w:t>
      </w:r>
    </w:p>
    <w:p w14:paraId="1048C5C4">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3" w:firstLineChars="200"/>
        <w:jc w:val="both"/>
        <w:textAlignment w:val="auto"/>
        <w:outlineLvl w:val="1"/>
        <w:rPr>
          <w:rFonts w:hint="eastAsia" w:ascii="楷体_GB2312" w:hAnsi="楷体_GB2312" w:eastAsia="楷体_GB2312" w:cs="楷体_GB2312"/>
          <w:b/>
          <w:bCs/>
          <w:color w:val="auto"/>
          <w:sz w:val="32"/>
          <w:szCs w:val="32"/>
        </w:rPr>
      </w:pPr>
      <w:bookmarkStart w:id="33" w:name="_Toc14704"/>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绩效目标设置情况</w:t>
      </w:r>
      <w:bookmarkEnd w:id="33"/>
    </w:p>
    <w:p w14:paraId="7B36D2AE">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1"/>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年四川罗江经济开发区管理委员会部门通用项目和专用项目均按要求实行绩效目标管理，涉及</w:t>
      </w:r>
      <w:r>
        <w:rPr>
          <w:rFonts w:hint="eastAsia" w:ascii="仿宋_GB2312" w:hAnsi="仿宋_GB2312" w:eastAsia="仿宋_GB2312"/>
          <w:color w:val="auto"/>
          <w:sz w:val="32"/>
          <w:szCs w:val="32"/>
          <w:lang w:eastAsia="zh-CN"/>
        </w:rPr>
        <w:t>财政</w:t>
      </w:r>
      <w:r>
        <w:rPr>
          <w:rFonts w:hint="eastAsia" w:ascii="仿宋_GB2312" w:hAnsi="仿宋_GB2312" w:eastAsia="仿宋_GB2312"/>
          <w:color w:val="auto"/>
          <w:sz w:val="32"/>
          <w:szCs w:val="32"/>
        </w:rPr>
        <w:t>当年拨款</w:t>
      </w:r>
      <w:r>
        <w:rPr>
          <w:rFonts w:hint="eastAsia" w:ascii="仿宋_GB2312" w:hAnsi="仿宋_GB2312" w:eastAsia="仿宋_GB2312"/>
          <w:color w:val="auto"/>
          <w:sz w:val="32"/>
          <w:szCs w:val="32"/>
          <w:lang w:val="en-US" w:eastAsia="zh-CN"/>
        </w:rPr>
        <w:t>3832.89</w:t>
      </w:r>
      <w:r>
        <w:rPr>
          <w:rFonts w:hint="eastAsia" w:ascii="仿宋_GB2312" w:hAnsi="仿宋_GB2312" w:eastAsia="仿宋_GB2312"/>
          <w:color w:val="auto"/>
          <w:sz w:val="32"/>
          <w:szCs w:val="32"/>
        </w:rPr>
        <w:t>万元。</w:t>
      </w:r>
    </w:p>
    <w:p w14:paraId="5E89B3E9">
      <w:pPr>
        <w:keepNext w:val="0"/>
        <w:keepLines w:val="0"/>
        <w:pageBreakBefore w:val="0"/>
        <w:widowControl w:val="0"/>
        <w:numPr>
          <w:ilvl w:val="0"/>
          <w:numId w:val="1"/>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34" w:name="_Toc3448"/>
      <w:r>
        <w:rPr>
          <w:rFonts w:hint="eastAsia" w:ascii="黑体" w:hAnsi="黑体" w:eastAsia="黑体" w:cs="黑体"/>
          <w:color w:val="auto"/>
          <w:sz w:val="32"/>
          <w:szCs w:val="32"/>
        </w:rPr>
        <w:t>名词解释</w:t>
      </w:r>
      <w:bookmarkEnd w:id="34"/>
    </w:p>
    <w:p w14:paraId="230A7EE5">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3" w:firstLineChars="200"/>
        <w:jc w:val="both"/>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）一般公共预算拨款收入：</w:t>
      </w:r>
      <w:r>
        <w:rPr>
          <w:rFonts w:hint="eastAsia" w:ascii="仿宋_GB2312" w:hAnsi="仿宋_GB2312" w:eastAsia="仿宋_GB2312"/>
          <w:color w:val="auto"/>
          <w:sz w:val="32"/>
          <w:szCs w:val="32"/>
        </w:rPr>
        <w:t>指区级财政当年</w:t>
      </w:r>
      <w:r>
        <w:rPr>
          <w:rFonts w:hint="eastAsia" w:ascii="仿宋_GB2312" w:hAnsi="仿宋_GB2312" w:eastAsia="仿宋_GB2312"/>
          <w:color w:val="auto"/>
          <w:sz w:val="32"/>
          <w:szCs w:val="32"/>
          <w:lang w:eastAsia="zh-CN"/>
        </w:rPr>
        <w:t>公共预算</w:t>
      </w:r>
      <w:r>
        <w:rPr>
          <w:rFonts w:hint="eastAsia" w:ascii="仿宋_GB2312" w:hAnsi="仿宋_GB2312" w:eastAsia="仿宋_GB2312"/>
          <w:color w:val="auto"/>
          <w:sz w:val="32"/>
          <w:szCs w:val="32"/>
        </w:rPr>
        <w:t>拨付的资金。</w:t>
      </w:r>
    </w:p>
    <w:p w14:paraId="7ED536DF">
      <w:pPr>
        <w:keepNext w:val="0"/>
        <w:keepLines w:val="0"/>
        <w:pageBreakBefore w:val="0"/>
        <w:widowControl w:val="0"/>
        <w:numPr>
          <w:ilvl w:val="0"/>
          <w:numId w:val="0"/>
        </w:numPr>
        <w:shd w:val="clear" w:color="auto" w:fill="FFFFFF" w:themeFill="background1"/>
        <w:kinsoku/>
        <w:wordWrap/>
        <w:overflowPunct/>
        <w:topLinePunct w:val="0"/>
        <w:bidi w:val="0"/>
        <w:spacing w:line="240" w:lineRule="auto"/>
        <w:ind w:firstLine="643" w:firstLineChars="200"/>
        <w:jc w:val="both"/>
        <w:textAlignment w:val="auto"/>
        <w:rPr>
          <w:rFonts w:hint="eastAsia" w:ascii="仿宋_GB2312" w:hAnsi="仿宋_GB2312" w:eastAsia="仿宋_GB2312"/>
          <w:color w:val="auto"/>
          <w:sz w:val="32"/>
          <w:szCs w:val="32"/>
          <w:lang w:eastAsia="zh-CN"/>
        </w:rPr>
      </w:pP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政府性基金</w:t>
      </w:r>
      <w:r>
        <w:rPr>
          <w:rFonts w:hint="eastAsia" w:ascii="楷体_GB2312" w:hAnsi="楷体_GB2312" w:eastAsia="楷体_GB2312" w:cs="楷体_GB2312"/>
          <w:b/>
          <w:bCs/>
          <w:color w:val="auto"/>
          <w:sz w:val="32"/>
          <w:szCs w:val="32"/>
        </w:rPr>
        <w:t>款收入：</w:t>
      </w:r>
      <w:r>
        <w:rPr>
          <w:rFonts w:hint="eastAsia" w:ascii="仿宋_GB2312" w:hAnsi="仿宋_GB2312" w:eastAsia="仿宋_GB2312"/>
          <w:color w:val="auto"/>
          <w:sz w:val="32"/>
          <w:szCs w:val="32"/>
        </w:rPr>
        <w:t>指区级财政</w:t>
      </w:r>
      <w:r>
        <w:rPr>
          <w:rFonts w:hint="eastAsia" w:ascii="仿宋_GB2312" w:hAnsi="仿宋_GB2312" w:eastAsia="仿宋_GB2312"/>
          <w:color w:val="auto"/>
          <w:sz w:val="32"/>
          <w:szCs w:val="32"/>
          <w:lang w:eastAsia="zh-CN"/>
        </w:rPr>
        <w:t>根据法律、行政法规规定并国务院或财政批准，向公民、法人和其他组织征收的政府性基金，以及参照政府性基金管理或纳入基金预算、具有特定用途的财政资金。</w:t>
      </w:r>
    </w:p>
    <w:p w14:paraId="6F477D5F">
      <w:pPr>
        <w:keepNext w:val="0"/>
        <w:keepLines w:val="0"/>
        <w:pageBreakBefore w:val="0"/>
        <w:widowControl w:val="0"/>
        <w:numPr>
          <w:ilvl w:val="0"/>
          <w:numId w:val="0"/>
        </w:numPr>
        <w:shd w:val="clear" w:color="auto" w:fill="FFFFFF" w:themeFill="background1"/>
        <w:kinsoku/>
        <w:wordWrap/>
        <w:overflowPunct/>
        <w:topLinePunct w:val="0"/>
        <w:bidi w:val="0"/>
        <w:spacing w:line="240" w:lineRule="auto"/>
        <w:ind w:firstLine="643" w:firstLineChars="200"/>
        <w:jc w:val="both"/>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）上年结转：</w:t>
      </w:r>
      <w:r>
        <w:rPr>
          <w:rFonts w:hint="eastAsia" w:ascii="仿宋_GB2312" w:hAnsi="仿宋_GB2312" w:eastAsia="仿宋_GB2312"/>
          <w:color w:val="auto"/>
          <w:sz w:val="32"/>
          <w:szCs w:val="32"/>
        </w:rPr>
        <w:t>指以前年度尚未完成、结转到本年仍按原规定用途继续使用的资金。</w:t>
      </w:r>
    </w:p>
    <w:p w14:paraId="5CA3F062">
      <w:pPr>
        <w:keepNext w:val="0"/>
        <w:keepLines w:val="0"/>
        <w:pageBreakBefore w:val="0"/>
        <w:widowControl w:val="0"/>
        <w:numPr>
          <w:ilvl w:val="0"/>
          <w:numId w:val="0"/>
        </w:numPr>
        <w:shd w:val="clear" w:color="auto" w:fill="FFFFFF" w:themeFill="background1"/>
        <w:kinsoku/>
        <w:wordWrap/>
        <w:overflowPunct/>
        <w:topLinePunct w:val="0"/>
        <w:bidi w:val="0"/>
        <w:spacing w:line="240" w:lineRule="auto"/>
        <w:ind w:firstLine="643" w:firstLineChars="200"/>
        <w:jc w:val="both"/>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）基本支出：</w:t>
      </w:r>
      <w:r>
        <w:rPr>
          <w:rFonts w:hint="eastAsia" w:ascii="仿宋_GB2312" w:hAnsi="仿宋_GB2312" w:eastAsia="仿宋_GB2312"/>
          <w:color w:val="auto"/>
          <w:sz w:val="32"/>
          <w:szCs w:val="32"/>
        </w:rPr>
        <w:t>指为保障机构正常运转、完成日常工作任务所必需的人员经费和日常公用经费。</w:t>
      </w:r>
    </w:p>
    <w:p w14:paraId="54EF4E26">
      <w:pPr>
        <w:keepNext w:val="0"/>
        <w:keepLines w:val="0"/>
        <w:pageBreakBefore w:val="0"/>
        <w:widowControl w:val="0"/>
        <w:numPr>
          <w:ilvl w:val="0"/>
          <w:numId w:val="0"/>
        </w:numPr>
        <w:shd w:val="clear" w:color="auto" w:fill="FFFFFF" w:themeFill="background1"/>
        <w:kinsoku/>
        <w:wordWrap/>
        <w:overflowPunct/>
        <w:topLinePunct w:val="0"/>
        <w:bidi w:val="0"/>
        <w:spacing w:line="240" w:lineRule="auto"/>
        <w:ind w:firstLine="643" w:firstLineChars="200"/>
        <w:jc w:val="both"/>
        <w:textAlignment w:val="auto"/>
        <w:rPr>
          <w:rFonts w:ascii="仿宋_GB2312" w:hAnsi="仿宋_GB2312" w:eastAsia="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）项目支出：</w:t>
      </w:r>
      <w:r>
        <w:rPr>
          <w:rFonts w:hint="eastAsia" w:ascii="仿宋_GB2312" w:hAnsi="仿宋_GB2312" w:eastAsia="仿宋_GB2312"/>
          <w:color w:val="auto"/>
          <w:sz w:val="32"/>
          <w:szCs w:val="32"/>
        </w:rPr>
        <w:t>指在基本支出之外，为完成特定的行政工作任务或事业发展目标所发生的支出。</w:t>
      </w:r>
    </w:p>
    <w:p w14:paraId="1E033FA9">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ascii="仿宋_GB2312" w:hAnsi="仿宋_GB2312" w:eastAsia="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）“三公”经费：</w:t>
      </w:r>
      <w:r>
        <w:rPr>
          <w:rFonts w:hint="eastAsia" w:ascii="仿宋_GB2312" w:hAnsi="仿宋_GB2312" w:eastAsia="仿宋_GB2312"/>
          <w:color w:val="auto"/>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53008C22">
      <w:pPr>
        <w:keepNext w:val="0"/>
        <w:keepLines w:val="0"/>
        <w:pageBreakBefore w:val="0"/>
        <w:widowControl w:val="0"/>
        <w:shd w:val="clear" w:color="auto" w:fill="FFFFFF" w:themeFill="background1"/>
        <w:kinsoku/>
        <w:wordWrap/>
        <w:overflowPunct/>
        <w:topLinePunct w:val="0"/>
        <w:autoSpaceDE w:val="0"/>
        <w:autoSpaceDN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）一般公共服务支出（类）政府办公厅（室）及相关机构事务（款）行政运行（项）: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行政单位（包括实行公务员管理的事业单位）的基本支出。</w:t>
      </w:r>
    </w:p>
    <w:p w14:paraId="4330C8ED">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（八）一般公共服务（类）政府办公厅（室）及相关机构事务（款）事业运行（项）: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事业单位的基础支出，不包括行政单位（包括实行公务员管理的事业单位）后勤服务中心、医务室等附属事业单位。</w:t>
      </w:r>
    </w:p>
    <w:p w14:paraId="49C7AA89">
      <w:pPr>
        <w:keepNext w:val="0"/>
        <w:keepLines w:val="0"/>
        <w:pageBreakBefore w:val="0"/>
        <w:widowControl w:val="0"/>
        <w:shd w:val="clear" w:color="auto" w:fill="FFFFFF" w:themeFill="background1"/>
        <w:kinsoku/>
        <w:wordWrap/>
        <w:overflowPunct/>
        <w:topLinePunct w:val="0"/>
        <w:bidi w:val="0"/>
        <w:spacing w:line="560" w:lineRule="exact"/>
        <w:ind w:firstLine="643"/>
        <w:jc w:val="both"/>
        <w:textAlignment w:val="auto"/>
        <w:rPr>
          <w:rFonts w:ascii="仿宋_GB2312" w:hAnsi="仿宋_GB2312" w:eastAsia="仿宋_GB2312"/>
          <w:color w:val="auto"/>
          <w:sz w:val="32"/>
        </w:rPr>
      </w:pPr>
      <w:r>
        <w:rPr>
          <w:rFonts w:hint="eastAsia" w:ascii="楷体_GB2312" w:hAnsi="楷体_GB2312" w:eastAsia="楷体_GB2312" w:cs="楷体_GB2312"/>
          <w:b/>
          <w:bCs/>
          <w:color w:val="auto"/>
          <w:sz w:val="32"/>
          <w:szCs w:val="32"/>
        </w:rPr>
        <w:t>（九）社会保障和就业（类）其他社会保障和就业支出（款）其他社会保障和就业支出（项）:</w:t>
      </w:r>
      <w:r>
        <w:rPr>
          <w:rFonts w:ascii="仿宋_GB2312" w:hAnsi="仿宋_GB2312" w:eastAsia="仿宋_GB2312"/>
          <w:color w:val="auto"/>
          <w:sz w:val="32"/>
        </w:rPr>
        <w:t>反</w:t>
      </w:r>
      <w:r>
        <w:rPr>
          <w:rFonts w:hint="eastAsia" w:ascii="仿宋_GB2312" w:hAnsi="仿宋_GB2312" w:eastAsia="仿宋_GB2312"/>
          <w:color w:val="auto"/>
          <w:sz w:val="32"/>
        </w:rPr>
        <w:t>映</w:t>
      </w:r>
      <w:r>
        <w:rPr>
          <w:rFonts w:ascii="仿宋_GB2312" w:hAnsi="仿宋_GB2312" w:eastAsia="仿宋_GB2312"/>
          <w:color w:val="auto"/>
          <w:sz w:val="32"/>
        </w:rPr>
        <w:t>其他用于社会保障和就业方面的支出。</w:t>
      </w:r>
    </w:p>
    <w:p w14:paraId="176D18E2">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（十）社会保障和就业（类）行政事业单位离退休（款）机关事业单位基本养老保险缴费支出（项）: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机关事业单位实施养老保险支付由单位缴纳的基本养老保险费支出。</w:t>
      </w:r>
    </w:p>
    <w:p w14:paraId="30C05078">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（十一）社会保障和就业（类）行政事业单位离退休（款）机关事业单位职业年金缴费支出（项）: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机关事业单位实施养老保险制度由单位实际缴纳的职业年金支出。</w:t>
      </w:r>
    </w:p>
    <w:p w14:paraId="0430FB0E">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（十二）医疗卫生与计划生育（类）医疗保障（款）行政单位医疗（项）: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财政部门集中安排的行政单位基本医疗保险缴费经费，未参加医疗保险的行政单位的公费医疗经费，按国家规定享受离休人员、红军老战士待遇人员的医疗经费。</w:t>
      </w:r>
    </w:p>
    <w:p w14:paraId="32F1703F">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（十三）医疗卫生与计划生育（类）医疗保障（款）事业单位医疗（项）: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财政部门集中安排的事业单位基本医疗保险缴费经费，未参加医疗保险的事业单位的公费医疗经费，按国家规定享受离休人员、红军老战士待遇人员的医疗经费。</w:t>
      </w:r>
    </w:p>
    <w:p w14:paraId="40E8D367">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hAnsi="仿宋_GB2312" w:eastAsia="仿宋_GB2312"/>
          <w:color w:val="auto"/>
          <w:sz w:val="32"/>
        </w:rPr>
      </w:pPr>
      <w:r>
        <w:rPr>
          <w:rFonts w:hint="eastAsia" w:ascii="楷体_GB2312" w:hAnsi="楷体_GB2312" w:eastAsia="楷体_GB2312" w:cs="楷体_GB2312"/>
          <w:b/>
          <w:bCs/>
          <w:color w:val="auto"/>
          <w:sz w:val="32"/>
          <w:szCs w:val="32"/>
        </w:rPr>
        <w:t>（十四）医疗卫生与计划生育（类）行政事业单位医疗（款）其他行政事业单位医疗支出（项）:</w:t>
      </w:r>
      <w:r>
        <w:rPr>
          <w:rFonts w:ascii="仿宋_GB2312" w:hAnsi="仿宋_GB2312" w:eastAsia="仿宋_GB2312"/>
          <w:color w:val="auto"/>
          <w:sz w:val="32"/>
        </w:rPr>
        <w:t>反</w:t>
      </w:r>
      <w:r>
        <w:rPr>
          <w:rFonts w:hint="eastAsia" w:ascii="仿宋_GB2312" w:hAnsi="仿宋_GB2312" w:eastAsia="仿宋_GB2312"/>
          <w:color w:val="auto"/>
          <w:sz w:val="32"/>
        </w:rPr>
        <w:t>映</w:t>
      </w:r>
      <w:r>
        <w:rPr>
          <w:rFonts w:ascii="仿宋_GB2312" w:hAnsi="仿宋_GB2312" w:eastAsia="仿宋_GB2312"/>
          <w:color w:val="auto"/>
          <w:sz w:val="32"/>
        </w:rPr>
        <w:t>其他用于行政事业单位医疗方面的支出。</w:t>
      </w:r>
    </w:p>
    <w:p w14:paraId="0683C91D">
      <w:pPr>
        <w:pStyle w:val="13"/>
        <w:keepNext w:val="0"/>
        <w:keepLines w:val="0"/>
        <w:pageBreakBefore w:val="0"/>
        <w:widowControl w:val="0"/>
        <w:shd w:val="clear" w:color="auto" w:fill="FFFFFF" w:themeFill="background1"/>
        <w:kinsoku/>
        <w:wordWrap/>
        <w:overflowPunct/>
        <w:topLinePunct w:val="0"/>
        <w:bidi w:val="0"/>
        <w:spacing w:after="0" w:line="560" w:lineRule="exact"/>
        <w:ind w:left="0" w:leftChars="0"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kern w:val="2"/>
          <w:sz w:val="32"/>
          <w:szCs w:val="32"/>
          <w:lang w:val="en-US" w:eastAsia="zh-CN" w:bidi="ar-SA"/>
        </w:rPr>
        <w:t>（十五）城乡社区事务支出（类）国有土地使用权出让收入及对映专项债务收入安排的支出（款）其他国有土地使用权出让收入安排的支出（项）：</w:t>
      </w:r>
      <w:r>
        <w:rPr>
          <w:rFonts w:hint="eastAsia" w:ascii="仿宋_GB2312" w:eastAsia="仿宋_GB2312"/>
          <w:color w:val="auto"/>
          <w:sz w:val="32"/>
        </w:rPr>
        <w:t>反映土地出让收入用于其他方面的支出。不包括市县级政府当年按规定用土地出让收入向中央和省级政府缴纳的新增建设用地土地有偿使用费的支出。</w:t>
      </w:r>
    </w:p>
    <w:p w14:paraId="44AE92B5">
      <w:pPr>
        <w:keepNext w:val="0"/>
        <w:keepLines w:val="0"/>
        <w:pageBreakBefore w:val="0"/>
        <w:widowControl w:val="0"/>
        <w:shd w:val="clear" w:color="auto" w:fill="FFFFFF" w:themeFill="background1"/>
        <w:kinsoku/>
        <w:wordWrap/>
        <w:overflowPunct/>
        <w:topLinePunct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（十六）住房保障支出（类）住房改革支出（款）住房公积金（项）:</w:t>
      </w:r>
      <w:r>
        <w:rPr>
          <w:rFonts w:ascii="仿宋_GB2312" w:eastAsia="仿宋_GB2312"/>
          <w:color w:val="auto"/>
          <w:sz w:val="32"/>
        </w:rPr>
        <w:t>反</w:t>
      </w:r>
      <w:r>
        <w:rPr>
          <w:rFonts w:hint="eastAsia" w:ascii="仿宋_GB2312" w:eastAsia="仿宋_GB2312"/>
          <w:color w:val="auto"/>
          <w:sz w:val="32"/>
        </w:rPr>
        <w:t>映</w:t>
      </w:r>
      <w:r>
        <w:rPr>
          <w:rFonts w:ascii="仿宋_GB2312" w:eastAsia="仿宋_GB2312"/>
          <w:color w:val="auto"/>
          <w:sz w:val="32"/>
        </w:rPr>
        <w:t>行政事业单位按人力资源和社会保障部、财政部规定的基本工资和津贴补贴以及规定比例向职工缴纳住房公积金。</w:t>
      </w:r>
    </w:p>
    <w:p w14:paraId="0CD7D41D">
      <w:pPr>
        <w:keepNext w:val="0"/>
        <w:keepLines w:val="0"/>
        <w:pageBreakBefore w:val="0"/>
        <w:widowControl w:val="0"/>
        <w:shd w:val="clear" w:color="auto" w:fill="FFFFFF" w:themeFill="background1"/>
        <w:kinsoku/>
        <w:wordWrap/>
        <w:overflowPunct/>
        <w:topLinePunct w:val="0"/>
        <w:autoSpaceDE w:val="0"/>
        <w:autoSpaceDN w:val="0"/>
        <w:bidi w:val="0"/>
        <w:spacing w:line="560" w:lineRule="exact"/>
        <w:ind w:firstLine="640"/>
        <w:jc w:val="both"/>
        <w:textAlignment w:val="auto"/>
        <w:rPr>
          <w:rFonts w:ascii="仿宋_GB2312" w:eastAsia="仿宋_GB2312"/>
          <w:color w:val="auto"/>
          <w:sz w:val="32"/>
        </w:rPr>
      </w:pPr>
      <w:r>
        <w:rPr>
          <w:rFonts w:hint="eastAsia" w:ascii="楷体_GB2312" w:hAnsi="楷体_GB2312" w:eastAsia="楷体_GB2312" w:cs="楷体_GB2312"/>
          <w:b/>
          <w:bCs/>
          <w:color w:val="auto"/>
          <w:sz w:val="32"/>
          <w:szCs w:val="32"/>
        </w:rPr>
        <w:t>（十七）机关运行经费：</w:t>
      </w:r>
      <w:r>
        <w:rPr>
          <w:rFonts w:ascii="仿宋_GB2312" w:eastAsia="仿宋_GB2312"/>
          <w:color w:val="auto"/>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285546">
      <w:pPr>
        <w:pStyle w:val="13"/>
        <w:keepNext w:val="0"/>
        <w:keepLines w:val="0"/>
        <w:pageBreakBefore w:val="0"/>
        <w:widowControl w:val="0"/>
        <w:shd w:val="clear" w:color="auto" w:fill="FFFFFF" w:themeFill="background1"/>
        <w:kinsoku/>
        <w:wordWrap/>
        <w:overflowPunct/>
        <w:topLinePunct w:val="0"/>
        <w:bidi w:val="0"/>
        <w:spacing w:after="0" w:line="560" w:lineRule="exact"/>
        <w:ind w:left="0" w:leftChars="0" w:firstLine="640"/>
        <w:jc w:val="both"/>
        <w:textAlignment w:val="auto"/>
        <w:rPr>
          <w:rFonts w:hint="eastAsia" w:ascii="仿宋_GB2312" w:hAnsi="Times New Roman" w:eastAsia="仿宋_GB2312" w:cs="Times New Roman"/>
          <w:color w:val="auto"/>
          <w:kern w:val="2"/>
          <w:sz w:val="32"/>
          <w:szCs w:val="24"/>
          <w:lang w:val="en-US" w:eastAsia="zh-CN" w:bidi="ar-SA"/>
        </w:rPr>
      </w:pPr>
      <w:r>
        <w:rPr>
          <w:rFonts w:hint="eastAsia" w:ascii="楷体_GB2312" w:hAnsi="楷体_GB2312" w:eastAsia="楷体_GB2312" w:cs="楷体_GB2312"/>
          <w:b/>
          <w:bCs/>
          <w:color w:val="auto"/>
          <w:kern w:val="2"/>
          <w:sz w:val="32"/>
          <w:szCs w:val="32"/>
          <w:lang w:val="en-US" w:eastAsia="zh-CN" w:bidi="ar-SA"/>
        </w:rPr>
        <w:t>(十八）.一般公共服务（类）政府办公厅（室）及相关机构事务（款）一般行政管理事务（项）：</w:t>
      </w:r>
      <w:r>
        <w:rPr>
          <w:rFonts w:hint="eastAsia" w:ascii="仿宋_GB2312" w:hAnsi="Times New Roman" w:eastAsia="仿宋_GB2312" w:cs="Times New Roman"/>
          <w:color w:val="auto"/>
          <w:kern w:val="2"/>
          <w:sz w:val="32"/>
          <w:szCs w:val="24"/>
          <w:lang w:val="en-US" w:eastAsia="zh-CN" w:bidi="ar-SA"/>
        </w:rPr>
        <w:t>反映行政单位</w:t>
      </w:r>
      <w:r>
        <w:rPr>
          <w:rFonts w:hint="eastAsia" w:ascii="仿宋_GB2312" w:eastAsia="仿宋_GB2312" w:cs="Times New Roman"/>
          <w:color w:val="auto"/>
          <w:kern w:val="2"/>
          <w:sz w:val="32"/>
          <w:szCs w:val="24"/>
          <w:lang w:val="en-US" w:eastAsia="zh-CN" w:bidi="ar-SA"/>
        </w:rPr>
        <w:t>（包括实行公务员管理的事业单位）未单独设置项目项级科目的其他项目支出。</w:t>
      </w:r>
    </w:p>
    <w:p w14:paraId="1A211FD0">
      <w:pPr>
        <w:keepNext w:val="0"/>
        <w:keepLines w:val="0"/>
        <w:pageBreakBefore w:val="0"/>
        <w:widowControl w:val="0"/>
        <w:shd w:val="clear" w:color="auto" w:fill="FFFFFF" w:themeFill="background1"/>
        <w:kinsoku/>
        <w:wordWrap/>
        <w:overflowPunct/>
        <w:topLinePunct w:val="0"/>
        <w:bidi w:val="0"/>
        <w:spacing w:line="560" w:lineRule="exact"/>
        <w:ind w:firstLine="645"/>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（十九）.一般公共服务（类）商贸事务（款）招商引资（项）：</w:t>
      </w:r>
      <w:r>
        <w:rPr>
          <w:rFonts w:hint="eastAsia" w:ascii="仿宋_GB2312" w:hAnsi="Times New Roman" w:eastAsia="仿宋_GB2312" w:cs="Times New Roman"/>
          <w:color w:val="auto"/>
          <w:kern w:val="2"/>
          <w:sz w:val="32"/>
          <w:szCs w:val="24"/>
          <w:lang w:val="en-US" w:eastAsia="zh-CN" w:bidi="ar-SA"/>
        </w:rPr>
        <w:t>反映用于招商引资、优化经济环境等方面的支出。</w:t>
      </w:r>
    </w:p>
    <w:p w14:paraId="3BE8132F">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bookmarkStart w:id="35" w:name="_Toc27526"/>
    </w:p>
    <w:p w14:paraId="34314272">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p>
    <w:p w14:paraId="0690EDFD">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p>
    <w:p w14:paraId="08BC0359">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jc w:val="both"/>
        <w:textAlignment w:val="auto"/>
        <w:outlineLvl w:val="0"/>
        <w:rPr>
          <w:rFonts w:hint="eastAsia" w:ascii="黑体" w:hAnsi="黑体" w:eastAsia="黑体" w:cs="黑体"/>
          <w:color w:val="auto"/>
          <w:sz w:val="32"/>
          <w:szCs w:val="32"/>
        </w:rPr>
      </w:pPr>
    </w:p>
    <w:p w14:paraId="127C1571">
      <w:pPr>
        <w:pStyle w:val="2"/>
        <w:rPr>
          <w:rFonts w:hint="eastAsia"/>
        </w:rPr>
      </w:pPr>
    </w:p>
    <w:p w14:paraId="4542333E">
      <w:pPr>
        <w:keepNext w:val="0"/>
        <w:keepLines w:val="0"/>
        <w:pageBreakBefore w:val="0"/>
        <w:widowControl w:val="0"/>
        <w:numPr>
          <w:ilvl w:val="0"/>
          <w:numId w:val="0"/>
        </w:numPr>
        <w:shd w:val="clear" w:color="auto" w:fill="FFFFFF" w:themeFill="background1"/>
        <w:kinsoku/>
        <w:wordWrap/>
        <w:overflowPunct/>
        <w:topLinePunct w:val="0"/>
        <w:bidi w:val="0"/>
        <w:spacing w:line="56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附件：</w:t>
      </w:r>
      <w:bookmarkEnd w:id="35"/>
    </w:p>
    <w:p w14:paraId="0F985A9B">
      <w:pPr>
        <w:keepNext w:val="0"/>
        <w:keepLines w:val="0"/>
        <w:pageBreakBefore w:val="0"/>
        <w:widowControl w:val="0"/>
        <w:numPr>
          <w:ilvl w:val="0"/>
          <w:numId w:val="2"/>
        </w:numPr>
        <w:shd w:val="clear" w:color="auto" w:fill="FFFFFF" w:themeFill="background1"/>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四川</w:t>
      </w:r>
      <w:r>
        <w:rPr>
          <w:rFonts w:hint="eastAsia" w:ascii="仿宋_GB2312" w:hAnsi="仿宋_GB2312" w:eastAsia="仿宋_GB2312"/>
          <w:color w:val="auto"/>
          <w:sz w:val="32"/>
          <w:szCs w:val="32"/>
        </w:rPr>
        <w:t>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w:t>
      </w:r>
      <w:r>
        <w:rPr>
          <w:rFonts w:hint="eastAsia" w:ascii="仿宋_GB2312" w:hAnsi="仿宋_GB2312" w:eastAsia="仿宋_GB2312"/>
          <w:color w:val="auto"/>
          <w:sz w:val="32"/>
          <w:szCs w:val="32"/>
          <w:lang w:eastAsia="zh-CN"/>
        </w:rPr>
        <w:t>公开表</w:t>
      </w:r>
      <w:r>
        <w:rPr>
          <w:rFonts w:hint="eastAsia" w:ascii="仿宋_GB2312" w:hAnsi="仿宋_GB2312" w:eastAsia="仿宋_GB2312"/>
          <w:sz w:val="32"/>
          <w:szCs w:val="32"/>
          <w:lang w:eastAsia="zh-CN"/>
        </w:rPr>
        <w:t>（见附件目录）</w:t>
      </w:r>
    </w:p>
    <w:p w14:paraId="11CDCC16">
      <w:pPr>
        <w:keepNext w:val="0"/>
        <w:keepLines w:val="0"/>
        <w:pageBreakBefore w:val="0"/>
        <w:widowControl w:val="0"/>
        <w:numPr>
          <w:ilvl w:val="0"/>
          <w:numId w:val="2"/>
        </w:numPr>
        <w:shd w:val="clear" w:color="auto" w:fill="FFFFFF" w:themeFill="background1"/>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四川</w:t>
      </w:r>
      <w:r>
        <w:rPr>
          <w:rFonts w:hint="eastAsia" w:ascii="仿宋_GB2312" w:hAnsi="仿宋_GB2312" w:eastAsia="仿宋_GB2312"/>
          <w:color w:val="auto"/>
          <w:sz w:val="32"/>
          <w:szCs w:val="32"/>
        </w:rPr>
        <w:t>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部门项目目标绩效公开表</w:t>
      </w:r>
    </w:p>
    <w:p w14:paraId="3B8F13CD">
      <w:pPr>
        <w:keepNext w:val="0"/>
        <w:keepLines w:val="0"/>
        <w:pageBreakBefore w:val="0"/>
        <w:widowControl w:val="0"/>
        <w:numPr>
          <w:ilvl w:val="0"/>
          <w:numId w:val="2"/>
        </w:numPr>
        <w:shd w:val="clear" w:color="auto" w:fill="FFFFFF" w:themeFill="background1"/>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四川</w:t>
      </w:r>
      <w:r>
        <w:rPr>
          <w:rFonts w:hint="eastAsia" w:ascii="仿宋_GB2312" w:hAnsi="仿宋_GB2312" w:eastAsia="仿宋_GB2312"/>
          <w:color w:val="auto"/>
          <w:sz w:val="32"/>
          <w:szCs w:val="32"/>
        </w:rPr>
        <w:t>罗江经济开发区管理委员会</w:t>
      </w:r>
      <w:r>
        <w:rPr>
          <w:rFonts w:hint="eastAsia" w:ascii="仿宋_GB2312" w:hAnsi="仿宋_GB2312" w:eastAsia="仿宋_GB2312"/>
          <w:color w:val="auto"/>
          <w:sz w:val="32"/>
          <w:szCs w:val="32"/>
          <w:lang w:eastAsia="zh-CN"/>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部门（单位）整体支出绩效目标公开表</w:t>
      </w:r>
    </w:p>
    <w:p w14:paraId="2B5CB7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14:paraId="78083E86">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14:paraId="016014C8">
      <w:pPr>
        <w:keepNext w:val="0"/>
        <w:keepLines w:val="0"/>
        <w:pageBreakBefore w:val="0"/>
        <w:widowControl w:val="0"/>
        <w:numPr>
          <w:ilvl w:val="1"/>
          <w:numId w:val="4"/>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14:paraId="0FD21CD3">
      <w:pPr>
        <w:keepNext w:val="0"/>
        <w:keepLines w:val="0"/>
        <w:pageBreakBefore w:val="0"/>
        <w:widowControl w:val="0"/>
        <w:numPr>
          <w:ilvl w:val="1"/>
          <w:numId w:val="4"/>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14:paraId="6DE2E61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14:paraId="2C9BC86B">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14:paraId="203F4F4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14:paraId="45640CF0">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14:paraId="090CD4A5">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14:paraId="4E33B4D8">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bookmarkStart w:id="36" w:name="_GoBack"/>
      <w:bookmarkEnd w:id="36"/>
    </w:p>
    <w:p w14:paraId="7EBA786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14:paraId="57D5F62A">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14:paraId="72BA0B6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sectPr>
      <w:footerReference r:id="rId3" w:type="default"/>
      <w:pgSz w:w="11906" w:h="16838"/>
      <w:pgMar w:top="1984" w:right="1474" w:bottom="2098" w:left="1588" w:header="851" w:footer="1415" w:gutter="0"/>
      <w:pgNumType w:fmt="numberInDash"/>
      <w:cols w:space="0" w:num="1"/>
      <w:rtlGutter w:val="0"/>
      <w:docGrid w:type="lines" w:linePitch="6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27AD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6ABA7">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56ABA7">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D264D"/>
    <w:multiLevelType w:val="singleLevel"/>
    <w:tmpl w:val="D3CD264D"/>
    <w:lvl w:ilvl="0" w:tentative="0">
      <w:start w:val="1"/>
      <w:numFmt w:val="decimal"/>
      <w:suff w:val="nothing"/>
      <w:lvlText w:val="%1．"/>
      <w:lvlJc w:val="left"/>
      <w:pPr>
        <w:ind w:left="0" w:firstLine="400"/>
      </w:pPr>
      <w:rPr>
        <w:rFonts w:hint="default"/>
      </w:rPr>
    </w:lvl>
  </w:abstractNum>
  <w:abstractNum w:abstractNumId="1">
    <w:nsid w:val="11381702"/>
    <w:multiLevelType w:val="singleLevel"/>
    <w:tmpl w:val="11381702"/>
    <w:lvl w:ilvl="0" w:tentative="0">
      <w:start w:val="10"/>
      <w:numFmt w:val="chineseCounting"/>
      <w:suff w:val="nothing"/>
      <w:lvlText w:val="%1、"/>
      <w:lvlJc w:val="left"/>
      <w:rPr>
        <w:rFonts w:hint="eastAsia"/>
      </w:rPr>
    </w:lvl>
  </w:abstractNum>
  <w:abstractNum w:abstractNumId="2">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3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WI5MWI3OTkyOTk0NTZkNjVhMTMxMjYyNjZlOTAifQ=="/>
  </w:docVars>
  <w:rsids>
    <w:rsidRoot w:val="004E4A63"/>
    <w:rsid w:val="0008725C"/>
    <w:rsid w:val="000C5D55"/>
    <w:rsid w:val="00107AF7"/>
    <w:rsid w:val="001A5E61"/>
    <w:rsid w:val="001D5BCA"/>
    <w:rsid w:val="001F59C4"/>
    <w:rsid w:val="00202A4E"/>
    <w:rsid w:val="00245794"/>
    <w:rsid w:val="002D17ED"/>
    <w:rsid w:val="002F6687"/>
    <w:rsid w:val="00325291"/>
    <w:rsid w:val="00336B03"/>
    <w:rsid w:val="00363AC0"/>
    <w:rsid w:val="003B021E"/>
    <w:rsid w:val="003C72A4"/>
    <w:rsid w:val="004B52FA"/>
    <w:rsid w:val="004D53A9"/>
    <w:rsid w:val="004E4A63"/>
    <w:rsid w:val="00504316"/>
    <w:rsid w:val="00563314"/>
    <w:rsid w:val="005A0F05"/>
    <w:rsid w:val="00640CC1"/>
    <w:rsid w:val="006F51CE"/>
    <w:rsid w:val="007225E2"/>
    <w:rsid w:val="007365C4"/>
    <w:rsid w:val="008F70DC"/>
    <w:rsid w:val="009049CB"/>
    <w:rsid w:val="00933755"/>
    <w:rsid w:val="00972537"/>
    <w:rsid w:val="009D554C"/>
    <w:rsid w:val="00A35F1B"/>
    <w:rsid w:val="00A46B69"/>
    <w:rsid w:val="00A5551E"/>
    <w:rsid w:val="00A60A56"/>
    <w:rsid w:val="00B926E3"/>
    <w:rsid w:val="00BD7C8D"/>
    <w:rsid w:val="00C96FDA"/>
    <w:rsid w:val="00CB3C62"/>
    <w:rsid w:val="00D14665"/>
    <w:rsid w:val="00DC34F5"/>
    <w:rsid w:val="00E00321"/>
    <w:rsid w:val="00EE23D3"/>
    <w:rsid w:val="00FD2791"/>
    <w:rsid w:val="00FD2F29"/>
    <w:rsid w:val="01931A7A"/>
    <w:rsid w:val="01B90C4E"/>
    <w:rsid w:val="020A3A08"/>
    <w:rsid w:val="02E96621"/>
    <w:rsid w:val="0301178F"/>
    <w:rsid w:val="03B55BBA"/>
    <w:rsid w:val="047B1C9E"/>
    <w:rsid w:val="057A05C7"/>
    <w:rsid w:val="07051241"/>
    <w:rsid w:val="07571721"/>
    <w:rsid w:val="07BC60B3"/>
    <w:rsid w:val="085207C5"/>
    <w:rsid w:val="08C07386"/>
    <w:rsid w:val="09442803"/>
    <w:rsid w:val="095D5E3F"/>
    <w:rsid w:val="097C01EF"/>
    <w:rsid w:val="0A943317"/>
    <w:rsid w:val="0B1F7362"/>
    <w:rsid w:val="0C143182"/>
    <w:rsid w:val="0C8353F1"/>
    <w:rsid w:val="0CBC3A4D"/>
    <w:rsid w:val="0CF97024"/>
    <w:rsid w:val="0E0A5131"/>
    <w:rsid w:val="0E1D3459"/>
    <w:rsid w:val="0E3328B7"/>
    <w:rsid w:val="0EB61AAE"/>
    <w:rsid w:val="0ED24D8B"/>
    <w:rsid w:val="0F917443"/>
    <w:rsid w:val="104E6ADE"/>
    <w:rsid w:val="10911D30"/>
    <w:rsid w:val="10B46365"/>
    <w:rsid w:val="125D0492"/>
    <w:rsid w:val="133D279D"/>
    <w:rsid w:val="13522181"/>
    <w:rsid w:val="13DC11ED"/>
    <w:rsid w:val="14694105"/>
    <w:rsid w:val="148A257A"/>
    <w:rsid w:val="156264EB"/>
    <w:rsid w:val="172909A5"/>
    <w:rsid w:val="19616ABA"/>
    <w:rsid w:val="198772CA"/>
    <w:rsid w:val="198C5D7A"/>
    <w:rsid w:val="19E41D4F"/>
    <w:rsid w:val="1A0C2EC9"/>
    <w:rsid w:val="1A4E703E"/>
    <w:rsid w:val="1A8B57AF"/>
    <w:rsid w:val="1AD1087B"/>
    <w:rsid w:val="1B0643C4"/>
    <w:rsid w:val="1B4B41EA"/>
    <w:rsid w:val="1C0E03BE"/>
    <w:rsid w:val="1CDF70E4"/>
    <w:rsid w:val="1D787A99"/>
    <w:rsid w:val="1EB50DE7"/>
    <w:rsid w:val="1EF47852"/>
    <w:rsid w:val="1F906301"/>
    <w:rsid w:val="1FB119A3"/>
    <w:rsid w:val="1FCE268A"/>
    <w:rsid w:val="203F5CB4"/>
    <w:rsid w:val="20DF4E94"/>
    <w:rsid w:val="20E2313D"/>
    <w:rsid w:val="21366C57"/>
    <w:rsid w:val="215A09BE"/>
    <w:rsid w:val="216225C1"/>
    <w:rsid w:val="21860CEB"/>
    <w:rsid w:val="22284619"/>
    <w:rsid w:val="22452F86"/>
    <w:rsid w:val="22FB1D2D"/>
    <w:rsid w:val="23595916"/>
    <w:rsid w:val="23983A20"/>
    <w:rsid w:val="244702AB"/>
    <w:rsid w:val="24605347"/>
    <w:rsid w:val="25AD5939"/>
    <w:rsid w:val="265A320F"/>
    <w:rsid w:val="26643783"/>
    <w:rsid w:val="27FC632B"/>
    <w:rsid w:val="297A37FB"/>
    <w:rsid w:val="2B54022C"/>
    <w:rsid w:val="2BC52ED8"/>
    <w:rsid w:val="2C212804"/>
    <w:rsid w:val="2CBD72B2"/>
    <w:rsid w:val="2CC9541A"/>
    <w:rsid w:val="2CF772A5"/>
    <w:rsid w:val="2D1C2DA9"/>
    <w:rsid w:val="2D6B14F7"/>
    <w:rsid w:val="2DED1336"/>
    <w:rsid w:val="2E1E7467"/>
    <w:rsid w:val="2EA17C2D"/>
    <w:rsid w:val="2EC456C9"/>
    <w:rsid w:val="2F64432A"/>
    <w:rsid w:val="30EE2ED1"/>
    <w:rsid w:val="321253CF"/>
    <w:rsid w:val="32E05BBC"/>
    <w:rsid w:val="32F02F31"/>
    <w:rsid w:val="34412DED"/>
    <w:rsid w:val="34735BC7"/>
    <w:rsid w:val="3499271A"/>
    <w:rsid w:val="34A73AC3"/>
    <w:rsid w:val="35061D83"/>
    <w:rsid w:val="3605498C"/>
    <w:rsid w:val="366A1AA9"/>
    <w:rsid w:val="36F80606"/>
    <w:rsid w:val="3726484E"/>
    <w:rsid w:val="37512EA0"/>
    <w:rsid w:val="375E0C0F"/>
    <w:rsid w:val="37920A5A"/>
    <w:rsid w:val="37922808"/>
    <w:rsid w:val="392D0107"/>
    <w:rsid w:val="393916B4"/>
    <w:rsid w:val="3B4E3C09"/>
    <w:rsid w:val="3D290A98"/>
    <w:rsid w:val="3D3F1E33"/>
    <w:rsid w:val="3E052E4B"/>
    <w:rsid w:val="3E4B66E4"/>
    <w:rsid w:val="3F6F0366"/>
    <w:rsid w:val="3F816F9F"/>
    <w:rsid w:val="3FE931E1"/>
    <w:rsid w:val="40797468"/>
    <w:rsid w:val="408021BE"/>
    <w:rsid w:val="40B15215"/>
    <w:rsid w:val="41491E78"/>
    <w:rsid w:val="420D7AF7"/>
    <w:rsid w:val="42991D01"/>
    <w:rsid w:val="42A96C58"/>
    <w:rsid w:val="434075BC"/>
    <w:rsid w:val="436314FD"/>
    <w:rsid w:val="44250560"/>
    <w:rsid w:val="44655B45"/>
    <w:rsid w:val="44676DCB"/>
    <w:rsid w:val="44E1584B"/>
    <w:rsid w:val="45164B86"/>
    <w:rsid w:val="451F1453"/>
    <w:rsid w:val="46362DE6"/>
    <w:rsid w:val="47535958"/>
    <w:rsid w:val="49CE5BCF"/>
    <w:rsid w:val="49E33D4B"/>
    <w:rsid w:val="4A054521"/>
    <w:rsid w:val="4A91694F"/>
    <w:rsid w:val="4AE72614"/>
    <w:rsid w:val="4B414610"/>
    <w:rsid w:val="4B8E10E1"/>
    <w:rsid w:val="4CE55EBB"/>
    <w:rsid w:val="4DA87492"/>
    <w:rsid w:val="4E4A5DAA"/>
    <w:rsid w:val="4E581918"/>
    <w:rsid w:val="4EFF657E"/>
    <w:rsid w:val="4F436254"/>
    <w:rsid w:val="5055041F"/>
    <w:rsid w:val="51515DD0"/>
    <w:rsid w:val="519C04D5"/>
    <w:rsid w:val="52D63131"/>
    <w:rsid w:val="54811F66"/>
    <w:rsid w:val="54F75F49"/>
    <w:rsid w:val="54FE7A83"/>
    <w:rsid w:val="55823A64"/>
    <w:rsid w:val="55E86896"/>
    <w:rsid w:val="56B43F25"/>
    <w:rsid w:val="56D06A51"/>
    <w:rsid w:val="578B15E8"/>
    <w:rsid w:val="57EF4FBE"/>
    <w:rsid w:val="57F433EA"/>
    <w:rsid w:val="57FD5624"/>
    <w:rsid w:val="58026DC2"/>
    <w:rsid w:val="581C3AB9"/>
    <w:rsid w:val="582B2191"/>
    <w:rsid w:val="58A4292C"/>
    <w:rsid w:val="58C2758A"/>
    <w:rsid w:val="590429E2"/>
    <w:rsid w:val="5C5C293B"/>
    <w:rsid w:val="5CA6628A"/>
    <w:rsid w:val="5D203795"/>
    <w:rsid w:val="5D4E43A2"/>
    <w:rsid w:val="5D616655"/>
    <w:rsid w:val="5DDC39AF"/>
    <w:rsid w:val="5E174F66"/>
    <w:rsid w:val="5E2F35E1"/>
    <w:rsid w:val="5E5B4885"/>
    <w:rsid w:val="5EF55F98"/>
    <w:rsid w:val="5FA478CE"/>
    <w:rsid w:val="5FB943BA"/>
    <w:rsid w:val="5FEA414E"/>
    <w:rsid w:val="6096695B"/>
    <w:rsid w:val="60E17E4E"/>
    <w:rsid w:val="61782F00"/>
    <w:rsid w:val="61A8200C"/>
    <w:rsid w:val="620121B5"/>
    <w:rsid w:val="625D388F"/>
    <w:rsid w:val="62F86AF1"/>
    <w:rsid w:val="64660994"/>
    <w:rsid w:val="64F7487E"/>
    <w:rsid w:val="662A1794"/>
    <w:rsid w:val="6646463A"/>
    <w:rsid w:val="665D2336"/>
    <w:rsid w:val="672030DD"/>
    <w:rsid w:val="674D6B27"/>
    <w:rsid w:val="67F500C6"/>
    <w:rsid w:val="680952D5"/>
    <w:rsid w:val="683926A8"/>
    <w:rsid w:val="68556DB7"/>
    <w:rsid w:val="68B65AA7"/>
    <w:rsid w:val="691A7501"/>
    <w:rsid w:val="694061DB"/>
    <w:rsid w:val="69BA0ABF"/>
    <w:rsid w:val="6A584200"/>
    <w:rsid w:val="6AC42858"/>
    <w:rsid w:val="6AE12B83"/>
    <w:rsid w:val="6AF97441"/>
    <w:rsid w:val="6B2B638F"/>
    <w:rsid w:val="6B5567F2"/>
    <w:rsid w:val="6B655563"/>
    <w:rsid w:val="6C7C2B64"/>
    <w:rsid w:val="6D5C0500"/>
    <w:rsid w:val="6D877A12"/>
    <w:rsid w:val="6E2F3C06"/>
    <w:rsid w:val="6F9D54EF"/>
    <w:rsid w:val="6FA91B78"/>
    <w:rsid w:val="6FCE1CD7"/>
    <w:rsid w:val="6FD50F12"/>
    <w:rsid w:val="6FD9207B"/>
    <w:rsid w:val="71924BD7"/>
    <w:rsid w:val="720553BB"/>
    <w:rsid w:val="72086F3F"/>
    <w:rsid w:val="7222170C"/>
    <w:rsid w:val="728A1B1B"/>
    <w:rsid w:val="72967F65"/>
    <w:rsid w:val="72B55021"/>
    <w:rsid w:val="73075440"/>
    <w:rsid w:val="73B574D9"/>
    <w:rsid w:val="73E14C17"/>
    <w:rsid w:val="741B67DE"/>
    <w:rsid w:val="75181FEE"/>
    <w:rsid w:val="75CA0DE4"/>
    <w:rsid w:val="76613282"/>
    <w:rsid w:val="76BB28DB"/>
    <w:rsid w:val="76C9109B"/>
    <w:rsid w:val="77075720"/>
    <w:rsid w:val="77103EEA"/>
    <w:rsid w:val="77245A15"/>
    <w:rsid w:val="773933F4"/>
    <w:rsid w:val="776F42E7"/>
    <w:rsid w:val="780B7492"/>
    <w:rsid w:val="783B2074"/>
    <w:rsid w:val="78AA0A59"/>
    <w:rsid w:val="78FF40C3"/>
    <w:rsid w:val="79254583"/>
    <w:rsid w:val="798C198C"/>
    <w:rsid w:val="7A3468AD"/>
    <w:rsid w:val="7A9509D7"/>
    <w:rsid w:val="7ADD3708"/>
    <w:rsid w:val="7B2040FF"/>
    <w:rsid w:val="7B51165F"/>
    <w:rsid w:val="7B566432"/>
    <w:rsid w:val="7B8D7F57"/>
    <w:rsid w:val="7BC31903"/>
    <w:rsid w:val="7C0E12FE"/>
    <w:rsid w:val="7C174657"/>
    <w:rsid w:val="7C63791E"/>
    <w:rsid w:val="7CB4684F"/>
    <w:rsid w:val="7CEC7892"/>
    <w:rsid w:val="7D583190"/>
    <w:rsid w:val="7DAA186C"/>
    <w:rsid w:val="7DCB56F9"/>
    <w:rsid w:val="7E1C4DD6"/>
    <w:rsid w:val="7E4B654B"/>
    <w:rsid w:val="7E891110"/>
    <w:rsid w:val="7F251E20"/>
    <w:rsid w:val="7F7D47B2"/>
    <w:rsid w:val="7F99017D"/>
    <w:rsid w:val="7FE0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3"/>
    <w:next w:val="1"/>
    <w:qFormat/>
    <w:uiPriority w:val="0"/>
    <w:pPr>
      <w:keepNext/>
      <w:keepLines/>
      <w:spacing w:line="360" w:lineRule="auto"/>
      <w:outlineLvl w:val="3"/>
    </w:pPr>
    <w:rPr>
      <w:rFonts w:ascii="Cambria" w:hAnsi="Cambria" w:eastAsia="仿宋_GB2312"/>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szCs w:val="20"/>
    </w:rPr>
  </w:style>
  <w:style w:type="paragraph" w:styleId="5">
    <w:name w:val="Body Text"/>
    <w:basedOn w:val="1"/>
    <w:link w:val="24"/>
    <w:qFormat/>
    <w:uiPriority w:val="0"/>
    <w:pPr>
      <w:spacing w:before="93" w:beforeLines="30"/>
    </w:pPr>
    <w:rPr>
      <w:rFonts w:ascii="仿宋_GB2312" w:eastAsia="仿宋_GB2312"/>
      <w:sz w:val="30"/>
    </w:rPr>
  </w:style>
  <w:style w:type="paragraph" w:styleId="6">
    <w:name w:val="Body Text Indent"/>
    <w:basedOn w:val="1"/>
    <w:unhideWhenUsed/>
    <w:qFormat/>
    <w:uiPriority w:val="99"/>
    <w:pPr>
      <w:spacing w:after="120"/>
      <w:ind w:left="420" w:leftChars="200"/>
    </w:pPr>
  </w:style>
  <w:style w:type="paragraph" w:styleId="7">
    <w:name w:val="Body Text Indent 2"/>
    <w:basedOn w:val="1"/>
    <w:semiHidden/>
    <w:qFormat/>
    <w:uiPriority w:val="99"/>
    <w:pPr>
      <w:spacing w:after="120" w:line="480" w:lineRule="auto"/>
      <w:ind w:left="420" w:leftChars="200" w:firstLine="880" w:firstLineChars="200"/>
    </w:pPr>
    <w:rPr>
      <w:rFonts w:eastAsia="仿宋_GB2312"/>
      <w:sz w:val="32"/>
      <w:szCs w:val="21"/>
    </w:rPr>
  </w:style>
  <w:style w:type="paragraph" w:styleId="8">
    <w:name w:val="Balloon Text"/>
    <w:basedOn w:val="1"/>
    <w:qFormat/>
    <w:uiPriority w:val="0"/>
    <w:rPr>
      <w:sz w:val="18"/>
      <w:szCs w:val="18"/>
    </w:rPr>
  </w:style>
  <w:style w:type="paragraph" w:styleId="9">
    <w:name w:val="footer"/>
    <w:basedOn w:val="1"/>
    <w:next w:val="10"/>
    <w:link w:val="23"/>
    <w:unhideWhenUsed/>
    <w:qFormat/>
    <w:uiPriority w:val="99"/>
    <w:pPr>
      <w:tabs>
        <w:tab w:val="center" w:pos="4153"/>
        <w:tab w:val="right" w:pos="8306"/>
      </w:tabs>
      <w:snapToGrid w:val="0"/>
      <w:jc w:val="left"/>
    </w:pPr>
    <w:rPr>
      <w:sz w:val="18"/>
      <w:szCs w:val="18"/>
    </w:rPr>
  </w:style>
  <w:style w:type="paragraph" w:styleId="10">
    <w:name w:val="index 9"/>
    <w:basedOn w:val="1"/>
    <w:next w:val="1"/>
    <w:qFormat/>
    <w:uiPriority w:val="0"/>
    <w:pPr>
      <w:spacing w:line="576" w:lineRule="exact"/>
      <w:ind w:left="3360" w:firstLine="200" w:firstLineChars="200"/>
      <w:jc w:val="left"/>
    </w:pPr>
    <w:rPr>
      <w:rFonts w:ascii="黑体" w:eastAsia="黑体" w:cs="Arial"/>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6"/>
    <w:next w:val="1"/>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20"/>
  </w:style>
  <w:style w:type="paragraph" w:customStyle="1" w:styleId="19">
    <w:name w:val="章标题"/>
    <w:basedOn w:val="1"/>
    <w:next w:val="20"/>
    <w:qFormat/>
    <w:uiPriority w:val="0"/>
    <w:pPr>
      <w:widowControl/>
      <w:spacing w:before="158" w:after="153" w:line="323" w:lineRule="atLeast"/>
      <w:ind w:right="-120"/>
      <w:jc w:val="center"/>
      <w:textAlignment w:val="baseline"/>
    </w:pPr>
    <w:rPr>
      <w:rFonts w:ascii="Times New Roman" w:hAnsi="Times New Roman" w:eastAsia="宋体" w:cs="Times New Roman"/>
      <w:color w:val="FF0000"/>
      <w:sz w:val="18"/>
    </w:rPr>
  </w:style>
  <w:style w:type="paragraph" w:customStyle="1" w:styleId="20">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sz w:val="28"/>
    </w:rPr>
  </w:style>
  <w:style w:type="paragraph" w:styleId="21">
    <w:name w:val="List Paragraph"/>
    <w:basedOn w:val="1"/>
    <w:qFormat/>
    <w:uiPriority w:val="34"/>
    <w:pPr>
      <w:ind w:firstLine="420" w:firstLineChars="200"/>
    </w:pPr>
  </w:style>
  <w:style w:type="character" w:customStyle="1" w:styleId="22">
    <w:name w:val="页眉 Char"/>
    <w:basedOn w:val="16"/>
    <w:link w:val="11"/>
    <w:qFormat/>
    <w:uiPriority w:val="99"/>
    <w:rPr>
      <w:rFonts w:ascii="宋体" w:hAnsi="Times New Roman" w:eastAsia="宋体" w:cs="Times New Roman"/>
      <w:sz w:val="18"/>
      <w:szCs w:val="18"/>
    </w:rPr>
  </w:style>
  <w:style w:type="character" w:customStyle="1" w:styleId="23">
    <w:name w:val="页脚 Char"/>
    <w:basedOn w:val="16"/>
    <w:link w:val="9"/>
    <w:qFormat/>
    <w:uiPriority w:val="99"/>
    <w:rPr>
      <w:rFonts w:ascii="宋体" w:hAnsi="Times New Roman" w:eastAsia="宋体" w:cs="Times New Roman"/>
      <w:sz w:val="18"/>
      <w:szCs w:val="18"/>
    </w:rPr>
  </w:style>
  <w:style w:type="character" w:customStyle="1" w:styleId="24">
    <w:name w:val="正文文本 Char"/>
    <w:basedOn w:val="16"/>
    <w:link w:val="5"/>
    <w:qFormat/>
    <w:uiPriority w:val="0"/>
    <w:rPr>
      <w:rFonts w:ascii="仿宋_GB2312" w:hAnsi="Times New Roman" w:eastAsia="仿宋_GB2312" w:cs="Times New Roman"/>
      <w:kern w:val="2"/>
      <w:sz w:val="30"/>
      <w:szCs w:val="24"/>
    </w:rPr>
  </w:style>
  <w:style w:type="character" w:customStyle="1" w:styleId="25">
    <w:name w:val="ca-2"/>
    <w:basedOn w:val="16"/>
    <w:qFormat/>
    <w:uiPriority w:val="0"/>
    <w:rPr>
      <w:rFonts w:cs="Times New Roman"/>
    </w:rPr>
  </w:style>
  <w:style w:type="paragraph" w:customStyle="1" w:styleId="26">
    <w:name w:val="BodyText1I2"/>
    <w:basedOn w:val="27"/>
    <w:qFormat/>
    <w:uiPriority w:val="0"/>
    <w:pPr>
      <w:ind w:firstLine="420" w:firstLineChars="200"/>
    </w:pPr>
  </w:style>
  <w:style w:type="paragraph" w:customStyle="1" w:styleId="27">
    <w:name w:val="BodyTextIndent"/>
    <w:basedOn w:val="1"/>
    <w:qFormat/>
    <w:uiPriority w:val="0"/>
    <w:pPr>
      <w:spacing w:after="120"/>
      <w:ind w:left="420" w:leftChars="200"/>
      <w:textAlignment w:val="baseline"/>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7426</Words>
  <Characters>7968</Characters>
  <Lines>37</Lines>
  <Paragraphs>10</Paragraphs>
  <TotalTime>41</TotalTime>
  <ScaleCrop>false</ScaleCrop>
  <LinksUpToDate>false</LinksUpToDate>
  <CharactersWithSpaces>8085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鱼子酱</cp:lastModifiedBy>
  <cp:lastPrinted>2019-02-25T06:30:00Z</cp:lastPrinted>
  <dcterms:modified xsi:type="dcterms:W3CDTF">2025-02-14T07:31:17Z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F347B0DC6EA248CD8E66A915C6527377</vt:lpwstr>
  </property>
  <property fmtid="{D5CDD505-2E9C-101B-9397-08002B2CF9AE}" pid="4" name="KSOTemplateDocerSaveRecord">
    <vt:lpwstr>eyJoZGlkIjoiZDNhZWI5MWI3OTkyOTk0NTZkNjVhMTMxMjYyNjZlOTAiLCJ1c2VySWQiOiIzNDQzNzIzNDUifQ==</vt:lpwstr>
  </property>
</Properties>
</file>