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B8A0A">
      <w:pPr>
        <w:bidi w:val="0"/>
        <w:jc w:val="center"/>
        <w:rPr>
          <w:rFonts w:ascii="黑体" w:hAnsi="黑体" w:eastAsia="黑体"/>
          <w:color w:val="000000"/>
          <w:sz w:val="72"/>
          <w:szCs w:val="72"/>
        </w:rPr>
      </w:pPr>
      <w:bookmarkStart w:id="0" w:name="_Toc7475"/>
      <w:bookmarkStart w:id="1" w:name="_Toc15377425"/>
      <w:bookmarkStart w:id="2" w:name="_Toc15396597"/>
      <w:bookmarkStart w:id="3" w:name="_Toc15396475"/>
      <w:bookmarkStart w:id="4" w:name="_Toc15378441"/>
      <w:bookmarkStart w:id="5" w:name="_Toc15377193"/>
    </w:p>
    <w:p w14:paraId="7C1E77E9">
      <w:pPr>
        <w:bidi w:val="0"/>
        <w:jc w:val="center"/>
        <w:rPr>
          <w:rFonts w:ascii="黑体" w:hAnsi="黑体" w:eastAsia="黑体"/>
          <w:color w:val="000000"/>
          <w:sz w:val="72"/>
          <w:szCs w:val="72"/>
        </w:rPr>
      </w:pPr>
    </w:p>
    <w:p w14:paraId="601DD579">
      <w:pPr>
        <w:bidi w:val="0"/>
        <w:jc w:val="center"/>
        <w:rPr>
          <w:rFonts w:ascii="方正小标宋简体" w:hAnsi="宋体" w:eastAsia="方正小标宋简体"/>
          <w:color w:val="000000"/>
          <w:sz w:val="72"/>
          <w:szCs w:val="72"/>
        </w:rPr>
      </w:pPr>
      <w:r>
        <w:rPr>
          <w:rFonts w:ascii="黑体" w:hAnsi="黑体" w:eastAsia="黑体"/>
          <w:color w:val="000000"/>
          <w:sz w:val="72"/>
          <w:szCs w:val="72"/>
        </w:rPr>
        <w:t>20</w:t>
      </w:r>
      <w:r>
        <w:rPr>
          <w:rFonts w:hint="eastAsia" w:ascii="黑体" w:hAnsi="黑体" w:eastAsia="黑体"/>
          <w:color w:val="000000"/>
          <w:sz w:val="72"/>
          <w:szCs w:val="72"/>
          <w:lang w:val="en-US" w:eastAsia="zh-CN"/>
        </w:rPr>
        <w:t>25</w:t>
      </w:r>
      <w:r>
        <w:rPr>
          <w:rFonts w:hint="eastAsia" w:ascii="方正小标宋简体" w:hAnsi="宋体" w:eastAsia="方正小标宋简体"/>
          <w:color w:val="000000"/>
          <w:sz w:val="72"/>
          <w:szCs w:val="72"/>
        </w:rPr>
        <w:t>年度</w:t>
      </w:r>
      <w:bookmarkEnd w:id="0"/>
      <w:bookmarkEnd w:id="1"/>
      <w:bookmarkEnd w:id="2"/>
      <w:bookmarkEnd w:id="3"/>
      <w:bookmarkEnd w:id="4"/>
      <w:bookmarkEnd w:id="5"/>
    </w:p>
    <w:p w14:paraId="22E9A4A5">
      <w:pPr>
        <w:bidi w:val="0"/>
        <w:ind w:left="2240" w:hanging="2720" w:hangingChars="400"/>
        <w:jc w:val="center"/>
        <w:rPr>
          <w:rFonts w:hint="eastAsia" w:ascii="方正小标宋简体" w:hAnsi="宋体" w:eastAsia="方正小标宋简体"/>
          <w:color w:val="000000"/>
          <w:spacing w:val="-20"/>
          <w:sz w:val="72"/>
          <w:szCs w:val="72"/>
          <w:lang w:val="en-US" w:eastAsia="zh-CN"/>
        </w:rPr>
      </w:pPr>
      <w:bookmarkStart w:id="6" w:name="_Toc15306268"/>
      <w:bookmarkStart w:id="7" w:name="_Toc15378442"/>
      <w:bookmarkStart w:id="8" w:name="_Toc15396476"/>
      <w:bookmarkStart w:id="9" w:name="_Toc15377426"/>
      <w:bookmarkStart w:id="10" w:name="_Toc15396598"/>
      <w:bookmarkStart w:id="11" w:name="_Toc15377194"/>
      <w:bookmarkStart w:id="12" w:name="_Toc18515"/>
      <w:r>
        <w:rPr>
          <w:rFonts w:hint="eastAsia" w:ascii="方正小标宋简体" w:hAnsi="宋体" w:eastAsia="方正小标宋简体"/>
          <w:color w:val="000000"/>
          <w:spacing w:val="-20"/>
          <w:sz w:val="72"/>
          <w:szCs w:val="72"/>
          <w:lang w:val="en-US" w:eastAsia="zh-CN"/>
        </w:rPr>
        <w:t>德阳市罗江区科学技术局</w:t>
      </w:r>
    </w:p>
    <w:p w14:paraId="66EE80D7">
      <w:pPr>
        <w:bidi w:val="0"/>
        <w:ind w:left="2240" w:hanging="2880" w:hangingChars="400"/>
        <w:jc w:val="center"/>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w:t>
      </w:r>
      <w:bookmarkEnd w:id="6"/>
      <w:bookmarkEnd w:id="7"/>
      <w:bookmarkEnd w:id="8"/>
      <w:bookmarkEnd w:id="9"/>
      <w:bookmarkEnd w:id="10"/>
      <w:bookmarkEnd w:id="11"/>
      <w:r>
        <w:rPr>
          <w:rFonts w:hint="eastAsia" w:ascii="方正小标宋简体" w:hAnsi="宋体" w:eastAsia="方正小标宋简体"/>
          <w:color w:val="000000"/>
          <w:sz w:val="72"/>
          <w:szCs w:val="72"/>
          <w:lang w:eastAsia="zh-CN"/>
        </w:rPr>
        <w:t>预算</w:t>
      </w:r>
      <w:r>
        <w:rPr>
          <w:rFonts w:hint="eastAsia" w:ascii="方正小标宋简体" w:hAnsi="宋体" w:eastAsia="方正小标宋简体"/>
          <w:color w:val="000000"/>
          <w:sz w:val="72"/>
          <w:szCs w:val="72"/>
        </w:rPr>
        <w:t>公开</w:t>
      </w:r>
      <w:bookmarkEnd w:id="12"/>
    </w:p>
    <w:p w14:paraId="19153D18">
      <w:pPr>
        <w:pStyle w:val="13"/>
        <w:keepNext w:val="0"/>
        <w:keepLines w:val="0"/>
        <w:pageBreakBefore w:val="0"/>
        <w:widowControl w:val="0"/>
        <w:kinsoku/>
        <w:wordWrap/>
        <w:overflowPunct/>
        <w:topLinePunct w:val="0"/>
        <w:bidi w:val="0"/>
        <w:spacing w:after="0" w:line="560" w:lineRule="exact"/>
        <w:textAlignment w:val="auto"/>
        <w:rPr>
          <w:rFonts w:hint="eastAsia"/>
          <w:color w:val="auto"/>
        </w:rPr>
      </w:pPr>
    </w:p>
    <w:p w14:paraId="0F18BC3A">
      <w:pPr>
        <w:rPr>
          <w:rFonts w:hint="eastAsia"/>
          <w:color w:val="auto"/>
        </w:rPr>
      </w:pPr>
    </w:p>
    <w:p w14:paraId="0E5FF121">
      <w:pPr>
        <w:pStyle w:val="3"/>
        <w:outlineLvl w:val="9"/>
        <w:rPr>
          <w:rFonts w:hint="eastAsia"/>
          <w:color w:val="auto"/>
        </w:rPr>
      </w:pPr>
    </w:p>
    <w:p w14:paraId="65AB5E86">
      <w:pPr>
        <w:rPr>
          <w:rFonts w:hint="eastAsia"/>
          <w:color w:val="auto"/>
        </w:rPr>
      </w:pPr>
    </w:p>
    <w:p w14:paraId="1189158F">
      <w:pPr>
        <w:rPr>
          <w:rFonts w:hint="eastAsia"/>
          <w:color w:val="auto"/>
        </w:rPr>
      </w:pPr>
    </w:p>
    <w:p w14:paraId="0EC19C96">
      <w:pPr>
        <w:rPr>
          <w:rFonts w:hint="eastAsia"/>
          <w:color w:val="auto"/>
        </w:rPr>
      </w:pPr>
    </w:p>
    <w:p w14:paraId="6A864FD2">
      <w:pPr>
        <w:rPr>
          <w:rFonts w:hint="eastAsia"/>
          <w:color w:val="auto"/>
        </w:rPr>
      </w:pPr>
    </w:p>
    <w:p w14:paraId="270031F0">
      <w:pPr>
        <w:rPr>
          <w:rFonts w:hint="eastAsia"/>
          <w:color w:val="auto"/>
        </w:rPr>
      </w:pPr>
    </w:p>
    <w:sdt>
      <w:sdtPr>
        <w:rPr>
          <w:rFonts w:ascii="宋体" w:hAnsi="宋体" w:eastAsia="宋体" w:cs="Times New Roman"/>
          <w:kern w:val="2"/>
          <w:sz w:val="21"/>
          <w:szCs w:val="24"/>
          <w:lang w:val="en-US" w:eastAsia="zh-CN" w:bidi="ar-SA"/>
        </w:rPr>
        <w:id w:val="147482220"/>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14:paraId="7058278C">
          <w:pPr>
            <w:keepNext w:val="0"/>
            <w:keepLines w:val="0"/>
            <w:pageBreakBefore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pPr>
          <w:r>
            <w:rPr>
              <w:rFonts w:ascii="宋体" w:hAnsi="宋体" w:eastAsia="宋体"/>
              <w:sz w:val="21"/>
            </w:rPr>
            <w:t>目录</w:t>
          </w:r>
        </w:p>
        <w:p w14:paraId="5A95D444">
          <w:pPr>
            <w:pStyle w:val="28"/>
            <w:keepNext w:val="0"/>
            <w:keepLines w:val="0"/>
            <w:pageBreakBefore w:val="0"/>
            <w:tabs>
              <w:tab w:val="right" w:leader="dot" w:pos="8844"/>
            </w:tabs>
            <w:kinsoku/>
            <w:wordWrap/>
            <w:overflowPunct/>
            <w:topLinePunct w:val="0"/>
            <w:autoSpaceDE/>
            <w:autoSpaceDN/>
            <w:bidi w:val="0"/>
            <w:adjustRightInd/>
            <w:snapToGrid/>
            <w:spacing w:line="480" w:lineRule="exact"/>
            <w:textAlignment w:val="auto"/>
            <w:rPr>
              <w:b/>
            </w:rPr>
          </w:pPr>
          <w:r>
            <w:fldChar w:fldCharType="begin"/>
          </w:r>
          <w:r>
            <w:instrText xml:space="preserve">TOC \o "1-2" \h \u </w:instrText>
          </w:r>
          <w:r>
            <w:fldChar w:fldCharType="separate"/>
          </w:r>
          <w:r>
            <w:rPr>
              <w:b/>
            </w:rPr>
            <w:fldChar w:fldCharType="begin"/>
          </w:r>
          <w:r>
            <w:rPr>
              <w:b/>
            </w:rPr>
            <w:instrText xml:space="preserve"> HYPERLINK \l _Toc4009 </w:instrText>
          </w:r>
          <w:r>
            <w:rPr>
              <w:b/>
            </w:rPr>
            <w:fldChar w:fldCharType="separate"/>
          </w:r>
          <w:r>
            <w:rPr>
              <w:rFonts w:hint="eastAsia" w:ascii="黑体" w:hAnsi="黑体" w:eastAsia="黑体" w:cs="黑体"/>
              <w:b/>
              <w:szCs w:val="32"/>
            </w:rPr>
            <w:t>一、基本职能及主要工作</w:t>
          </w:r>
          <w:r>
            <w:rPr>
              <w:b/>
            </w:rPr>
            <w:tab/>
          </w:r>
          <w:r>
            <w:rPr>
              <w:b/>
            </w:rPr>
            <w:fldChar w:fldCharType="begin"/>
          </w:r>
          <w:r>
            <w:rPr>
              <w:b/>
            </w:rPr>
            <w:instrText xml:space="preserve"> PAGEREF _Toc4009 </w:instrText>
          </w:r>
          <w:r>
            <w:rPr>
              <w:b/>
            </w:rPr>
            <w:fldChar w:fldCharType="separate"/>
          </w:r>
          <w:r>
            <w:rPr>
              <w:b/>
            </w:rPr>
            <w:t>- 3 -</w:t>
          </w:r>
          <w:r>
            <w:rPr>
              <w:b/>
            </w:rPr>
            <w:fldChar w:fldCharType="end"/>
          </w:r>
          <w:r>
            <w:rPr>
              <w:b/>
            </w:rPr>
            <w:fldChar w:fldCharType="end"/>
          </w:r>
        </w:p>
        <w:p w14:paraId="0EC280DF">
          <w:pPr>
            <w:pStyle w:val="28"/>
            <w:keepNext w:val="0"/>
            <w:keepLines w:val="0"/>
            <w:pageBreakBefore w:val="0"/>
            <w:tabs>
              <w:tab w:val="right" w:leader="dot" w:pos="8844"/>
            </w:tabs>
            <w:kinsoku/>
            <w:wordWrap/>
            <w:overflowPunct/>
            <w:topLinePunct w:val="0"/>
            <w:autoSpaceDE/>
            <w:autoSpaceDN/>
            <w:bidi w:val="0"/>
            <w:adjustRightInd/>
            <w:snapToGrid/>
            <w:spacing w:line="480" w:lineRule="exact"/>
            <w:textAlignment w:val="auto"/>
            <w:rPr>
              <w:b/>
            </w:rPr>
          </w:pPr>
          <w:r>
            <w:rPr>
              <w:b/>
            </w:rPr>
            <w:fldChar w:fldCharType="begin"/>
          </w:r>
          <w:r>
            <w:rPr>
              <w:b/>
            </w:rPr>
            <w:instrText xml:space="preserve"> HYPERLINK \l _Toc6856 </w:instrText>
          </w:r>
          <w:r>
            <w:rPr>
              <w:b/>
            </w:rPr>
            <w:fldChar w:fldCharType="separate"/>
          </w:r>
          <w:r>
            <w:rPr>
              <w:rFonts w:hint="eastAsia" w:ascii="黑体" w:hAnsi="黑体" w:eastAsia="黑体" w:cs="黑体"/>
              <w:b/>
              <w:szCs w:val="32"/>
            </w:rPr>
            <w:t>二、部门预算单位构成</w:t>
          </w:r>
          <w:r>
            <w:rPr>
              <w:b/>
            </w:rPr>
            <w:tab/>
          </w:r>
          <w:r>
            <w:rPr>
              <w:b/>
            </w:rPr>
            <w:fldChar w:fldCharType="begin"/>
          </w:r>
          <w:r>
            <w:rPr>
              <w:b/>
            </w:rPr>
            <w:instrText xml:space="preserve"> PAGEREF _Toc6856 </w:instrText>
          </w:r>
          <w:r>
            <w:rPr>
              <w:b/>
            </w:rPr>
            <w:fldChar w:fldCharType="separate"/>
          </w:r>
          <w:r>
            <w:rPr>
              <w:b/>
            </w:rPr>
            <w:t>- 5 -</w:t>
          </w:r>
          <w:r>
            <w:rPr>
              <w:b/>
            </w:rPr>
            <w:fldChar w:fldCharType="end"/>
          </w:r>
          <w:r>
            <w:rPr>
              <w:b/>
            </w:rPr>
            <w:fldChar w:fldCharType="end"/>
          </w:r>
        </w:p>
        <w:p w14:paraId="6DB1E8BF">
          <w:pPr>
            <w:pStyle w:val="28"/>
            <w:keepNext w:val="0"/>
            <w:keepLines w:val="0"/>
            <w:pageBreakBefore w:val="0"/>
            <w:tabs>
              <w:tab w:val="right" w:leader="dot" w:pos="8844"/>
            </w:tabs>
            <w:kinsoku/>
            <w:wordWrap/>
            <w:overflowPunct/>
            <w:topLinePunct w:val="0"/>
            <w:autoSpaceDE/>
            <w:autoSpaceDN/>
            <w:bidi w:val="0"/>
            <w:adjustRightInd/>
            <w:snapToGrid/>
            <w:spacing w:line="480" w:lineRule="exact"/>
            <w:textAlignment w:val="auto"/>
            <w:rPr>
              <w:b/>
            </w:rPr>
          </w:pPr>
          <w:r>
            <w:rPr>
              <w:b/>
            </w:rPr>
            <w:fldChar w:fldCharType="begin"/>
          </w:r>
          <w:r>
            <w:rPr>
              <w:b/>
            </w:rPr>
            <w:instrText xml:space="preserve"> HYPERLINK \l _Toc30315 </w:instrText>
          </w:r>
          <w:r>
            <w:rPr>
              <w:b/>
            </w:rPr>
            <w:fldChar w:fldCharType="separate"/>
          </w:r>
          <w:r>
            <w:rPr>
              <w:rFonts w:hint="eastAsia" w:ascii="黑体" w:hAnsi="黑体" w:eastAsia="黑体" w:cs="黑体"/>
              <w:b/>
              <w:szCs w:val="32"/>
            </w:rPr>
            <w:t>三、收支预算增减变化情况说明</w:t>
          </w:r>
          <w:r>
            <w:rPr>
              <w:b/>
            </w:rPr>
            <w:tab/>
          </w:r>
          <w:r>
            <w:rPr>
              <w:b/>
            </w:rPr>
            <w:fldChar w:fldCharType="begin"/>
          </w:r>
          <w:r>
            <w:rPr>
              <w:b/>
            </w:rPr>
            <w:instrText xml:space="preserve"> PAGEREF _Toc30315 </w:instrText>
          </w:r>
          <w:r>
            <w:rPr>
              <w:b/>
            </w:rPr>
            <w:fldChar w:fldCharType="separate"/>
          </w:r>
          <w:r>
            <w:rPr>
              <w:b/>
            </w:rPr>
            <w:t>- 5 -</w:t>
          </w:r>
          <w:r>
            <w:rPr>
              <w:b/>
            </w:rPr>
            <w:fldChar w:fldCharType="end"/>
          </w:r>
          <w:r>
            <w:rPr>
              <w:b/>
            </w:rPr>
            <w:fldChar w:fldCharType="end"/>
          </w:r>
        </w:p>
        <w:p w14:paraId="5184ACC8">
          <w:pPr>
            <w:pStyle w:val="29"/>
            <w:keepNext w:val="0"/>
            <w:keepLines w:val="0"/>
            <w:pageBreakBefore w:val="0"/>
            <w:tabs>
              <w:tab w:val="right" w:leader="dot" w:pos="8844"/>
            </w:tabs>
            <w:kinsoku/>
            <w:wordWrap/>
            <w:overflowPunct/>
            <w:topLinePunct w:val="0"/>
            <w:autoSpaceDE/>
            <w:autoSpaceDN/>
            <w:bidi w:val="0"/>
            <w:adjustRightInd/>
            <w:snapToGrid/>
            <w:spacing w:line="480" w:lineRule="exact"/>
            <w:textAlignment w:val="auto"/>
          </w:pPr>
          <w:r>
            <w:fldChar w:fldCharType="begin"/>
          </w:r>
          <w:r>
            <w:instrText xml:space="preserve"> HYPERLINK \l _Toc17073 </w:instrText>
          </w:r>
          <w:r>
            <w:fldChar w:fldCharType="separate"/>
          </w:r>
          <w:r>
            <w:rPr>
              <w:rFonts w:hint="eastAsia" w:ascii="楷体_GB2312" w:hAnsi="楷体_GB2312" w:eastAsia="楷体_GB2312" w:cs="楷体_GB2312"/>
              <w:bCs/>
              <w:szCs w:val="32"/>
            </w:rPr>
            <w:t>（一）收入预算情况</w:t>
          </w:r>
          <w:r>
            <w:tab/>
          </w:r>
          <w:r>
            <w:fldChar w:fldCharType="begin"/>
          </w:r>
          <w:r>
            <w:instrText xml:space="preserve"> PAGEREF _Toc17073 </w:instrText>
          </w:r>
          <w:r>
            <w:fldChar w:fldCharType="separate"/>
          </w:r>
          <w:r>
            <w:t>- 6 -</w:t>
          </w:r>
          <w:r>
            <w:fldChar w:fldCharType="end"/>
          </w:r>
          <w:r>
            <w:fldChar w:fldCharType="end"/>
          </w:r>
        </w:p>
        <w:p w14:paraId="70597B12">
          <w:pPr>
            <w:pStyle w:val="29"/>
            <w:keepNext w:val="0"/>
            <w:keepLines w:val="0"/>
            <w:pageBreakBefore w:val="0"/>
            <w:tabs>
              <w:tab w:val="right" w:leader="dot" w:pos="8844"/>
            </w:tabs>
            <w:kinsoku/>
            <w:wordWrap/>
            <w:overflowPunct/>
            <w:topLinePunct w:val="0"/>
            <w:autoSpaceDE/>
            <w:autoSpaceDN/>
            <w:bidi w:val="0"/>
            <w:adjustRightInd/>
            <w:snapToGrid/>
            <w:spacing w:line="480" w:lineRule="exact"/>
            <w:textAlignment w:val="auto"/>
          </w:pPr>
          <w:r>
            <w:fldChar w:fldCharType="begin"/>
          </w:r>
          <w:r>
            <w:instrText xml:space="preserve"> HYPERLINK \l _Toc32189 </w:instrText>
          </w:r>
          <w:r>
            <w:fldChar w:fldCharType="separate"/>
          </w:r>
          <w:r>
            <w:rPr>
              <w:rFonts w:hint="eastAsia" w:ascii="楷体_GB2312" w:hAnsi="楷体_GB2312" w:eastAsia="楷体_GB2312" w:cs="楷体_GB2312"/>
              <w:bCs/>
              <w:szCs w:val="32"/>
            </w:rPr>
            <w:t>（二）支出预算情况</w:t>
          </w:r>
          <w:r>
            <w:tab/>
          </w:r>
          <w:r>
            <w:fldChar w:fldCharType="begin"/>
          </w:r>
          <w:r>
            <w:instrText xml:space="preserve"> PAGEREF _Toc32189 </w:instrText>
          </w:r>
          <w:r>
            <w:fldChar w:fldCharType="separate"/>
          </w:r>
          <w:r>
            <w:t>- 6 -</w:t>
          </w:r>
          <w:r>
            <w:fldChar w:fldCharType="end"/>
          </w:r>
          <w:r>
            <w:fldChar w:fldCharType="end"/>
          </w:r>
        </w:p>
        <w:p w14:paraId="772A64D5">
          <w:pPr>
            <w:pStyle w:val="28"/>
            <w:keepNext w:val="0"/>
            <w:keepLines w:val="0"/>
            <w:pageBreakBefore w:val="0"/>
            <w:tabs>
              <w:tab w:val="right" w:leader="dot" w:pos="8844"/>
            </w:tabs>
            <w:kinsoku/>
            <w:wordWrap/>
            <w:overflowPunct/>
            <w:topLinePunct w:val="0"/>
            <w:autoSpaceDE/>
            <w:autoSpaceDN/>
            <w:bidi w:val="0"/>
            <w:adjustRightInd/>
            <w:snapToGrid/>
            <w:spacing w:line="480" w:lineRule="exact"/>
            <w:textAlignment w:val="auto"/>
            <w:rPr>
              <w:b/>
            </w:rPr>
          </w:pPr>
          <w:r>
            <w:rPr>
              <w:b/>
            </w:rPr>
            <w:fldChar w:fldCharType="begin"/>
          </w:r>
          <w:r>
            <w:rPr>
              <w:b/>
            </w:rPr>
            <w:instrText xml:space="preserve"> HYPERLINK \l _Toc29871 </w:instrText>
          </w:r>
          <w:r>
            <w:rPr>
              <w:b/>
            </w:rPr>
            <w:fldChar w:fldCharType="separate"/>
          </w:r>
          <w:r>
            <w:rPr>
              <w:rFonts w:hint="eastAsia" w:ascii="黑体" w:hAnsi="黑体" w:eastAsia="黑体" w:cs="黑体"/>
              <w:b/>
              <w:szCs w:val="32"/>
            </w:rPr>
            <w:t>四、财政拨款收支预算情况说明</w:t>
          </w:r>
          <w:r>
            <w:rPr>
              <w:b/>
            </w:rPr>
            <w:tab/>
          </w:r>
          <w:r>
            <w:rPr>
              <w:b/>
            </w:rPr>
            <w:fldChar w:fldCharType="begin"/>
          </w:r>
          <w:r>
            <w:rPr>
              <w:b/>
            </w:rPr>
            <w:instrText xml:space="preserve"> PAGEREF _Toc29871 </w:instrText>
          </w:r>
          <w:r>
            <w:rPr>
              <w:b/>
            </w:rPr>
            <w:fldChar w:fldCharType="separate"/>
          </w:r>
          <w:r>
            <w:rPr>
              <w:b/>
            </w:rPr>
            <w:t>- 6 -</w:t>
          </w:r>
          <w:r>
            <w:rPr>
              <w:b/>
            </w:rPr>
            <w:fldChar w:fldCharType="end"/>
          </w:r>
          <w:r>
            <w:rPr>
              <w:b/>
            </w:rPr>
            <w:fldChar w:fldCharType="end"/>
          </w:r>
        </w:p>
        <w:p w14:paraId="48BE92D8">
          <w:pPr>
            <w:pStyle w:val="28"/>
            <w:keepNext w:val="0"/>
            <w:keepLines w:val="0"/>
            <w:pageBreakBefore w:val="0"/>
            <w:tabs>
              <w:tab w:val="right" w:leader="dot" w:pos="8844"/>
            </w:tabs>
            <w:kinsoku/>
            <w:wordWrap/>
            <w:overflowPunct/>
            <w:topLinePunct w:val="0"/>
            <w:autoSpaceDE/>
            <w:autoSpaceDN/>
            <w:bidi w:val="0"/>
            <w:adjustRightInd/>
            <w:snapToGrid/>
            <w:spacing w:line="480" w:lineRule="exact"/>
            <w:textAlignment w:val="auto"/>
            <w:rPr>
              <w:b/>
            </w:rPr>
          </w:pPr>
          <w:r>
            <w:rPr>
              <w:b/>
            </w:rPr>
            <w:fldChar w:fldCharType="begin"/>
          </w:r>
          <w:r>
            <w:rPr>
              <w:b/>
            </w:rPr>
            <w:instrText xml:space="preserve"> HYPERLINK \l _Toc16520 </w:instrText>
          </w:r>
          <w:r>
            <w:rPr>
              <w:b/>
            </w:rPr>
            <w:fldChar w:fldCharType="separate"/>
          </w:r>
          <w:r>
            <w:rPr>
              <w:rFonts w:hint="eastAsia" w:ascii="黑体" w:hAnsi="黑体" w:eastAsia="黑体" w:cs="黑体"/>
              <w:b/>
              <w:szCs w:val="32"/>
            </w:rPr>
            <w:t>五、一般公共预算当年拨款情况说明</w:t>
          </w:r>
          <w:r>
            <w:rPr>
              <w:b/>
            </w:rPr>
            <w:tab/>
          </w:r>
          <w:r>
            <w:rPr>
              <w:b/>
            </w:rPr>
            <w:fldChar w:fldCharType="begin"/>
          </w:r>
          <w:r>
            <w:rPr>
              <w:b/>
            </w:rPr>
            <w:instrText xml:space="preserve"> PAGEREF _Toc16520 </w:instrText>
          </w:r>
          <w:r>
            <w:rPr>
              <w:b/>
            </w:rPr>
            <w:fldChar w:fldCharType="separate"/>
          </w:r>
          <w:r>
            <w:rPr>
              <w:b/>
            </w:rPr>
            <w:t>- 7 -</w:t>
          </w:r>
          <w:r>
            <w:rPr>
              <w:b/>
            </w:rPr>
            <w:fldChar w:fldCharType="end"/>
          </w:r>
          <w:r>
            <w:rPr>
              <w:b/>
            </w:rPr>
            <w:fldChar w:fldCharType="end"/>
          </w:r>
        </w:p>
        <w:p w14:paraId="64BE85B1">
          <w:pPr>
            <w:pStyle w:val="29"/>
            <w:keepNext w:val="0"/>
            <w:keepLines w:val="0"/>
            <w:pageBreakBefore w:val="0"/>
            <w:tabs>
              <w:tab w:val="right" w:leader="dot" w:pos="8844"/>
            </w:tabs>
            <w:kinsoku/>
            <w:wordWrap/>
            <w:overflowPunct/>
            <w:topLinePunct w:val="0"/>
            <w:autoSpaceDE/>
            <w:autoSpaceDN/>
            <w:bidi w:val="0"/>
            <w:adjustRightInd/>
            <w:snapToGrid/>
            <w:spacing w:line="480" w:lineRule="exact"/>
            <w:textAlignment w:val="auto"/>
          </w:pPr>
          <w:r>
            <w:fldChar w:fldCharType="begin"/>
          </w:r>
          <w:r>
            <w:instrText xml:space="preserve"> HYPERLINK \l _Toc4128 </w:instrText>
          </w:r>
          <w:r>
            <w:fldChar w:fldCharType="separate"/>
          </w:r>
          <w:r>
            <w:rPr>
              <w:rFonts w:hint="eastAsia" w:ascii="楷体_GB2312" w:hAnsi="楷体_GB2312" w:eastAsia="楷体_GB2312" w:cs="楷体_GB2312"/>
              <w:bCs/>
              <w:szCs w:val="32"/>
            </w:rPr>
            <w:t>（一）一般公共预算当年拨款规模变化情况</w:t>
          </w:r>
          <w:r>
            <w:tab/>
          </w:r>
          <w:r>
            <w:fldChar w:fldCharType="begin"/>
          </w:r>
          <w:r>
            <w:instrText xml:space="preserve"> PAGEREF _Toc4128 </w:instrText>
          </w:r>
          <w:r>
            <w:fldChar w:fldCharType="separate"/>
          </w:r>
          <w:r>
            <w:t>- 7 -</w:t>
          </w:r>
          <w:r>
            <w:fldChar w:fldCharType="end"/>
          </w:r>
          <w:r>
            <w:fldChar w:fldCharType="end"/>
          </w:r>
        </w:p>
        <w:p w14:paraId="10105D6F">
          <w:pPr>
            <w:pStyle w:val="29"/>
            <w:keepNext w:val="0"/>
            <w:keepLines w:val="0"/>
            <w:pageBreakBefore w:val="0"/>
            <w:tabs>
              <w:tab w:val="right" w:leader="dot" w:pos="8844"/>
            </w:tabs>
            <w:kinsoku/>
            <w:wordWrap/>
            <w:overflowPunct/>
            <w:topLinePunct w:val="0"/>
            <w:autoSpaceDE/>
            <w:autoSpaceDN/>
            <w:bidi w:val="0"/>
            <w:adjustRightInd/>
            <w:snapToGrid/>
            <w:spacing w:line="480" w:lineRule="exact"/>
            <w:textAlignment w:val="auto"/>
          </w:pPr>
          <w:r>
            <w:fldChar w:fldCharType="begin"/>
          </w:r>
          <w:r>
            <w:instrText xml:space="preserve"> HYPERLINK \l _Toc30818 </w:instrText>
          </w:r>
          <w:r>
            <w:fldChar w:fldCharType="separate"/>
          </w:r>
          <w:r>
            <w:rPr>
              <w:rFonts w:hint="eastAsia" w:ascii="楷体_GB2312" w:hAnsi="楷体_GB2312" w:eastAsia="楷体_GB2312" w:cs="楷体_GB2312"/>
              <w:bCs/>
              <w:szCs w:val="32"/>
            </w:rPr>
            <w:t>（二）一般公共预算当年拨款结构情况</w:t>
          </w:r>
          <w:r>
            <w:tab/>
          </w:r>
          <w:r>
            <w:fldChar w:fldCharType="begin"/>
          </w:r>
          <w:r>
            <w:instrText xml:space="preserve"> PAGEREF _Toc30818 </w:instrText>
          </w:r>
          <w:r>
            <w:fldChar w:fldCharType="separate"/>
          </w:r>
          <w:r>
            <w:t>- 7 -</w:t>
          </w:r>
          <w:r>
            <w:fldChar w:fldCharType="end"/>
          </w:r>
          <w:r>
            <w:fldChar w:fldCharType="end"/>
          </w:r>
        </w:p>
        <w:p w14:paraId="0D5D03DF">
          <w:pPr>
            <w:pStyle w:val="29"/>
            <w:keepNext w:val="0"/>
            <w:keepLines w:val="0"/>
            <w:pageBreakBefore w:val="0"/>
            <w:tabs>
              <w:tab w:val="right" w:leader="dot" w:pos="8844"/>
            </w:tabs>
            <w:kinsoku/>
            <w:wordWrap/>
            <w:overflowPunct/>
            <w:topLinePunct w:val="0"/>
            <w:autoSpaceDE/>
            <w:autoSpaceDN/>
            <w:bidi w:val="0"/>
            <w:adjustRightInd/>
            <w:snapToGrid/>
            <w:spacing w:line="480" w:lineRule="exact"/>
            <w:textAlignment w:val="auto"/>
          </w:pPr>
          <w:r>
            <w:fldChar w:fldCharType="begin"/>
          </w:r>
          <w:r>
            <w:instrText xml:space="preserve"> HYPERLINK \l _Toc10536 </w:instrText>
          </w:r>
          <w:r>
            <w:fldChar w:fldCharType="separate"/>
          </w:r>
          <w:r>
            <w:rPr>
              <w:rFonts w:hint="eastAsia" w:ascii="楷体_GB2312" w:hAnsi="楷体_GB2312" w:eastAsia="楷体_GB2312" w:cs="楷体_GB2312"/>
              <w:bCs/>
              <w:szCs w:val="32"/>
            </w:rPr>
            <w:t>（三）一般公共预算当年拨款具体使用情况</w:t>
          </w:r>
          <w:r>
            <w:tab/>
          </w:r>
          <w:r>
            <w:fldChar w:fldCharType="begin"/>
          </w:r>
          <w:r>
            <w:instrText xml:space="preserve"> PAGEREF _Toc10536 </w:instrText>
          </w:r>
          <w:r>
            <w:fldChar w:fldCharType="separate"/>
          </w:r>
          <w:r>
            <w:t>- 7 -</w:t>
          </w:r>
          <w:r>
            <w:fldChar w:fldCharType="end"/>
          </w:r>
          <w:r>
            <w:fldChar w:fldCharType="end"/>
          </w:r>
        </w:p>
        <w:p w14:paraId="5623D2DE">
          <w:pPr>
            <w:pStyle w:val="28"/>
            <w:keepNext w:val="0"/>
            <w:keepLines w:val="0"/>
            <w:pageBreakBefore w:val="0"/>
            <w:tabs>
              <w:tab w:val="right" w:leader="dot" w:pos="8844"/>
            </w:tabs>
            <w:kinsoku/>
            <w:wordWrap/>
            <w:overflowPunct/>
            <w:topLinePunct w:val="0"/>
            <w:autoSpaceDE/>
            <w:autoSpaceDN/>
            <w:bidi w:val="0"/>
            <w:adjustRightInd/>
            <w:snapToGrid/>
            <w:spacing w:line="480" w:lineRule="exact"/>
            <w:textAlignment w:val="auto"/>
            <w:rPr>
              <w:b/>
            </w:rPr>
          </w:pPr>
          <w:r>
            <w:rPr>
              <w:b/>
            </w:rPr>
            <w:fldChar w:fldCharType="begin"/>
          </w:r>
          <w:r>
            <w:rPr>
              <w:b/>
            </w:rPr>
            <w:instrText xml:space="preserve"> HYPERLINK \l _Toc20002 </w:instrText>
          </w:r>
          <w:r>
            <w:rPr>
              <w:b/>
            </w:rPr>
            <w:fldChar w:fldCharType="separate"/>
          </w:r>
          <w:r>
            <w:rPr>
              <w:rFonts w:hint="eastAsia" w:ascii="黑体" w:hAnsi="黑体" w:eastAsia="黑体" w:cs="黑体"/>
              <w:b/>
              <w:szCs w:val="32"/>
            </w:rPr>
            <w:t>六、一般公共预算基本支出情况说明</w:t>
          </w:r>
          <w:r>
            <w:rPr>
              <w:b/>
            </w:rPr>
            <w:tab/>
          </w:r>
          <w:r>
            <w:rPr>
              <w:b/>
            </w:rPr>
            <w:fldChar w:fldCharType="begin"/>
          </w:r>
          <w:r>
            <w:rPr>
              <w:b/>
            </w:rPr>
            <w:instrText xml:space="preserve"> PAGEREF _Toc20002 </w:instrText>
          </w:r>
          <w:r>
            <w:rPr>
              <w:b/>
            </w:rPr>
            <w:fldChar w:fldCharType="separate"/>
          </w:r>
          <w:r>
            <w:rPr>
              <w:b/>
            </w:rPr>
            <w:t>- 7 -</w:t>
          </w:r>
          <w:r>
            <w:rPr>
              <w:b/>
            </w:rPr>
            <w:fldChar w:fldCharType="end"/>
          </w:r>
          <w:r>
            <w:rPr>
              <w:b/>
            </w:rPr>
            <w:fldChar w:fldCharType="end"/>
          </w:r>
        </w:p>
        <w:p w14:paraId="6FF24692">
          <w:pPr>
            <w:pStyle w:val="28"/>
            <w:keepNext w:val="0"/>
            <w:keepLines w:val="0"/>
            <w:pageBreakBefore w:val="0"/>
            <w:tabs>
              <w:tab w:val="right" w:leader="dot" w:pos="8844"/>
            </w:tabs>
            <w:kinsoku/>
            <w:wordWrap/>
            <w:overflowPunct/>
            <w:topLinePunct w:val="0"/>
            <w:autoSpaceDE/>
            <w:autoSpaceDN/>
            <w:bidi w:val="0"/>
            <w:adjustRightInd/>
            <w:snapToGrid/>
            <w:spacing w:line="480" w:lineRule="exact"/>
            <w:textAlignment w:val="auto"/>
            <w:rPr>
              <w:b/>
            </w:rPr>
          </w:pPr>
          <w:r>
            <w:rPr>
              <w:b/>
            </w:rPr>
            <w:fldChar w:fldCharType="begin"/>
          </w:r>
          <w:r>
            <w:rPr>
              <w:b/>
            </w:rPr>
            <w:instrText xml:space="preserve"> HYPERLINK \l _Toc7555 </w:instrText>
          </w:r>
          <w:r>
            <w:rPr>
              <w:b/>
            </w:rPr>
            <w:fldChar w:fldCharType="separate"/>
          </w:r>
          <w:r>
            <w:rPr>
              <w:rFonts w:hint="eastAsia" w:ascii="黑体" w:hAnsi="黑体" w:eastAsia="黑体" w:cs="黑体"/>
              <w:b/>
              <w:szCs w:val="32"/>
            </w:rPr>
            <w:t>七、“三公”经费财政拨款预算安排情况说明</w:t>
          </w:r>
          <w:r>
            <w:rPr>
              <w:b/>
            </w:rPr>
            <w:tab/>
          </w:r>
          <w:r>
            <w:rPr>
              <w:b/>
            </w:rPr>
            <w:fldChar w:fldCharType="begin"/>
          </w:r>
          <w:r>
            <w:rPr>
              <w:b/>
            </w:rPr>
            <w:instrText xml:space="preserve"> PAGEREF _Toc7555 </w:instrText>
          </w:r>
          <w:r>
            <w:rPr>
              <w:b/>
            </w:rPr>
            <w:fldChar w:fldCharType="separate"/>
          </w:r>
          <w:r>
            <w:rPr>
              <w:b/>
            </w:rPr>
            <w:t>- 9 -</w:t>
          </w:r>
          <w:r>
            <w:rPr>
              <w:b/>
            </w:rPr>
            <w:fldChar w:fldCharType="end"/>
          </w:r>
          <w:r>
            <w:rPr>
              <w:b/>
            </w:rPr>
            <w:fldChar w:fldCharType="end"/>
          </w:r>
        </w:p>
        <w:p w14:paraId="12A0893D">
          <w:pPr>
            <w:pStyle w:val="28"/>
            <w:keepNext w:val="0"/>
            <w:keepLines w:val="0"/>
            <w:pageBreakBefore w:val="0"/>
            <w:tabs>
              <w:tab w:val="right" w:leader="dot" w:pos="8844"/>
            </w:tabs>
            <w:kinsoku/>
            <w:wordWrap/>
            <w:overflowPunct/>
            <w:topLinePunct w:val="0"/>
            <w:autoSpaceDE/>
            <w:autoSpaceDN/>
            <w:bidi w:val="0"/>
            <w:adjustRightInd/>
            <w:snapToGrid/>
            <w:spacing w:line="480" w:lineRule="exact"/>
            <w:textAlignment w:val="auto"/>
            <w:rPr>
              <w:b/>
            </w:rPr>
          </w:pPr>
          <w:r>
            <w:rPr>
              <w:b/>
            </w:rPr>
            <w:fldChar w:fldCharType="begin"/>
          </w:r>
          <w:r>
            <w:rPr>
              <w:b/>
            </w:rPr>
            <w:instrText xml:space="preserve"> HYPERLINK \l _Toc2021 </w:instrText>
          </w:r>
          <w:r>
            <w:rPr>
              <w:b/>
            </w:rPr>
            <w:fldChar w:fldCharType="separate"/>
          </w:r>
          <w:r>
            <w:rPr>
              <w:rFonts w:hint="eastAsia" w:ascii="黑体" w:hAnsi="黑体" w:eastAsia="黑体" w:cs="黑体"/>
              <w:b/>
              <w:szCs w:val="32"/>
            </w:rPr>
            <w:t>八、政府性基金预算收支情况说明</w:t>
          </w:r>
          <w:r>
            <w:rPr>
              <w:b/>
            </w:rPr>
            <w:tab/>
          </w:r>
          <w:r>
            <w:rPr>
              <w:b/>
            </w:rPr>
            <w:fldChar w:fldCharType="begin"/>
          </w:r>
          <w:r>
            <w:rPr>
              <w:b/>
            </w:rPr>
            <w:instrText xml:space="preserve"> PAGEREF _Toc2021 </w:instrText>
          </w:r>
          <w:r>
            <w:rPr>
              <w:b/>
            </w:rPr>
            <w:fldChar w:fldCharType="separate"/>
          </w:r>
          <w:r>
            <w:rPr>
              <w:b/>
            </w:rPr>
            <w:t>- 10 -</w:t>
          </w:r>
          <w:r>
            <w:rPr>
              <w:b/>
            </w:rPr>
            <w:fldChar w:fldCharType="end"/>
          </w:r>
          <w:r>
            <w:rPr>
              <w:b/>
            </w:rPr>
            <w:fldChar w:fldCharType="end"/>
          </w:r>
        </w:p>
        <w:p w14:paraId="5564640D">
          <w:pPr>
            <w:pStyle w:val="29"/>
            <w:keepNext w:val="0"/>
            <w:keepLines w:val="0"/>
            <w:pageBreakBefore w:val="0"/>
            <w:tabs>
              <w:tab w:val="right" w:leader="dot" w:pos="8844"/>
            </w:tabs>
            <w:kinsoku/>
            <w:wordWrap/>
            <w:overflowPunct/>
            <w:topLinePunct w:val="0"/>
            <w:autoSpaceDE/>
            <w:autoSpaceDN/>
            <w:bidi w:val="0"/>
            <w:adjustRightInd/>
            <w:snapToGrid/>
            <w:spacing w:line="480" w:lineRule="exact"/>
            <w:textAlignment w:val="auto"/>
          </w:pPr>
          <w:r>
            <w:fldChar w:fldCharType="begin"/>
          </w:r>
          <w:r>
            <w:instrText xml:space="preserve"> HYPERLINK \l _Toc17630 </w:instrText>
          </w:r>
          <w:r>
            <w:fldChar w:fldCharType="separate"/>
          </w:r>
          <w:r>
            <w:rPr>
              <w:rFonts w:hint="eastAsia" w:ascii="楷体_GB2312" w:hAnsi="楷体_GB2312" w:eastAsia="楷体_GB2312" w:cs="楷体_GB2312"/>
              <w:bCs/>
              <w:szCs w:val="32"/>
              <w:lang w:eastAsia="zh-CN"/>
            </w:rPr>
            <w:t>（</w:t>
          </w:r>
          <w:r>
            <w:rPr>
              <w:rFonts w:hint="eastAsia" w:ascii="楷体_GB2312" w:hAnsi="楷体_GB2312" w:eastAsia="楷体_GB2312" w:cs="楷体_GB2312"/>
              <w:bCs/>
              <w:szCs w:val="32"/>
              <w:lang w:val="en-US" w:eastAsia="zh-CN"/>
            </w:rPr>
            <w:t>一</w:t>
          </w:r>
          <w:r>
            <w:rPr>
              <w:rFonts w:hint="eastAsia" w:ascii="楷体_GB2312" w:hAnsi="楷体_GB2312" w:eastAsia="楷体_GB2312" w:cs="楷体_GB2312"/>
              <w:bCs/>
              <w:szCs w:val="32"/>
              <w:lang w:eastAsia="zh-CN"/>
            </w:rPr>
            <w:t>）</w:t>
          </w:r>
          <w:r>
            <w:rPr>
              <w:rFonts w:hint="eastAsia" w:ascii="楷体_GB2312" w:hAnsi="楷体_GB2312" w:eastAsia="楷体_GB2312" w:cs="楷体_GB2312"/>
              <w:bCs/>
              <w:szCs w:val="32"/>
            </w:rPr>
            <w:t>收入预算情况</w:t>
          </w:r>
          <w:r>
            <w:tab/>
          </w:r>
          <w:r>
            <w:fldChar w:fldCharType="begin"/>
          </w:r>
          <w:r>
            <w:instrText xml:space="preserve"> PAGEREF _Toc17630 </w:instrText>
          </w:r>
          <w:r>
            <w:fldChar w:fldCharType="separate"/>
          </w:r>
          <w:r>
            <w:t>- 10 -</w:t>
          </w:r>
          <w:r>
            <w:fldChar w:fldCharType="end"/>
          </w:r>
          <w:r>
            <w:fldChar w:fldCharType="end"/>
          </w:r>
        </w:p>
        <w:p w14:paraId="3F709544">
          <w:pPr>
            <w:pStyle w:val="29"/>
            <w:keepNext w:val="0"/>
            <w:keepLines w:val="0"/>
            <w:pageBreakBefore w:val="0"/>
            <w:tabs>
              <w:tab w:val="right" w:leader="dot" w:pos="8844"/>
            </w:tabs>
            <w:kinsoku/>
            <w:wordWrap/>
            <w:overflowPunct/>
            <w:topLinePunct w:val="0"/>
            <w:autoSpaceDE/>
            <w:autoSpaceDN/>
            <w:bidi w:val="0"/>
            <w:adjustRightInd/>
            <w:snapToGrid/>
            <w:spacing w:line="480" w:lineRule="exact"/>
            <w:textAlignment w:val="auto"/>
          </w:pPr>
          <w:r>
            <w:fldChar w:fldCharType="begin"/>
          </w:r>
          <w:r>
            <w:instrText xml:space="preserve"> HYPERLINK \l _Toc18567 </w:instrText>
          </w:r>
          <w:r>
            <w:fldChar w:fldCharType="separate"/>
          </w:r>
          <w:r>
            <w:rPr>
              <w:rFonts w:hint="eastAsia" w:ascii="楷体_GB2312" w:hAnsi="楷体_GB2312" w:eastAsia="楷体_GB2312" w:cs="楷体_GB2312"/>
              <w:bCs/>
              <w:szCs w:val="32"/>
              <w:lang w:eastAsia="zh-CN"/>
            </w:rPr>
            <w:t>（</w:t>
          </w:r>
          <w:r>
            <w:rPr>
              <w:rFonts w:hint="eastAsia" w:ascii="楷体_GB2312" w:hAnsi="楷体_GB2312" w:eastAsia="楷体_GB2312" w:cs="楷体_GB2312"/>
              <w:bCs/>
              <w:szCs w:val="32"/>
              <w:lang w:val="en-US" w:eastAsia="zh-CN"/>
            </w:rPr>
            <w:t>二</w:t>
          </w:r>
          <w:r>
            <w:rPr>
              <w:rFonts w:hint="eastAsia" w:ascii="楷体_GB2312" w:hAnsi="楷体_GB2312" w:eastAsia="楷体_GB2312" w:cs="楷体_GB2312"/>
              <w:bCs/>
              <w:szCs w:val="32"/>
              <w:lang w:eastAsia="zh-CN"/>
            </w:rPr>
            <w:t>）</w:t>
          </w:r>
          <w:r>
            <w:rPr>
              <w:rFonts w:hint="eastAsia" w:ascii="楷体_GB2312" w:hAnsi="楷体_GB2312" w:eastAsia="楷体_GB2312" w:cs="楷体_GB2312"/>
              <w:bCs/>
              <w:szCs w:val="32"/>
            </w:rPr>
            <w:t>支出预算情况</w:t>
          </w:r>
          <w:r>
            <w:tab/>
          </w:r>
          <w:r>
            <w:fldChar w:fldCharType="begin"/>
          </w:r>
          <w:r>
            <w:instrText xml:space="preserve"> PAGEREF _Toc18567 </w:instrText>
          </w:r>
          <w:r>
            <w:fldChar w:fldCharType="separate"/>
          </w:r>
          <w:r>
            <w:t>- 10 -</w:t>
          </w:r>
          <w:r>
            <w:fldChar w:fldCharType="end"/>
          </w:r>
          <w:r>
            <w:fldChar w:fldCharType="end"/>
          </w:r>
        </w:p>
        <w:p w14:paraId="38D28F41">
          <w:pPr>
            <w:pStyle w:val="28"/>
            <w:keepNext w:val="0"/>
            <w:keepLines w:val="0"/>
            <w:pageBreakBefore w:val="0"/>
            <w:tabs>
              <w:tab w:val="right" w:leader="dot" w:pos="8844"/>
            </w:tabs>
            <w:kinsoku/>
            <w:wordWrap/>
            <w:overflowPunct/>
            <w:topLinePunct w:val="0"/>
            <w:autoSpaceDE/>
            <w:autoSpaceDN/>
            <w:bidi w:val="0"/>
            <w:adjustRightInd/>
            <w:snapToGrid/>
            <w:spacing w:line="480" w:lineRule="exact"/>
            <w:textAlignment w:val="auto"/>
            <w:rPr>
              <w:b/>
            </w:rPr>
          </w:pPr>
          <w:r>
            <w:rPr>
              <w:b/>
            </w:rPr>
            <w:fldChar w:fldCharType="begin"/>
          </w:r>
          <w:r>
            <w:rPr>
              <w:b/>
            </w:rPr>
            <w:instrText xml:space="preserve"> HYPERLINK \l _Toc16642 </w:instrText>
          </w:r>
          <w:r>
            <w:rPr>
              <w:b/>
            </w:rPr>
            <w:fldChar w:fldCharType="separate"/>
          </w:r>
          <w:r>
            <w:rPr>
              <w:rFonts w:hint="eastAsia" w:ascii="黑体" w:hAnsi="黑体" w:eastAsia="黑体" w:cs="黑体"/>
              <w:b/>
              <w:szCs w:val="32"/>
            </w:rPr>
            <w:t>九、国有资本经营预算支出情况说明</w:t>
          </w:r>
          <w:r>
            <w:rPr>
              <w:b/>
            </w:rPr>
            <w:tab/>
          </w:r>
          <w:r>
            <w:rPr>
              <w:b/>
            </w:rPr>
            <w:fldChar w:fldCharType="begin"/>
          </w:r>
          <w:r>
            <w:rPr>
              <w:b/>
            </w:rPr>
            <w:instrText xml:space="preserve"> PAGEREF _Toc16642 </w:instrText>
          </w:r>
          <w:r>
            <w:rPr>
              <w:b/>
            </w:rPr>
            <w:fldChar w:fldCharType="separate"/>
          </w:r>
          <w:r>
            <w:rPr>
              <w:b/>
            </w:rPr>
            <w:t>- 10 -</w:t>
          </w:r>
          <w:r>
            <w:rPr>
              <w:b/>
            </w:rPr>
            <w:fldChar w:fldCharType="end"/>
          </w:r>
          <w:r>
            <w:rPr>
              <w:b/>
            </w:rPr>
            <w:fldChar w:fldCharType="end"/>
          </w:r>
        </w:p>
        <w:p w14:paraId="195D745A">
          <w:pPr>
            <w:pStyle w:val="28"/>
            <w:keepNext w:val="0"/>
            <w:keepLines w:val="0"/>
            <w:pageBreakBefore w:val="0"/>
            <w:tabs>
              <w:tab w:val="right" w:leader="dot" w:pos="8844"/>
            </w:tabs>
            <w:kinsoku/>
            <w:wordWrap/>
            <w:overflowPunct/>
            <w:topLinePunct w:val="0"/>
            <w:autoSpaceDE/>
            <w:autoSpaceDN/>
            <w:bidi w:val="0"/>
            <w:adjustRightInd/>
            <w:snapToGrid/>
            <w:spacing w:line="480" w:lineRule="exact"/>
            <w:textAlignment w:val="auto"/>
            <w:rPr>
              <w:b/>
            </w:rPr>
          </w:pPr>
          <w:r>
            <w:rPr>
              <w:b/>
            </w:rPr>
            <w:fldChar w:fldCharType="begin"/>
          </w:r>
          <w:r>
            <w:rPr>
              <w:b/>
            </w:rPr>
            <w:instrText xml:space="preserve"> HYPERLINK \l _Toc29597 </w:instrText>
          </w:r>
          <w:r>
            <w:rPr>
              <w:b/>
            </w:rPr>
            <w:fldChar w:fldCharType="separate"/>
          </w:r>
          <w:r>
            <w:rPr>
              <w:rFonts w:hint="eastAsia" w:ascii="黑体" w:hAnsi="黑体" w:eastAsia="黑体" w:cs="黑体"/>
              <w:b/>
              <w:szCs w:val="32"/>
            </w:rPr>
            <w:t>十、其他重要事项的情况说明</w:t>
          </w:r>
          <w:r>
            <w:rPr>
              <w:b/>
            </w:rPr>
            <w:tab/>
          </w:r>
          <w:r>
            <w:rPr>
              <w:b/>
            </w:rPr>
            <w:fldChar w:fldCharType="begin"/>
          </w:r>
          <w:r>
            <w:rPr>
              <w:b/>
            </w:rPr>
            <w:instrText xml:space="preserve"> PAGEREF _Toc29597 </w:instrText>
          </w:r>
          <w:r>
            <w:rPr>
              <w:b/>
            </w:rPr>
            <w:fldChar w:fldCharType="separate"/>
          </w:r>
          <w:r>
            <w:rPr>
              <w:b/>
            </w:rPr>
            <w:t>- 10 -</w:t>
          </w:r>
          <w:r>
            <w:rPr>
              <w:b/>
            </w:rPr>
            <w:fldChar w:fldCharType="end"/>
          </w:r>
          <w:r>
            <w:rPr>
              <w:b/>
            </w:rPr>
            <w:fldChar w:fldCharType="end"/>
          </w:r>
        </w:p>
        <w:p w14:paraId="37EE736A">
          <w:pPr>
            <w:pStyle w:val="29"/>
            <w:keepNext w:val="0"/>
            <w:keepLines w:val="0"/>
            <w:pageBreakBefore w:val="0"/>
            <w:tabs>
              <w:tab w:val="right" w:leader="dot" w:pos="8844"/>
            </w:tabs>
            <w:kinsoku/>
            <w:wordWrap/>
            <w:overflowPunct/>
            <w:topLinePunct w:val="0"/>
            <w:autoSpaceDE/>
            <w:autoSpaceDN/>
            <w:bidi w:val="0"/>
            <w:adjustRightInd/>
            <w:snapToGrid/>
            <w:spacing w:line="480" w:lineRule="exact"/>
            <w:textAlignment w:val="auto"/>
          </w:pPr>
          <w:r>
            <w:fldChar w:fldCharType="begin"/>
          </w:r>
          <w:r>
            <w:instrText xml:space="preserve"> HYPERLINK \l _Toc21594 </w:instrText>
          </w:r>
          <w:r>
            <w:fldChar w:fldCharType="separate"/>
          </w:r>
          <w:r>
            <w:rPr>
              <w:rFonts w:hint="eastAsia" w:ascii="楷体_GB2312" w:hAnsi="楷体_GB2312" w:eastAsia="楷体_GB2312" w:cs="楷体_GB2312"/>
              <w:bCs/>
              <w:szCs w:val="32"/>
            </w:rPr>
            <w:t>（一）机关运行经费</w:t>
          </w:r>
          <w:r>
            <w:tab/>
          </w:r>
          <w:r>
            <w:fldChar w:fldCharType="begin"/>
          </w:r>
          <w:r>
            <w:instrText xml:space="preserve"> PAGEREF _Toc21594 </w:instrText>
          </w:r>
          <w:r>
            <w:fldChar w:fldCharType="separate"/>
          </w:r>
          <w:r>
            <w:t>- 10 -</w:t>
          </w:r>
          <w:r>
            <w:fldChar w:fldCharType="end"/>
          </w:r>
          <w:r>
            <w:fldChar w:fldCharType="end"/>
          </w:r>
        </w:p>
        <w:p w14:paraId="76147629">
          <w:pPr>
            <w:pStyle w:val="29"/>
            <w:keepNext w:val="0"/>
            <w:keepLines w:val="0"/>
            <w:pageBreakBefore w:val="0"/>
            <w:tabs>
              <w:tab w:val="right" w:leader="dot" w:pos="8844"/>
            </w:tabs>
            <w:kinsoku/>
            <w:wordWrap/>
            <w:overflowPunct/>
            <w:topLinePunct w:val="0"/>
            <w:autoSpaceDE/>
            <w:autoSpaceDN/>
            <w:bidi w:val="0"/>
            <w:adjustRightInd/>
            <w:snapToGrid/>
            <w:spacing w:line="480" w:lineRule="exact"/>
            <w:textAlignment w:val="auto"/>
          </w:pPr>
          <w:r>
            <w:fldChar w:fldCharType="begin"/>
          </w:r>
          <w:r>
            <w:instrText xml:space="preserve"> HYPERLINK \l _Toc8810 </w:instrText>
          </w:r>
          <w:r>
            <w:fldChar w:fldCharType="separate"/>
          </w:r>
          <w:r>
            <w:rPr>
              <w:rFonts w:hint="eastAsia" w:ascii="楷体_GB2312" w:hAnsi="楷体_GB2312" w:eastAsia="楷体_GB2312" w:cs="楷体_GB2312"/>
              <w:bCs/>
              <w:strike w:val="0"/>
              <w:dstrike w:val="0"/>
              <w:szCs w:val="32"/>
            </w:rPr>
            <w:t>（二）政府采购情况</w:t>
          </w:r>
          <w:r>
            <w:tab/>
          </w:r>
          <w:r>
            <w:fldChar w:fldCharType="begin"/>
          </w:r>
          <w:r>
            <w:instrText xml:space="preserve"> PAGEREF _Toc8810 </w:instrText>
          </w:r>
          <w:r>
            <w:fldChar w:fldCharType="separate"/>
          </w:r>
          <w:r>
            <w:t>- 10 -</w:t>
          </w:r>
          <w:r>
            <w:fldChar w:fldCharType="end"/>
          </w:r>
          <w:r>
            <w:fldChar w:fldCharType="end"/>
          </w:r>
        </w:p>
        <w:p w14:paraId="00A6BD1A">
          <w:pPr>
            <w:pStyle w:val="29"/>
            <w:keepNext w:val="0"/>
            <w:keepLines w:val="0"/>
            <w:pageBreakBefore w:val="0"/>
            <w:tabs>
              <w:tab w:val="right" w:leader="dot" w:pos="8844"/>
            </w:tabs>
            <w:kinsoku/>
            <w:wordWrap/>
            <w:overflowPunct/>
            <w:topLinePunct w:val="0"/>
            <w:autoSpaceDE/>
            <w:autoSpaceDN/>
            <w:bidi w:val="0"/>
            <w:adjustRightInd/>
            <w:snapToGrid/>
            <w:spacing w:line="480" w:lineRule="exact"/>
            <w:textAlignment w:val="auto"/>
          </w:pPr>
          <w:r>
            <w:fldChar w:fldCharType="begin"/>
          </w:r>
          <w:r>
            <w:instrText xml:space="preserve"> HYPERLINK \l _Toc6549 </w:instrText>
          </w:r>
          <w:r>
            <w:fldChar w:fldCharType="separate"/>
          </w:r>
          <w:r>
            <w:rPr>
              <w:rFonts w:hint="eastAsia" w:ascii="楷体_GB2312" w:hAnsi="楷体_GB2312" w:eastAsia="楷体_GB2312" w:cs="楷体_GB2312"/>
              <w:bCs/>
              <w:szCs w:val="32"/>
            </w:rPr>
            <w:t>（三）国有资产占有使用情况</w:t>
          </w:r>
          <w:r>
            <w:tab/>
          </w:r>
          <w:r>
            <w:fldChar w:fldCharType="begin"/>
          </w:r>
          <w:r>
            <w:instrText xml:space="preserve"> PAGEREF _Toc6549 </w:instrText>
          </w:r>
          <w:r>
            <w:fldChar w:fldCharType="separate"/>
          </w:r>
          <w:r>
            <w:t>- 10 -</w:t>
          </w:r>
          <w:r>
            <w:fldChar w:fldCharType="end"/>
          </w:r>
          <w:r>
            <w:fldChar w:fldCharType="end"/>
          </w:r>
        </w:p>
        <w:p w14:paraId="24FC7B12">
          <w:pPr>
            <w:pStyle w:val="29"/>
            <w:keepNext w:val="0"/>
            <w:keepLines w:val="0"/>
            <w:pageBreakBefore w:val="0"/>
            <w:tabs>
              <w:tab w:val="right" w:leader="dot" w:pos="8844"/>
            </w:tabs>
            <w:kinsoku/>
            <w:wordWrap/>
            <w:overflowPunct/>
            <w:topLinePunct w:val="0"/>
            <w:autoSpaceDE/>
            <w:autoSpaceDN/>
            <w:bidi w:val="0"/>
            <w:adjustRightInd/>
            <w:snapToGrid/>
            <w:spacing w:line="480" w:lineRule="exact"/>
            <w:textAlignment w:val="auto"/>
          </w:pPr>
          <w:r>
            <w:fldChar w:fldCharType="begin"/>
          </w:r>
          <w:r>
            <w:instrText xml:space="preserve"> HYPERLINK \l _Toc14704 </w:instrText>
          </w:r>
          <w:r>
            <w:fldChar w:fldCharType="separate"/>
          </w:r>
          <w:r>
            <w:rPr>
              <w:rFonts w:hint="eastAsia" w:ascii="楷体_GB2312" w:hAnsi="楷体_GB2312" w:eastAsia="楷体_GB2312" w:cs="楷体_GB2312"/>
              <w:bCs/>
              <w:szCs w:val="32"/>
            </w:rPr>
            <w:t>（四）绩效目标设置情况</w:t>
          </w:r>
          <w:r>
            <w:tab/>
          </w:r>
          <w:r>
            <w:fldChar w:fldCharType="begin"/>
          </w:r>
          <w:r>
            <w:instrText xml:space="preserve"> PAGEREF _Toc14704 </w:instrText>
          </w:r>
          <w:r>
            <w:fldChar w:fldCharType="separate"/>
          </w:r>
          <w:r>
            <w:t>- 11 -</w:t>
          </w:r>
          <w:r>
            <w:fldChar w:fldCharType="end"/>
          </w:r>
          <w:r>
            <w:fldChar w:fldCharType="end"/>
          </w:r>
        </w:p>
        <w:p w14:paraId="2807B742">
          <w:pPr>
            <w:pStyle w:val="28"/>
            <w:keepNext w:val="0"/>
            <w:keepLines w:val="0"/>
            <w:pageBreakBefore w:val="0"/>
            <w:tabs>
              <w:tab w:val="right" w:leader="dot" w:pos="8844"/>
            </w:tabs>
            <w:kinsoku/>
            <w:wordWrap/>
            <w:overflowPunct/>
            <w:topLinePunct w:val="0"/>
            <w:autoSpaceDE/>
            <w:autoSpaceDN/>
            <w:bidi w:val="0"/>
            <w:adjustRightInd/>
            <w:snapToGrid/>
            <w:spacing w:line="480" w:lineRule="exact"/>
            <w:textAlignment w:val="auto"/>
            <w:rPr>
              <w:b/>
            </w:rPr>
          </w:pPr>
          <w:r>
            <w:rPr>
              <w:b/>
            </w:rPr>
            <w:fldChar w:fldCharType="begin"/>
          </w:r>
          <w:r>
            <w:rPr>
              <w:b/>
            </w:rPr>
            <w:instrText xml:space="preserve"> HYPERLINK \l _Toc3448 </w:instrText>
          </w:r>
          <w:r>
            <w:rPr>
              <w:b/>
            </w:rPr>
            <w:fldChar w:fldCharType="separate"/>
          </w:r>
          <w:r>
            <w:rPr>
              <w:rFonts w:hint="eastAsia" w:ascii="黑体" w:hAnsi="黑体" w:eastAsia="黑体" w:cs="黑体"/>
              <w:b/>
              <w:szCs w:val="32"/>
            </w:rPr>
            <w:t>十、 名词解释</w:t>
          </w:r>
          <w:r>
            <w:rPr>
              <w:b/>
            </w:rPr>
            <w:tab/>
          </w:r>
          <w:r>
            <w:rPr>
              <w:b/>
            </w:rPr>
            <w:fldChar w:fldCharType="begin"/>
          </w:r>
          <w:r>
            <w:rPr>
              <w:b/>
            </w:rPr>
            <w:instrText xml:space="preserve"> PAGEREF _Toc3448 </w:instrText>
          </w:r>
          <w:r>
            <w:rPr>
              <w:b/>
            </w:rPr>
            <w:fldChar w:fldCharType="separate"/>
          </w:r>
          <w:r>
            <w:rPr>
              <w:b/>
            </w:rPr>
            <w:t>- 11 -</w:t>
          </w:r>
          <w:r>
            <w:rPr>
              <w:b/>
            </w:rPr>
            <w:fldChar w:fldCharType="end"/>
          </w:r>
          <w:r>
            <w:rPr>
              <w:b/>
            </w:rPr>
            <w:fldChar w:fldCharType="end"/>
          </w:r>
        </w:p>
        <w:p w14:paraId="3B9FAE8E">
          <w:pPr>
            <w:pStyle w:val="28"/>
            <w:keepNext w:val="0"/>
            <w:keepLines w:val="0"/>
            <w:pageBreakBefore w:val="0"/>
            <w:tabs>
              <w:tab w:val="right" w:leader="dot" w:pos="8844"/>
            </w:tabs>
            <w:kinsoku/>
            <w:wordWrap/>
            <w:overflowPunct/>
            <w:topLinePunct w:val="0"/>
            <w:autoSpaceDE/>
            <w:autoSpaceDN/>
            <w:bidi w:val="0"/>
            <w:adjustRightInd/>
            <w:snapToGrid/>
            <w:spacing w:line="480" w:lineRule="exact"/>
            <w:textAlignment w:val="auto"/>
            <w:rPr>
              <w:b/>
            </w:rPr>
          </w:pPr>
          <w:r>
            <w:rPr>
              <w:b/>
            </w:rPr>
            <w:fldChar w:fldCharType="begin"/>
          </w:r>
          <w:r>
            <w:rPr>
              <w:b/>
            </w:rPr>
            <w:instrText xml:space="preserve"> HYPERLINK \l _Toc27526 </w:instrText>
          </w:r>
          <w:r>
            <w:rPr>
              <w:b/>
            </w:rPr>
            <w:fldChar w:fldCharType="separate"/>
          </w:r>
          <w:r>
            <w:rPr>
              <w:rFonts w:hint="eastAsia" w:ascii="黑体" w:hAnsi="黑体" w:eastAsia="黑体" w:cs="黑体"/>
              <w:b/>
              <w:szCs w:val="32"/>
            </w:rPr>
            <w:t>附件：</w:t>
          </w:r>
          <w:r>
            <w:rPr>
              <w:b/>
            </w:rPr>
            <w:tab/>
          </w:r>
          <w:r>
            <w:rPr>
              <w:b/>
            </w:rPr>
            <w:fldChar w:fldCharType="begin"/>
          </w:r>
          <w:r>
            <w:rPr>
              <w:b/>
            </w:rPr>
            <w:instrText xml:space="preserve"> PAGEREF _Toc27526 </w:instrText>
          </w:r>
          <w:r>
            <w:rPr>
              <w:b/>
            </w:rPr>
            <w:fldChar w:fldCharType="separate"/>
          </w:r>
          <w:r>
            <w:rPr>
              <w:b/>
            </w:rPr>
            <w:t>- 11 -</w:t>
          </w:r>
          <w:r>
            <w:rPr>
              <w:b/>
            </w:rPr>
            <w:fldChar w:fldCharType="end"/>
          </w:r>
          <w:r>
            <w:rPr>
              <w:b/>
            </w:rPr>
            <w:fldChar w:fldCharType="end"/>
          </w:r>
        </w:p>
        <w:p w14:paraId="1CD9D448">
          <w:pPr>
            <w:keepNext w:val="0"/>
            <w:keepLines w:val="0"/>
            <w:pageBreakBefore w:val="0"/>
            <w:kinsoku/>
            <w:wordWrap/>
            <w:overflowPunct/>
            <w:topLinePunct w:val="0"/>
            <w:autoSpaceDE/>
            <w:autoSpaceDN/>
            <w:bidi w:val="0"/>
            <w:adjustRightInd/>
            <w:snapToGrid/>
            <w:spacing w:line="480" w:lineRule="exact"/>
            <w:textAlignment w:val="auto"/>
          </w:pPr>
          <w:r>
            <w:rPr>
              <w:b/>
            </w:rPr>
            <w:fldChar w:fldCharType="end"/>
          </w:r>
        </w:p>
      </w:sdtContent>
    </w:sdt>
    <w:p w14:paraId="43E9467A">
      <w:pPr>
        <w:pStyle w:val="3"/>
        <w:pageBreakBefore w:val="0"/>
        <w:kinsoku/>
        <w:wordWrap/>
        <w:overflowPunct/>
        <w:topLinePunct w:val="0"/>
        <w:autoSpaceDE/>
        <w:autoSpaceDN/>
        <w:bidi w:val="0"/>
        <w:adjustRightInd/>
        <w:snapToGrid/>
        <w:spacing w:line="480" w:lineRule="exact"/>
        <w:textAlignment w:val="auto"/>
        <w:outlineLvl w:val="0"/>
        <w:rPr>
          <w:rFonts w:hint="eastAsia" w:ascii="黑体" w:hAnsi="黑体" w:eastAsia="黑体" w:cs="黑体"/>
          <w:color w:val="auto"/>
          <w:sz w:val="32"/>
          <w:szCs w:val="32"/>
        </w:rPr>
      </w:pPr>
      <w:bookmarkStart w:id="13" w:name="_Toc4009"/>
      <w:r>
        <w:rPr>
          <w:rFonts w:hint="eastAsia" w:ascii="黑体" w:hAnsi="黑体" w:eastAsia="黑体" w:cs="黑体"/>
          <w:color w:val="auto"/>
          <w:sz w:val="32"/>
          <w:szCs w:val="32"/>
        </w:rPr>
        <w:t>一、基本职能及主要工作</w:t>
      </w:r>
      <w:bookmarkEnd w:id="13"/>
    </w:p>
    <w:p w14:paraId="7C946480">
      <w:pPr>
        <w:keepNext w:val="0"/>
        <w:keepLines w:val="0"/>
        <w:pageBreakBefore w:val="0"/>
        <w:widowControl w:val="0"/>
        <w:shd w:val="clear" w:color="auto" w:fill="FFFFFF" w:themeFill="background1"/>
        <w:kinsoku/>
        <w:wordWrap/>
        <w:overflowPunct/>
        <w:topLinePunct w:val="0"/>
        <w:bidi w:val="0"/>
        <w:spacing w:line="560" w:lineRule="exact"/>
        <w:ind w:firstLine="64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（一）机构设置及主要职责</w:t>
      </w:r>
    </w:p>
    <w:p w14:paraId="758C4746">
      <w:pPr>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根据《德阳市罗江区机构改革方案》和《关于〈德阳市罗江区机构改革方案〉的实施意见》制定《德阳市罗江区科学技术局职能配置、内设机构和人员编制规定》，负责拟订全区创新驱动发展战略以及科技发展、引进国外智力规划和政策并组织实施。起草全区有关科技发展的政策措施并组织实施。负责统筹推进全区创新体系建设和科技体制改革，会同有关部门健全技术创新激励机制。优化科研体系建设，指导科研机构改革发展，推动企业科技创新能力建设，承担推进科技军民融合发展相关工作，推进全区重大科技决策咨询制度建设。负责牵头建立全区科技管理平台和科研项目资金协调、实施、评估、监管机制。会同有关部门提出优化配置科技资源的政策措施建议，推动多元化科技投入体系建设。组织拟订区级财政科技计划（专项）并监督和实施。负责组织协调全区重大基础研究和应用基础研究。拟订重大科技创新基地建设规划并监督实施，参与编制重大科技基础设施建设规划和监督实施。牵头承担区域内国家重点实验室、省重点实验室、市重点实验室建设管理。推动科研条件保障建设和科技资源开放共享。负责编制全区重大科技专项方案并组织实施，统筹关键共性技术、前沿引领技术、现代工程技术、颠覆性技术研发和创新，牵头组织重大技术攻关和成果应用示范。负责组织拟订高新技术发展及产业化、科技促进农业农村和社会发展的规划、政策和措施。组织开展重点领域技术发展需求分析，提出重大任务并组织实施。负责牵头全区技术转移体系建设，拟订科技成果转移转化和促进产学研结合的相关政策措施并组织实施。指导科技服务业、技术市场和科技中介组织发展。负责统筹区域科技创新体系建设，指导区域创新发展、科技资源合理布局和协同创新能力建设，推动科技园区建设。负责科技监督评价体系建设和相关科技评估管理，指导科技评价机制改革，统筹科研诚信建设。组织实施全区创新调查和科技报告制度，指导全区科技保密相关工作。负责拟订科技对外交往与创新能力开放合作的规划、政策和措施，组织开展科技合作与科技人才交流。指导相关部门和地方对外科技合作与科技人才交流工作。负责引进先进智力工作。拟订全区重点引进外国专家计划并组织实施，建立外国顶尖科学家、团队吸引集聚机制和重点外国专家联系服务机制。拟订出国（境）培训计划并监督实施；会同有关部门拟定外国人来罗江区工作政策。负责会同有关部门拟订科技人才队伍建设规划和政策，建立健全科技人才评价和激励机制，组织实施科技人才计划，推动高端科技创新人才队伍建设。拟订科学普及和科学传播规划、政策。负责落实国家、省、市新经济领域产业发展相关政策。统筹推进新经济领域产业发展，拟订新经济领域产业政策。负责开展新经济前沿研究，提出全区新经济发展重点方向、优先领域和发展目标。负责新经济市场主体培育，开展新经济企业服务体系建设。负责职责范围内的安全生产和职业健康、生态环境保护、社会信用体系建设等工作。负责按照本部门权责清单履行相关职责。负责完成区委和区政府交办的其他任务。负责围绕贯彻实施科教兴国战略、人才强国战略、创新驱动发展战略，加强、优化、转变政府科技管理和服务职能，完善科技创新制度和组织体系，加强宏观管理和统筹协调，减少微观管理和具体审批事项，加强事中事后监管和科研诚信建设。从研发管理向创新服务转变，深入推进科技计划管理改革，建立公开的全区科技管理平台，减少科技计划项目重复分散、封闭低效和资源配置“碎片化”的现象。加强对科研机构的规划布局和绩效评价，进一步改进科技人才评价机制，建立健全以创新能力、质量、贡献、绩效为导向的科技人才评价体系和激励政策。统筹全区科技人才队伍建设和引进国外智力工作。</w:t>
      </w:r>
    </w:p>
    <w:p w14:paraId="5442CF3B">
      <w:pPr>
        <w:keepNext w:val="0"/>
        <w:keepLines w:val="0"/>
        <w:pageBreakBefore w:val="0"/>
        <w:widowControl w:val="0"/>
        <w:numPr>
          <w:ilvl w:val="0"/>
          <w:numId w:val="0"/>
        </w:numPr>
        <w:shd w:val="clear" w:color="auto" w:fill="FFFFFF" w:themeFill="background1"/>
        <w:kinsoku/>
        <w:wordWrap/>
        <w:overflowPunct/>
        <w:topLinePunct w:val="0"/>
        <w:bidi w:val="0"/>
        <w:spacing w:line="560" w:lineRule="exact"/>
        <w:ind w:firstLine="645" w:firstLineChars="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2"/>
          <w:sz w:val="32"/>
          <w:szCs w:val="32"/>
          <w:lang w:val="en-US" w:eastAsia="zh-CN" w:bidi="ar-SA"/>
        </w:rPr>
        <w:t>（二）</w:t>
      </w:r>
      <w:r>
        <w:rPr>
          <w:rFonts w:hint="eastAsia" w:ascii="楷体_GB2312" w:hAnsi="楷体_GB2312" w:eastAsia="楷体_GB2312" w:cs="楷体_GB2312"/>
          <w:b/>
          <w:bCs/>
          <w:color w:val="auto"/>
          <w:sz w:val="32"/>
          <w:szCs w:val="32"/>
        </w:rPr>
        <w:t>20</w:t>
      </w:r>
      <w:r>
        <w:rPr>
          <w:rFonts w:hint="eastAsia" w:ascii="楷体_GB2312" w:hAnsi="楷体_GB2312" w:eastAsia="楷体_GB2312" w:cs="楷体_GB2312"/>
          <w:b/>
          <w:bCs/>
          <w:color w:val="auto"/>
          <w:sz w:val="32"/>
          <w:szCs w:val="32"/>
          <w:lang w:val="en-US" w:eastAsia="zh-CN"/>
        </w:rPr>
        <w:t>25</w:t>
      </w:r>
      <w:r>
        <w:rPr>
          <w:rFonts w:hint="eastAsia" w:ascii="楷体_GB2312" w:hAnsi="楷体_GB2312" w:eastAsia="楷体_GB2312" w:cs="楷体_GB2312"/>
          <w:b/>
          <w:bCs/>
          <w:color w:val="auto"/>
          <w:sz w:val="32"/>
          <w:szCs w:val="32"/>
        </w:rPr>
        <w:t>年重点工作</w:t>
      </w:r>
    </w:p>
    <w:p w14:paraId="0843AE5D">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outlineLvl w:val="0"/>
        <w:rPr>
          <w:rFonts w:hint="eastAsia" w:ascii="仿宋_GB2312" w:eastAsia="仿宋_GB2312" w:hAnsiTheme="majorBidi" w:cstheme="majorBidi"/>
          <w:color w:val="000000" w:themeColor="text1"/>
          <w:sz w:val="32"/>
          <w:szCs w:val="32"/>
          <w:lang w:val="en-US" w:eastAsia="zh-CN"/>
          <w14:textFill>
            <w14:solidFill>
              <w14:schemeClr w14:val="tx1"/>
            </w14:solidFill>
          </w14:textFill>
        </w:rPr>
      </w:pPr>
      <w:bookmarkStart w:id="14" w:name="_Toc6856"/>
      <w:r>
        <w:rPr>
          <w:rFonts w:hint="eastAsia" w:ascii="仿宋_GB2312" w:eastAsia="仿宋_GB2312" w:hAnsiTheme="majorBidi" w:cstheme="majorBidi"/>
          <w:color w:val="000000" w:themeColor="text1"/>
          <w:sz w:val="32"/>
          <w:szCs w:val="32"/>
          <w:lang w:val="en-US" w:eastAsia="zh-CN"/>
          <w14:textFill>
            <w14:solidFill>
              <w14:schemeClr w14:val="tx1"/>
            </w14:solidFill>
          </w14:textFill>
        </w:rPr>
        <w:t>（一）“理念革新，培育主体”—强化产业创新动力</w:t>
      </w:r>
    </w:p>
    <w:p w14:paraId="3D11466C">
      <w:pPr>
        <w:snapToGrid w:val="0"/>
        <w:spacing w:line="560" w:lineRule="exact"/>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以新发展理念引领改革，深化中国装备科技城建设，大力培育科技型中小企业，积极发展高新技术企业和瞪羚企业，完善重点企业培育库，进行跟踪培育和服务。推动区内目标企业申报科技型中小企业、申报高新技术企业。</w:t>
      </w:r>
    </w:p>
    <w:p w14:paraId="760EF7E6">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outlineLvl w:val="0"/>
        <w:rPr>
          <w:rFonts w:hint="eastAsia" w:ascii="仿宋_GB2312" w:eastAsia="仿宋_GB2312" w:hAnsiTheme="majorBidi" w:cstheme="majorBidi"/>
          <w:color w:val="000000" w:themeColor="text1"/>
          <w:sz w:val="32"/>
          <w:szCs w:val="32"/>
          <w:lang w:val="en-US" w:eastAsia="zh-CN"/>
          <w14:textFill>
            <w14:solidFill>
              <w14:schemeClr w14:val="tx1"/>
            </w14:solidFill>
          </w14:textFill>
        </w:rPr>
      </w:pPr>
      <w:r>
        <w:rPr>
          <w:rFonts w:hint="eastAsia" w:ascii="仿宋_GB2312" w:eastAsia="仿宋_GB2312" w:hAnsiTheme="majorBidi" w:cstheme="majorBidi"/>
          <w:color w:val="000000" w:themeColor="text1"/>
          <w:sz w:val="32"/>
          <w:szCs w:val="32"/>
          <w:lang w:val="en-US" w:eastAsia="zh-CN"/>
          <w14:textFill>
            <w14:solidFill>
              <w14:schemeClr w14:val="tx1"/>
            </w14:solidFill>
          </w14:textFill>
        </w:rPr>
        <w:t>（二）“基础夯实，立柱架梁”— 提高技术攻关能力</w:t>
      </w:r>
    </w:p>
    <w:p w14:paraId="7AB1CC40">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outlineLvl w:val="0"/>
        <w:rPr>
          <w:rFonts w:hint="eastAsia" w:ascii="仿宋_GB2312" w:eastAsia="仿宋_GB2312" w:hAnsiTheme="majorBidi" w:cstheme="majorBidi"/>
          <w:color w:val="000000" w:themeColor="text1"/>
          <w:sz w:val="32"/>
          <w:szCs w:val="32"/>
          <w:lang w:val="en-US" w:eastAsia="zh-CN"/>
          <w14:textFill>
            <w14:solidFill>
              <w14:schemeClr w14:val="tx1"/>
            </w14:solidFill>
          </w14:textFill>
        </w:rPr>
      </w:pPr>
      <w:r>
        <w:rPr>
          <w:rFonts w:hint="eastAsia" w:ascii="仿宋_GB2312" w:eastAsia="仿宋_GB2312" w:hAnsiTheme="majorBidi" w:cstheme="majorBidi"/>
          <w:color w:val="000000" w:themeColor="text1"/>
          <w:sz w:val="32"/>
          <w:szCs w:val="32"/>
          <w:lang w:val="en-US" w:eastAsia="zh-CN"/>
          <w14:textFill>
            <w14:solidFill>
              <w14:schemeClr w14:val="tx1"/>
            </w14:solidFill>
          </w14:textFill>
        </w:rPr>
        <w:t>深化产教融合、科教融汇，促进校企联合开展科技创新和成果转化，重点通过定期梳理高校科技成果清单、企业技术需求清单，开展系列对接活动，促进高校与园区重点企业共建联合实验室、共同申报科技计划项目、共同培育创新人才，在玄武岩纤维、新型显示材料、新型绝缘材料等尖端技术方面，开展联合攻关与技术迭代。大力实施科技特派员制度，组织工业科技特派员、农村科技特派员到科技型企业、农业企业、专合社提供点对点服务，解决技术难题。力争区域内省市重点实验室和工程技术研究中心增加，企业通过科技特派员带动企业开发新产品、新技术，带动农业企业、专合社引进新品种，建成新品种、新技术示范基地。</w:t>
      </w:r>
    </w:p>
    <w:p w14:paraId="71699DD3">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outlineLvl w:val="0"/>
        <w:rPr>
          <w:rFonts w:hint="eastAsia" w:ascii="仿宋_GB2312" w:eastAsia="仿宋_GB2312" w:hAnsiTheme="majorBidi" w:cstheme="majorBidi"/>
          <w:color w:val="000000" w:themeColor="text1"/>
          <w:sz w:val="32"/>
          <w:szCs w:val="32"/>
          <w:lang w:val="en-US" w:eastAsia="zh-CN"/>
          <w14:textFill>
            <w14:solidFill>
              <w14:schemeClr w14:val="tx1"/>
            </w14:solidFill>
          </w14:textFill>
        </w:rPr>
      </w:pPr>
      <w:r>
        <w:rPr>
          <w:rFonts w:hint="eastAsia" w:ascii="仿宋_GB2312" w:eastAsia="仿宋_GB2312" w:hAnsiTheme="majorBidi" w:cstheme="majorBidi"/>
          <w:color w:val="000000" w:themeColor="text1"/>
          <w:sz w:val="32"/>
          <w:szCs w:val="32"/>
          <w:lang w:val="en-US" w:eastAsia="zh-CN"/>
          <w14:textFill>
            <w14:solidFill>
              <w14:schemeClr w14:val="tx1"/>
            </w14:solidFill>
          </w14:textFill>
        </w:rPr>
        <w:t>（三）“加强对接，添砖加瓦”—增添科技创新动能</w:t>
      </w:r>
    </w:p>
    <w:p w14:paraId="4C7BC299">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outlineLvl w:val="0"/>
        <w:rPr>
          <w:rFonts w:hint="eastAsia" w:ascii="仿宋_GB2312" w:eastAsia="仿宋_GB2312" w:hAnsiTheme="majorBidi" w:cstheme="majorBidi"/>
          <w:color w:val="000000" w:themeColor="text1"/>
          <w:sz w:val="32"/>
          <w:szCs w:val="32"/>
          <w:lang w:val="en-US" w:eastAsia="zh-CN"/>
          <w14:textFill>
            <w14:solidFill>
              <w14:schemeClr w14:val="tx1"/>
            </w14:solidFill>
          </w14:textFill>
        </w:rPr>
      </w:pPr>
      <w:r>
        <w:rPr>
          <w:rFonts w:hint="eastAsia" w:ascii="仿宋_GB2312" w:eastAsia="仿宋_GB2312" w:hAnsiTheme="majorBidi" w:cstheme="majorBidi"/>
          <w:color w:val="000000" w:themeColor="text1"/>
          <w:sz w:val="32"/>
          <w:szCs w:val="32"/>
          <w:lang w:val="en-US" w:eastAsia="zh-CN"/>
          <w14:textFill>
            <w14:solidFill>
              <w14:schemeClr w14:val="tx1"/>
            </w14:solidFill>
          </w14:textFill>
        </w:rPr>
        <w:t>加强项目储备，积极与省科技厅、市科技局对接，及时了解项目申报动态和要求，提前储备一批省市科技计划项目。加强项目申报指导，积极组织企业开展项目申报培训，协助企业做好项目策划和申报工作，提高项目申报成功率。加强项目跟踪，对已申报项目进行跟踪管理，提高项目完成度和优秀率。</w:t>
      </w:r>
    </w:p>
    <w:p w14:paraId="41E84F66">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二、部门预算单位构成</w:t>
      </w:r>
      <w:bookmarkEnd w:id="14"/>
    </w:p>
    <w:p w14:paraId="525DF5F1">
      <w:pPr>
        <w:keepNext w:val="0"/>
        <w:keepLines w:val="0"/>
        <w:pageBreakBefore w:val="0"/>
        <w:widowControl w:val="0"/>
        <w:shd w:val="clear" w:color="auto" w:fill="FFFFFF" w:themeFill="background1"/>
        <w:kinsoku/>
        <w:wordWrap/>
        <w:overflowPunct/>
        <w:topLinePunct w:val="0"/>
        <w:bidi w:val="0"/>
        <w:spacing w:line="560" w:lineRule="exact"/>
        <w:ind w:firstLine="645"/>
        <w:jc w:val="both"/>
        <w:textAlignment w:val="auto"/>
        <w:rPr>
          <w:rFonts w:hint="eastAsia" w:ascii="仿宋_GB2312" w:hAnsi="仿宋_GB2312" w:eastAsia="仿宋_GB2312"/>
          <w:strike w:val="0"/>
          <w:dstrike w:val="0"/>
          <w:color w:val="C00000"/>
          <w:sz w:val="32"/>
          <w:szCs w:val="32"/>
          <w:lang w:val="zh-CN"/>
        </w:rPr>
      </w:pPr>
      <w:bookmarkStart w:id="15" w:name="_Toc30315"/>
      <w:r>
        <w:rPr>
          <w:rFonts w:hint="eastAsia" w:ascii="仿宋_GB2312" w:eastAsia="仿宋_GB2312"/>
          <w:strike w:val="0"/>
          <w:dstrike w:val="0"/>
          <w:color w:val="auto"/>
          <w:sz w:val="32"/>
          <w:szCs w:val="32"/>
        </w:rPr>
        <w:t>德阳市罗江区科学技术局</w:t>
      </w:r>
      <w:r>
        <w:rPr>
          <w:rFonts w:hint="eastAsia" w:ascii="仿宋_GB2312" w:eastAsia="仿宋_GB2312"/>
          <w:strike w:val="0"/>
          <w:dstrike w:val="0"/>
          <w:color w:val="auto"/>
          <w:sz w:val="32"/>
          <w:szCs w:val="32"/>
          <w:lang w:eastAsia="zh-CN"/>
        </w:rPr>
        <w:t>是行政机构</w:t>
      </w:r>
      <w:r>
        <w:rPr>
          <w:rFonts w:hint="eastAsia" w:ascii="仿宋_GB2312" w:hAnsi="仿宋_GB2312" w:eastAsia="仿宋_GB2312"/>
          <w:strike w:val="0"/>
          <w:dstrike w:val="0"/>
          <w:color w:val="auto"/>
          <w:sz w:val="32"/>
          <w:szCs w:val="32"/>
        </w:rPr>
        <w:t>，</w:t>
      </w:r>
      <w:r>
        <w:rPr>
          <w:rFonts w:hint="eastAsia" w:ascii="仿宋_GB2312" w:hAnsi="仿宋_GB2312" w:eastAsia="仿宋_GB2312"/>
          <w:strike w:val="0"/>
          <w:dstrike w:val="0"/>
          <w:color w:val="auto"/>
          <w:sz w:val="32"/>
          <w:szCs w:val="32"/>
          <w:lang w:eastAsia="zh-CN"/>
        </w:rPr>
        <w:t>进行独立核算，</w:t>
      </w:r>
      <w:r>
        <w:rPr>
          <w:rFonts w:hint="eastAsia" w:ascii="仿宋_GB2312" w:hAnsi="仿宋_GB2312" w:eastAsia="仿宋_GB2312"/>
          <w:strike w:val="0"/>
          <w:dstrike w:val="0"/>
          <w:color w:val="auto"/>
          <w:sz w:val="32"/>
          <w:szCs w:val="32"/>
          <w:lang w:val="zh-CN" w:eastAsia="zh-CN"/>
        </w:rPr>
        <w:t>其下属机构德阳市罗江区生产力促进中心是事业机构。</w:t>
      </w:r>
      <w:r>
        <w:rPr>
          <w:rFonts w:hint="eastAsia" w:ascii="仿宋_GB2312" w:hAnsi="仿宋_GB2312" w:eastAsia="仿宋_GB2312"/>
          <w:strike w:val="0"/>
          <w:dstrike w:val="0"/>
          <w:color w:val="auto"/>
          <w:sz w:val="32"/>
          <w:szCs w:val="32"/>
          <w:lang w:eastAsia="zh-CN"/>
        </w:rPr>
        <w:t>现有行政人员</w:t>
      </w:r>
      <w:r>
        <w:rPr>
          <w:rFonts w:hint="eastAsia" w:ascii="仿宋_GB2312" w:hAnsi="仿宋_GB2312" w:eastAsia="仿宋_GB2312"/>
          <w:strike w:val="0"/>
          <w:dstrike w:val="0"/>
          <w:color w:val="auto"/>
          <w:sz w:val="32"/>
          <w:szCs w:val="32"/>
          <w:lang w:val="en-US" w:eastAsia="zh-CN"/>
        </w:rPr>
        <w:t>6人，退休人员3人</w:t>
      </w:r>
      <w:r>
        <w:rPr>
          <w:rFonts w:hint="eastAsia" w:ascii="仿宋_GB2312" w:hAnsi="仿宋_GB2312" w:eastAsia="仿宋_GB2312"/>
          <w:strike w:val="0"/>
          <w:dstrike w:val="0"/>
          <w:color w:val="auto"/>
          <w:sz w:val="32"/>
          <w:szCs w:val="32"/>
          <w:lang w:val="zh-CN"/>
        </w:rPr>
        <w:t>；下属事业机构德阳市罗江区生产力促进中心事业人员</w:t>
      </w:r>
      <w:r>
        <w:rPr>
          <w:rFonts w:hint="eastAsia" w:ascii="仿宋_GB2312" w:hAnsi="仿宋_GB2312" w:eastAsia="仿宋_GB2312"/>
          <w:strike w:val="0"/>
          <w:dstrike w:val="0"/>
          <w:color w:val="auto"/>
          <w:sz w:val="32"/>
          <w:szCs w:val="32"/>
          <w:lang w:val="en-US" w:eastAsia="zh-CN"/>
        </w:rPr>
        <w:t>4</w:t>
      </w:r>
      <w:r>
        <w:rPr>
          <w:rFonts w:hint="eastAsia" w:ascii="仿宋_GB2312" w:hAnsi="仿宋_GB2312" w:eastAsia="仿宋_GB2312"/>
          <w:strike w:val="0"/>
          <w:dstrike w:val="0"/>
          <w:color w:val="auto"/>
          <w:sz w:val="32"/>
          <w:szCs w:val="32"/>
          <w:lang w:val="zh-CN"/>
        </w:rPr>
        <w:t>人。</w:t>
      </w:r>
    </w:p>
    <w:p w14:paraId="2A963AE5">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三、收支预算增减变化情况说明</w:t>
      </w:r>
      <w:bookmarkEnd w:id="15"/>
    </w:p>
    <w:p w14:paraId="709366FF">
      <w:pPr>
        <w:keepNext w:val="0"/>
        <w:keepLines w:val="0"/>
        <w:pageBreakBefore w:val="0"/>
        <w:widowControl w:val="0"/>
        <w:shd w:val="clear" w:color="auto" w:fill="FFFFFF" w:themeFill="background1"/>
        <w:kinsoku/>
        <w:wordWrap/>
        <w:overflowPunct/>
        <w:topLinePunct w:val="0"/>
        <w:bidi w:val="0"/>
        <w:spacing w:line="560" w:lineRule="exact"/>
        <w:ind w:firstLine="642"/>
        <w:jc w:val="both"/>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rPr>
        <w:t>按照综合预算的原则，</w:t>
      </w:r>
      <w:r>
        <w:rPr>
          <w:rFonts w:hint="eastAsia" w:ascii="仿宋_GB2312" w:hAnsi="仿宋_GB2312" w:eastAsia="仿宋_GB2312"/>
          <w:color w:val="auto"/>
          <w:sz w:val="32"/>
          <w:szCs w:val="32"/>
          <w:lang w:eastAsia="zh-CN"/>
        </w:rPr>
        <w:t>德阳市罗江区科学技术局</w:t>
      </w:r>
      <w:r>
        <w:rPr>
          <w:rFonts w:hint="eastAsia" w:ascii="仿宋_GB2312" w:hAnsi="仿宋_GB2312" w:eastAsia="仿宋_GB2312"/>
          <w:color w:val="auto"/>
          <w:sz w:val="32"/>
          <w:szCs w:val="32"/>
        </w:rPr>
        <w:t>所有收支均包含下属单位数据，全部纳入部门预算管理。收入包括：一般公共预算拨款收入407.79万元，比20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年预算</w:t>
      </w:r>
      <w:r>
        <w:rPr>
          <w:rFonts w:hint="eastAsia" w:ascii="仿宋_GB2312" w:hAnsi="仿宋_GB2312" w:eastAsia="仿宋_GB2312"/>
          <w:color w:val="auto"/>
          <w:sz w:val="32"/>
          <w:szCs w:val="32"/>
          <w:lang w:eastAsia="zh-CN"/>
        </w:rPr>
        <w:t>收入</w:t>
      </w:r>
      <w:r>
        <w:rPr>
          <w:rFonts w:hint="eastAsia" w:ascii="仿宋_GB2312" w:hAnsi="仿宋_GB2312" w:eastAsia="仿宋_GB2312"/>
          <w:color w:val="auto"/>
          <w:sz w:val="32"/>
          <w:szCs w:val="32"/>
        </w:rPr>
        <w:t>数</w:t>
      </w:r>
      <w:r>
        <w:rPr>
          <w:rFonts w:hint="eastAsia" w:ascii="仿宋_GB2312" w:hAnsi="仿宋_GB2312" w:eastAsia="仿宋_GB2312"/>
          <w:color w:val="auto"/>
          <w:sz w:val="32"/>
          <w:szCs w:val="32"/>
          <w:lang w:eastAsia="zh-CN"/>
        </w:rPr>
        <w:t>增加</w:t>
      </w:r>
      <w:r>
        <w:rPr>
          <w:rFonts w:hint="eastAsia" w:ascii="仿宋_GB2312" w:hAnsi="仿宋_GB2312" w:eastAsia="仿宋_GB2312"/>
          <w:color w:val="auto"/>
          <w:sz w:val="32"/>
          <w:szCs w:val="32"/>
          <w:lang w:val="en-US" w:eastAsia="zh-CN"/>
        </w:rPr>
        <w:t>28.78</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。其中：</w:t>
      </w:r>
      <w:r>
        <w:rPr>
          <w:rFonts w:hint="eastAsia" w:ascii="仿宋_GB2312" w:hAnsi="仿宋_GB2312" w:eastAsia="仿宋_GB2312"/>
          <w:color w:val="auto"/>
          <w:sz w:val="32"/>
          <w:szCs w:val="32"/>
        </w:rPr>
        <w:t>一般公共预算拨款收入</w:t>
      </w:r>
      <w:r>
        <w:rPr>
          <w:rFonts w:hint="eastAsia" w:ascii="仿宋_GB2312" w:hAnsi="仿宋_GB2312" w:eastAsia="仿宋_GB2312"/>
          <w:color w:val="auto"/>
          <w:sz w:val="32"/>
          <w:szCs w:val="32"/>
          <w:lang w:eastAsia="zh-CN"/>
        </w:rPr>
        <w:t>增加</w:t>
      </w:r>
      <w:r>
        <w:rPr>
          <w:rFonts w:hint="eastAsia" w:ascii="仿宋_GB2312" w:hAnsi="仿宋_GB2312" w:eastAsia="仿宋_GB2312"/>
          <w:color w:val="auto"/>
          <w:sz w:val="32"/>
          <w:szCs w:val="32"/>
          <w:lang w:val="en-US" w:eastAsia="zh-CN"/>
        </w:rPr>
        <w:t>28.78万元，</w:t>
      </w:r>
      <w:r>
        <w:rPr>
          <w:rFonts w:hint="eastAsia" w:ascii="仿宋_GB2312" w:hAnsi="仿宋_GB2312" w:eastAsia="仿宋_GB2312"/>
          <w:color w:val="auto"/>
          <w:sz w:val="32"/>
          <w:szCs w:val="32"/>
          <w:lang w:eastAsia="zh-CN"/>
        </w:rPr>
        <w:t>增加的主要是为了保障基本运行，提高了基本支出经费保障</w:t>
      </w:r>
      <w:r>
        <w:rPr>
          <w:rFonts w:hint="eastAsia" w:ascii="仿宋_GB2312" w:hAnsi="仿宋_GB2312" w:eastAsia="仿宋_GB2312"/>
          <w:color w:val="auto"/>
          <w:sz w:val="32"/>
          <w:szCs w:val="32"/>
          <w:lang w:val="en-US" w:eastAsia="zh-CN"/>
        </w:rPr>
        <w:t>。</w:t>
      </w:r>
    </w:p>
    <w:p w14:paraId="78405348">
      <w:pPr>
        <w:keepNext w:val="0"/>
        <w:keepLines w:val="0"/>
        <w:pageBreakBefore w:val="0"/>
        <w:widowControl w:val="0"/>
        <w:shd w:val="clear" w:color="auto" w:fill="FFFFFF" w:themeFill="background1"/>
        <w:kinsoku/>
        <w:wordWrap/>
        <w:overflowPunct/>
        <w:topLinePunct w:val="0"/>
        <w:bidi w:val="0"/>
        <w:spacing w:line="560" w:lineRule="exact"/>
        <w:ind w:firstLine="642"/>
        <w:jc w:val="both"/>
        <w:textAlignment w:val="auto"/>
        <w:rPr>
          <w:rFonts w:hint="default"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eastAsia="zh-CN"/>
        </w:rPr>
        <w:t>德阳市罗江区经科学技术局</w:t>
      </w:r>
      <w:r>
        <w:rPr>
          <w:rFonts w:hint="eastAsia" w:ascii="仿宋_GB2312" w:hAnsi="仿宋_GB2312" w:eastAsia="仿宋_GB2312"/>
          <w:color w:val="auto"/>
          <w:sz w:val="32"/>
          <w:szCs w:val="32"/>
          <w:lang w:val="en-US" w:eastAsia="zh-CN"/>
        </w:rPr>
        <w:t>2025</w:t>
      </w:r>
      <w:r>
        <w:rPr>
          <w:rFonts w:hint="eastAsia" w:ascii="仿宋_GB2312" w:hAnsi="仿宋_GB2312" w:eastAsia="仿宋_GB2312"/>
          <w:color w:val="auto"/>
          <w:sz w:val="32"/>
          <w:szCs w:val="32"/>
        </w:rPr>
        <w:t>年收支总预算407.79万元</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比20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年预算</w:t>
      </w:r>
      <w:r>
        <w:rPr>
          <w:rFonts w:hint="eastAsia" w:ascii="仿宋_GB2312" w:hAnsi="仿宋_GB2312" w:eastAsia="仿宋_GB2312"/>
          <w:color w:val="auto"/>
          <w:sz w:val="32"/>
          <w:szCs w:val="32"/>
          <w:lang w:eastAsia="zh-CN"/>
        </w:rPr>
        <w:t>支出</w:t>
      </w:r>
      <w:r>
        <w:rPr>
          <w:rFonts w:hint="eastAsia" w:ascii="仿宋_GB2312" w:hAnsi="仿宋_GB2312" w:eastAsia="仿宋_GB2312"/>
          <w:color w:val="auto"/>
          <w:sz w:val="32"/>
          <w:szCs w:val="32"/>
        </w:rPr>
        <w:t>数</w:t>
      </w:r>
      <w:r>
        <w:rPr>
          <w:rFonts w:hint="eastAsia" w:ascii="仿宋_GB2312" w:hAnsi="仿宋_GB2312" w:eastAsia="仿宋_GB2312"/>
          <w:color w:val="auto"/>
          <w:sz w:val="32"/>
          <w:szCs w:val="32"/>
          <w:lang w:eastAsia="zh-CN"/>
        </w:rPr>
        <w:t>增加</w:t>
      </w:r>
      <w:r>
        <w:rPr>
          <w:rFonts w:hint="eastAsia" w:ascii="仿宋_GB2312" w:hAnsi="仿宋_GB2312" w:eastAsia="仿宋_GB2312"/>
          <w:color w:val="auto"/>
          <w:sz w:val="32"/>
          <w:szCs w:val="32"/>
          <w:lang w:val="en-US" w:eastAsia="zh-CN"/>
        </w:rPr>
        <w:t>28.78</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，其中：</w:t>
      </w:r>
      <w:r>
        <w:rPr>
          <w:rFonts w:hint="eastAsia" w:ascii="仿宋_GB2312" w:hAnsi="仿宋_GB2312" w:eastAsia="仿宋_GB2312"/>
          <w:color w:val="auto"/>
          <w:sz w:val="32"/>
          <w:szCs w:val="32"/>
        </w:rPr>
        <w:t>科学技术支出</w:t>
      </w:r>
      <w:r>
        <w:rPr>
          <w:rFonts w:hint="eastAsia" w:ascii="仿宋_GB2312" w:hAnsi="仿宋_GB2312" w:eastAsia="仿宋_GB2312"/>
          <w:color w:val="auto"/>
          <w:sz w:val="32"/>
          <w:szCs w:val="32"/>
          <w:lang w:val="en-US" w:eastAsia="zh-CN"/>
        </w:rPr>
        <w:t>、社会保障和就业支出、卫生健康支出、住房保障支出均有增加。</w:t>
      </w:r>
    </w:p>
    <w:p w14:paraId="36A9F6F3">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outlineLvl w:val="0"/>
        <w:rPr>
          <w:rFonts w:hint="eastAsia" w:ascii="黑体" w:hAnsi="黑体" w:eastAsia="黑体" w:cs="黑体"/>
          <w:color w:val="auto"/>
          <w:sz w:val="32"/>
          <w:szCs w:val="32"/>
        </w:rPr>
      </w:pPr>
      <w:bookmarkStart w:id="16" w:name="_Toc29871"/>
      <w:r>
        <w:rPr>
          <w:rFonts w:hint="eastAsia" w:ascii="黑体" w:hAnsi="黑体" w:eastAsia="黑体" w:cs="黑体"/>
          <w:color w:val="auto"/>
          <w:sz w:val="32"/>
          <w:szCs w:val="32"/>
        </w:rPr>
        <w:t>四、财政拨款收支预算情况说明</w:t>
      </w:r>
      <w:bookmarkEnd w:id="16"/>
    </w:p>
    <w:p w14:paraId="0A24080A">
      <w:pPr>
        <w:keepNext w:val="0"/>
        <w:keepLines w:val="0"/>
        <w:pageBreakBefore w:val="0"/>
        <w:widowControl w:val="0"/>
        <w:numPr>
          <w:ilvl w:val="0"/>
          <w:numId w:val="0"/>
        </w:numPr>
        <w:shd w:val="clear" w:color="auto" w:fill="FFFFFF" w:themeFill="background1"/>
        <w:kinsoku/>
        <w:wordWrap/>
        <w:overflowPunct/>
        <w:topLinePunct w:val="0"/>
        <w:bidi w:val="0"/>
        <w:spacing w:line="560" w:lineRule="exact"/>
        <w:ind w:firstLine="640" w:firstLineChars="200"/>
        <w:jc w:val="both"/>
        <w:textAlignment w:val="auto"/>
        <w:outlineLvl w:val="1"/>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德阳市罗江区科学技术局</w:t>
      </w:r>
      <w:r>
        <w:rPr>
          <w:rFonts w:hint="eastAsia" w:ascii="仿宋_GB2312" w:hAnsi="仿宋_GB2312" w:eastAsia="仿宋_GB2312"/>
          <w:color w:val="auto"/>
          <w:sz w:val="32"/>
          <w:szCs w:val="32"/>
          <w:lang w:val="en-US" w:eastAsia="zh-CN"/>
        </w:rPr>
        <w:t>2025</w:t>
      </w:r>
      <w:r>
        <w:rPr>
          <w:rFonts w:hint="eastAsia" w:ascii="仿宋_GB2312" w:hAnsi="仿宋_GB2312" w:eastAsia="仿宋_GB2312"/>
          <w:color w:val="auto"/>
          <w:sz w:val="32"/>
          <w:szCs w:val="32"/>
        </w:rPr>
        <w:t>年财政拨款收支总预算407.79万元。</w:t>
      </w:r>
      <w:r>
        <w:rPr>
          <w:rFonts w:ascii="仿宋_GB2312" w:hAnsi="仿宋_GB2312" w:eastAsia="仿宋_GB2312"/>
          <w:color w:val="auto"/>
          <w:sz w:val="32"/>
          <w:szCs w:val="32"/>
        </w:rPr>
        <w:t>收入包括：本年</w:t>
      </w:r>
      <w:r>
        <w:rPr>
          <w:rFonts w:hint="eastAsia" w:ascii="仿宋_GB2312" w:hAnsi="仿宋_GB2312" w:eastAsia="仿宋_GB2312"/>
          <w:color w:val="auto"/>
          <w:sz w:val="32"/>
          <w:szCs w:val="32"/>
        </w:rPr>
        <w:t>一般公共预算拨款收入407.79万元，</w:t>
      </w:r>
      <w:r>
        <w:rPr>
          <w:rFonts w:ascii="仿宋_GB2312" w:hAnsi="仿宋_GB2312" w:eastAsia="仿宋_GB2312"/>
          <w:color w:val="auto"/>
          <w:sz w:val="32"/>
          <w:szCs w:val="32"/>
        </w:rPr>
        <w:t>上年结转一般公共预算拨款收入</w:t>
      </w:r>
      <w:r>
        <w:rPr>
          <w:rFonts w:hint="eastAsia" w:ascii="仿宋_GB2312" w:hAnsi="仿宋_GB2312" w:eastAsia="仿宋_GB2312"/>
          <w:color w:val="auto"/>
          <w:sz w:val="32"/>
          <w:szCs w:val="32"/>
        </w:rPr>
        <w:t>0</w:t>
      </w:r>
      <w:r>
        <w:rPr>
          <w:rFonts w:ascii="仿宋_GB2312" w:hAnsi="仿宋_GB2312" w:eastAsia="仿宋_GB2312"/>
          <w:color w:val="auto"/>
          <w:sz w:val="32"/>
          <w:szCs w:val="32"/>
        </w:rPr>
        <w:t>万元；</w:t>
      </w:r>
      <w:r>
        <w:rPr>
          <w:rFonts w:hint="eastAsia" w:ascii="仿宋_GB2312" w:hAnsi="仿宋_GB2312" w:eastAsia="仿宋_GB2312"/>
          <w:color w:val="auto"/>
          <w:sz w:val="32"/>
          <w:szCs w:val="32"/>
        </w:rPr>
        <w:t>支出包括：科学技术支出</w:t>
      </w:r>
      <w:r>
        <w:rPr>
          <w:rFonts w:hint="eastAsia" w:ascii="仿宋_GB2312" w:hAnsi="仿宋_GB2312" w:eastAsia="仿宋_GB2312"/>
          <w:color w:val="auto"/>
          <w:sz w:val="32"/>
          <w:szCs w:val="32"/>
          <w:lang w:val="en-US" w:eastAsia="zh-CN"/>
        </w:rPr>
        <w:t>352.54</w:t>
      </w:r>
      <w:r>
        <w:rPr>
          <w:rFonts w:hint="eastAsia" w:ascii="仿宋_GB2312" w:hAnsi="仿宋_GB2312" w:eastAsia="仿宋_GB2312"/>
          <w:color w:val="auto"/>
          <w:sz w:val="32"/>
          <w:szCs w:val="32"/>
        </w:rPr>
        <w:t>万元、社会保障和就业支出</w:t>
      </w:r>
      <w:r>
        <w:rPr>
          <w:rFonts w:hint="eastAsia" w:ascii="仿宋_GB2312" w:hAnsi="仿宋_GB2312" w:eastAsia="仿宋_GB2312"/>
          <w:color w:val="auto"/>
          <w:sz w:val="32"/>
          <w:szCs w:val="32"/>
          <w:lang w:val="en-US" w:eastAsia="zh-CN"/>
        </w:rPr>
        <w:t>32.88</w:t>
      </w:r>
      <w:r>
        <w:rPr>
          <w:rFonts w:hint="eastAsia" w:ascii="仿宋_GB2312" w:hAnsi="仿宋_GB2312" w:eastAsia="仿宋_GB2312"/>
          <w:color w:val="auto"/>
          <w:sz w:val="32"/>
          <w:szCs w:val="32"/>
        </w:rPr>
        <w:t>万元、卫生健康支出</w:t>
      </w:r>
      <w:r>
        <w:rPr>
          <w:rFonts w:hint="eastAsia" w:ascii="仿宋_GB2312" w:hAnsi="仿宋_GB2312" w:eastAsia="仿宋_GB2312"/>
          <w:color w:val="auto"/>
          <w:sz w:val="32"/>
          <w:szCs w:val="32"/>
          <w:lang w:val="en-US" w:eastAsia="zh-CN"/>
        </w:rPr>
        <w:t>7.58</w:t>
      </w:r>
      <w:r>
        <w:rPr>
          <w:rFonts w:hint="eastAsia" w:ascii="仿宋_GB2312" w:hAnsi="仿宋_GB2312" w:eastAsia="仿宋_GB2312"/>
          <w:color w:val="auto"/>
          <w:sz w:val="32"/>
          <w:szCs w:val="32"/>
        </w:rPr>
        <w:t>万元、住房保障支出</w:t>
      </w:r>
      <w:r>
        <w:rPr>
          <w:rFonts w:hint="eastAsia" w:ascii="仿宋_GB2312" w:hAnsi="仿宋_GB2312" w:eastAsia="仿宋_GB2312"/>
          <w:color w:val="auto"/>
          <w:sz w:val="32"/>
          <w:szCs w:val="32"/>
          <w:lang w:val="en-US" w:eastAsia="zh-CN"/>
        </w:rPr>
        <w:t>14.79</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w:t>
      </w:r>
      <w:bookmarkStart w:id="17" w:name="_Toc17073"/>
    </w:p>
    <w:p w14:paraId="00922061">
      <w:pPr>
        <w:keepNext w:val="0"/>
        <w:keepLines w:val="0"/>
        <w:pageBreakBefore w:val="0"/>
        <w:widowControl w:val="0"/>
        <w:numPr>
          <w:ilvl w:val="0"/>
          <w:numId w:val="0"/>
        </w:numPr>
        <w:shd w:val="clear" w:color="auto" w:fill="FFFFFF" w:themeFill="background1"/>
        <w:kinsoku/>
        <w:wordWrap/>
        <w:overflowPunct/>
        <w:topLinePunct w:val="0"/>
        <w:bidi w:val="0"/>
        <w:spacing w:line="560" w:lineRule="exact"/>
        <w:ind w:firstLine="643" w:firstLineChars="200"/>
        <w:jc w:val="both"/>
        <w:textAlignment w:val="auto"/>
        <w:outlineLvl w:val="1"/>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2"/>
          <w:sz w:val="32"/>
          <w:szCs w:val="32"/>
          <w:lang w:val="en-US" w:eastAsia="zh-CN" w:bidi="ar-SA"/>
        </w:rPr>
        <w:t>（一）</w:t>
      </w:r>
      <w:r>
        <w:rPr>
          <w:rFonts w:hint="eastAsia" w:ascii="楷体_GB2312" w:hAnsi="楷体_GB2312" w:eastAsia="楷体_GB2312" w:cs="楷体_GB2312"/>
          <w:b/>
          <w:bCs/>
          <w:color w:val="auto"/>
          <w:sz w:val="32"/>
          <w:szCs w:val="32"/>
        </w:rPr>
        <w:t>收入预算情况</w:t>
      </w:r>
      <w:bookmarkEnd w:id="17"/>
    </w:p>
    <w:p w14:paraId="6B40E4F8">
      <w:pPr>
        <w:keepNext w:val="0"/>
        <w:keepLines w:val="0"/>
        <w:pageBreakBefore w:val="0"/>
        <w:widowControl w:val="0"/>
        <w:numPr>
          <w:ilvl w:val="0"/>
          <w:numId w:val="0"/>
        </w:numPr>
        <w:shd w:val="clear" w:color="auto" w:fill="FFFFFF" w:themeFill="background1"/>
        <w:kinsoku/>
        <w:wordWrap/>
        <w:overflowPunct/>
        <w:topLinePunct w:val="0"/>
        <w:bidi w:val="0"/>
        <w:spacing w:line="560" w:lineRule="exact"/>
        <w:ind w:firstLine="640" w:firstLineChars="200"/>
        <w:jc w:val="both"/>
        <w:textAlignment w:val="auto"/>
        <w:outlineLvl w:val="1"/>
        <w:rPr>
          <w:rFonts w:ascii="仿宋_GB2312" w:hAnsi="仿宋_GB2312" w:eastAsia="仿宋_GB2312"/>
          <w:color w:val="auto"/>
          <w:sz w:val="32"/>
          <w:szCs w:val="32"/>
        </w:rPr>
      </w:pPr>
      <w:r>
        <w:rPr>
          <w:rFonts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25</w:t>
      </w:r>
      <w:r>
        <w:rPr>
          <w:rFonts w:ascii="仿宋_GB2312" w:hAnsi="仿宋_GB2312" w:eastAsia="仿宋_GB2312"/>
          <w:color w:val="auto"/>
          <w:sz w:val="32"/>
          <w:szCs w:val="32"/>
        </w:rPr>
        <w:t>年收入预算</w:t>
      </w:r>
      <w:r>
        <w:rPr>
          <w:rFonts w:hint="eastAsia" w:ascii="仿宋_GB2312" w:hAnsi="仿宋_GB2312" w:eastAsia="仿宋_GB2312"/>
          <w:color w:val="auto"/>
          <w:sz w:val="32"/>
          <w:szCs w:val="32"/>
        </w:rPr>
        <w:t>407.79</w:t>
      </w:r>
      <w:r>
        <w:rPr>
          <w:rFonts w:ascii="仿宋_GB2312" w:hAnsi="仿宋_GB2312" w:eastAsia="仿宋_GB2312"/>
          <w:color w:val="auto"/>
          <w:sz w:val="32"/>
          <w:szCs w:val="32"/>
        </w:rPr>
        <w:t>万元，其中：上年结转</w:t>
      </w:r>
      <w:r>
        <w:rPr>
          <w:rFonts w:hint="eastAsia" w:ascii="仿宋_GB2312" w:hAnsi="仿宋_GB2312" w:eastAsia="仿宋_GB2312"/>
          <w:color w:val="auto"/>
          <w:sz w:val="32"/>
          <w:szCs w:val="32"/>
        </w:rPr>
        <w:t>0</w:t>
      </w:r>
      <w:r>
        <w:rPr>
          <w:rFonts w:ascii="仿宋_GB2312" w:hAnsi="仿宋_GB2312" w:eastAsia="仿宋_GB2312"/>
          <w:color w:val="auto"/>
          <w:sz w:val="32"/>
          <w:szCs w:val="32"/>
        </w:rPr>
        <w:t>万元，占</w:t>
      </w:r>
      <w:r>
        <w:rPr>
          <w:rFonts w:hint="eastAsia" w:ascii="仿宋_GB2312" w:hAnsi="仿宋_GB2312" w:eastAsia="仿宋_GB2312"/>
          <w:color w:val="auto"/>
          <w:sz w:val="32"/>
          <w:szCs w:val="32"/>
        </w:rPr>
        <w:t>0</w:t>
      </w:r>
      <w:r>
        <w:rPr>
          <w:rFonts w:ascii="仿宋_GB2312" w:hAnsi="仿宋_GB2312" w:eastAsia="仿宋_GB2312"/>
          <w:color w:val="auto"/>
          <w:sz w:val="32"/>
          <w:szCs w:val="32"/>
        </w:rPr>
        <w:t>%；一般公共预算拨款收入</w:t>
      </w:r>
      <w:r>
        <w:rPr>
          <w:rFonts w:hint="eastAsia" w:ascii="仿宋_GB2312" w:hAnsi="仿宋_GB2312" w:eastAsia="仿宋_GB2312"/>
          <w:color w:val="auto"/>
          <w:sz w:val="32"/>
          <w:szCs w:val="32"/>
        </w:rPr>
        <w:t>407.79</w:t>
      </w:r>
      <w:r>
        <w:rPr>
          <w:rFonts w:ascii="仿宋_GB2312" w:hAnsi="仿宋_GB2312" w:eastAsia="仿宋_GB2312"/>
          <w:color w:val="auto"/>
          <w:sz w:val="32"/>
          <w:szCs w:val="32"/>
        </w:rPr>
        <w:t>万元，占</w:t>
      </w:r>
      <w:r>
        <w:rPr>
          <w:rFonts w:hint="eastAsia" w:ascii="仿宋_GB2312" w:hAnsi="仿宋_GB2312" w:eastAsia="仿宋_GB2312"/>
          <w:color w:val="auto"/>
          <w:sz w:val="32"/>
          <w:szCs w:val="32"/>
          <w:lang w:val="en-US" w:eastAsia="zh-CN"/>
        </w:rPr>
        <w:t>100</w:t>
      </w:r>
      <w:r>
        <w:rPr>
          <w:rFonts w:ascii="仿宋_GB2312" w:hAnsi="仿宋_GB2312" w:eastAsia="仿宋_GB2312"/>
          <w:color w:val="auto"/>
          <w:sz w:val="32"/>
          <w:szCs w:val="32"/>
        </w:rPr>
        <w:t>%；</w:t>
      </w:r>
      <w:r>
        <w:rPr>
          <w:rFonts w:hint="eastAsia" w:ascii="仿宋_GB2312" w:hAnsi="仿宋_GB2312" w:eastAsia="仿宋_GB2312"/>
          <w:color w:val="auto"/>
          <w:sz w:val="32"/>
          <w:szCs w:val="32"/>
        </w:rPr>
        <w:t>政府性基金预算拨款收入</w:t>
      </w:r>
      <w:r>
        <w:rPr>
          <w:rFonts w:hint="eastAsia" w:ascii="仿宋_GB2312" w:hAnsi="仿宋_GB2312" w:eastAsia="仿宋_GB2312"/>
          <w:color w:val="auto"/>
          <w:sz w:val="32"/>
          <w:szCs w:val="32"/>
          <w:lang w:val="en-US" w:eastAsia="zh-CN"/>
        </w:rPr>
        <w:t>0</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w:t>
      </w:r>
      <w:r>
        <w:rPr>
          <w:rFonts w:ascii="仿宋_GB2312" w:hAnsi="仿宋_GB2312" w:eastAsia="仿宋_GB2312"/>
          <w:color w:val="auto"/>
          <w:sz w:val="32"/>
          <w:szCs w:val="32"/>
        </w:rPr>
        <w:t>占</w:t>
      </w:r>
      <w:r>
        <w:rPr>
          <w:rFonts w:hint="eastAsia" w:ascii="仿宋_GB2312" w:hAnsi="仿宋_GB2312" w:eastAsia="仿宋_GB2312"/>
          <w:color w:val="auto"/>
          <w:sz w:val="32"/>
          <w:szCs w:val="32"/>
          <w:lang w:val="en-US" w:eastAsia="zh-CN"/>
        </w:rPr>
        <w:t>0</w:t>
      </w:r>
      <w:r>
        <w:rPr>
          <w:rFonts w:ascii="仿宋_GB2312" w:hAnsi="仿宋_GB2312" w:eastAsia="仿宋_GB2312"/>
          <w:color w:val="auto"/>
          <w:sz w:val="32"/>
          <w:szCs w:val="32"/>
        </w:rPr>
        <w:t>%</w:t>
      </w:r>
      <w:r>
        <w:rPr>
          <w:rFonts w:hint="eastAsia" w:ascii="仿宋_GB2312" w:hAnsi="仿宋_GB2312" w:eastAsia="仿宋_GB2312"/>
          <w:color w:val="auto"/>
          <w:sz w:val="32"/>
          <w:szCs w:val="32"/>
          <w:lang w:eastAsia="zh-CN"/>
        </w:rPr>
        <w:t>；国有资本经营预算拨款收入</w:t>
      </w:r>
      <w:r>
        <w:rPr>
          <w:rFonts w:hint="eastAsia" w:ascii="仿宋_GB2312" w:hAnsi="仿宋_GB2312" w:eastAsia="仿宋_GB2312"/>
          <w:color w:val="auto"/>
          <w:sz w:val="32"/>
          <w:szCs w:val="32"/>
        </w:rPr>
        <w:t>0</w:t>
      </w:r>
      <w:r>
        <w:rPr>
          <w:rFonts w:ascii="仿宋_GB2312" w:hAnsi="仿宋_GB2312" w:eastAsia="仿宋_GB2312"/>
          <w:color w:val="auto"/>
          <w:sz w:val="32"/>
          <w:szCs w:val="32"/>
        </w:rPr>
        <w:t>万元，占</w:t>
      </w:r>
      <w:r>
        <w:rPr>
          <w:rFonts w:hint="eastAsia" w:ascii="仿宋_GB2312" w:hAnsi="仿宋_GB2312" w:eastAsia="仿宋_GB2312"/>
          <w:color w:val="auto"/>
          <w:sz w:val="32"/>
          <w:szCs w:val="32"/>
        </w:rPr>
        <w:t>0</w:t>
      </w:r>
      <w:r>
        <w:rPr>
          <w:rFonts w:ascii="仿宋_GB2312" w:hAnsi="仿宋_GB2312" w:eastAsia="仿宋_GB2312"/>
          <w:color w:val="auto"/>
          <w:sz w:val="32"/>
          <w:szCs w:val="32"/>
        </w:rPr>
        <w:t>%；事业收入</w:t>
      </w:r>
      <w:r>
        <w:rPr>
          <w:rFonts w:hint="eastAsia" w:ascii="仿宋_GB2312" w:hAnsi="仿宋_GB2312" w:eastAsia="仿宋_GB2312"/>
          <w:color w:val="auto"/>
          <w:sz w:val="32"/>
          <w:szCs w:val="32"/>
        </w:rPr>
        <w:t>0</w:t>
      </w:r>
      <w:r>
        <w:rPr>
          <w:rFonts w:ascii="仿宋_GB2312" w:hAnsi="仿宋_GB2312" w:eastAsia="仿宋_GB2312"/>
          <w:color w:val="auto"/>
          <w:sz w:val="32"/>
          <w:szCs w:val="32"/>
        </w:rPr>
        <w:t>万元，占</w:t>
      </w:r>
      <w:r>
        <w:rPr>
          <w:rFonts w:hint="eastAsia" w:ascii="仿宋_GB2312" w:hAnsi="仿宋_GB2312" w:eastAsia="仿宋_GB2312"/>
          <w:color w:val="auto"/>
          <w:sz w:val="32"/>
          <w:szCs w:val="32"/>
        </w:rPr>
        <w:t>0</w:t>
      </w:r>
      <w:r>
        <w:rPr>
          <w:rFonts w:ascii="仿宋_GB2312" w:hAnsi="仿宋_GB2312" w:eastAsia="仿宋_GB2312"/>
          <w:color w:val="auto"/>
          <w:sz w:val="32"/>
          <w:szCs w:val="32"/>
        </w:rPr>
        <w:t>%；事业单位经营收</w:t>
      </w:r>
      <w:r>
        <w:rPr>
          <w:rFonts w:hint="eastAsia" w:ascii="仿宋_GB2312" w:hAnsi="仿宋_GB2312" w:eastAsia="仿宋_GB2312"/>
          <w:color w:val="auto"/>
          <w:sz w:val="32"/>
          <w:szCs w:val="32"/>
        </w:rPr>
        <w:t>0</w:t>
      </w:r>
      <w:r>
        <w:rPr>
          <w:rFonts w:ascii="仿宋_GB2312" w:hAnsi="仿宋_GB2312" w:eastAsia="仿宋_GB2312"/>
          <w:color w:val="auto"/>
          <w:sz w:val="32"/>
          <w:szCs w:val="32"/>
        </w:rPr>
        <w:t>万元，占</w:t>
      </w:r>
      <w:r>
        <w:rPr>
          <w:rFonts w:hint="eastAsia" w:ascii="仿宋_GB2312" w:hAnsi="仿宋_GB2312" w:eastAsia="仿宋_GB2312"/>
          <w:color w:val="auto"/>
          <w:sz w:val="32"/>
          <w:szCs w:val="32"/>
        </w:rPr>
        <w:t>0</w:t>
      </w:r>
      <w:r>
        <w:rPr>
          <w:rFonts w:ascii="仿宋_GB2312" w:hAnsi="仿宋_GB2312" w:eastAsia="仿宋_GB2312"/>
          <w:color w:val="auto"/>
          <w:sz w:val="32"/>
          <w:szCs w:val="32"/>
        </w:rPr>
        <w:t>%；其他收入</w:t>
      </w:r>
      <w:r>
        <w:rPr>
          <w:rFonts w:hint="eastAsia" w:ascii="仿宋_GB2312" w:hAnsi="仿宋_GB2312" w:eastAsia="仿宋_GB2312"/>
          <w:color w:val="auto"/>
          <w:sz w:val="32"/>
          <w:szCs w:val="32"/>
        </w:rPr>
        <w:t>0</w:t>
      </w:r>
      <w:r>
        <w:rPr>
          <w:rFonts w:ascii="仿宋_GB2312" w:hAnsi="仿宋_GB2312" w:eastAsia="仿宋_GB2312"/>
          <w:color w:val="auto"/>
          <w:sz w:val="32"/>
          <w:szCs w:val="32"/>
        </w:rPr>
        <w:t>万元，占</w:t>
      </w:r>
      <w:r>
        <w:rPr>
          <w:rFonts w:hint="eastAsia" w:ascii="仿宋_GB2312" w:hAnsi="仿宋_GB2312" w:eastAsia="仿宋_GB2312"/>
          <w:color w:val="auto"/>
          <w:sz w:val="32"/>
          <w:szCs w:val="32"/>
        </w:rPr>
        <w:t>0</w:t>
      </w:r>
      <w:r>
        <w:rPr>
          <w:rFonts w:ascii="仿宋_GB2312" w:hAnsi="仿宋_GB2312" w:eastAsia="仿宋_GB2312"/>
          <w:color w:val="auto"/>
          <w:sz w:val="32"/>
          <w:szCs w:val="32"/>
        </w:rPr>
        <w:t>%。</w:t>
      </w:r>
    </w:p>
    <w:p w14:paraId="1F7AB01A">
      <w:pPr>
        <w:keepNext w:val="0"/>
        <w:keepLines w:val="0"/>
        <w:pageBreakBefore w:val="0"/>
        <w:widowControl w:val="0"/>
        <w:shd w:val="clear" w:color="auto" w:fill="FFFFFF" w:themeFill="background1"/>
        <w:kinsoku/>
        <w:wordWrap/>
        <w:overflowPunct/>
        <w:topLinePunct w:val="0"/>
        <w:bidi w:val="0"/>
        <w:spacing w:line="560" w:lineRule="exact"/>
        <w:ind w:firstLine="643" w:firstLineChars="200"/>
        <w:jc w:val="both"/>
        <w:textAlignment w:val="auto"/>
        <w:outlineLvl w:val="1"/>
        <w:rPr>
          <w:rFonts w:hint="eastAsia" w:ascii="楷体_GB2312" w:hAnsi="楷体_GB2312" w:eastAsia="楷体_GB2312" w:cs="楷体_GB2312"/>
          <w:b/>
          <w:bCs/>
          <w:color w:val="auto"/>
          <w:sz w:val="32"/>
          <w:szCs w:val="32"/>
        </w:rPr>
      </w:pPr>
      <w:bookmarkStart w:id="18" w:name="_Toc32189"/>
      <w:r>
        <w:rPr>
          <w:rFonts w:hint="eastAsia" w:ascii="楷体_GB2312" w:hAnsi="楷体_GB2312" w:eastAsia="楷体_GB2312" w:cs="楷体_GB2312"/>
          <w:b/>
          <w:bCs/>
          <w:color w:val="auto"/>
          <w:sz w:val="32"/>
          <w:szCs w:val="32"/>
        </w:rPr>
        <w:t>（二）支出预算情况</w:t>
      </w:r>
      <w:bookmarkEnd w:id="18"/>
    </w:p>
    <w:p w14:paraId="017092FD">
      <w:pPr>
        <w:keepNext w:val="0"/>
        <w:keepLines w:val="0"/>
        <w:pageBreakBefore w:val="0"/>
        <w:widowControl w:val="0"/>
        <w:shd w:val="clear" w:color="auto" w:fill="FFFFFF" w:themeFill="background1"/>
        <w:kinsoku/>
        <w:wordWrap/>
        <w:overflowPunct/>
        <w:topLinePunct w:val="0"/>
        <w:bidi w:val="0"/>
        <w:spacing w:line="560" w:lineRule="exact"/>
        <w:ind w:firstLine="645"/>
        <w:jc w:val="both"/>
        <w:textAlignment w:val="auto"/>
        <w:rPr>
          <w:rFonts w:ascii="仿宋_GB2312" w:hAnsi="仿宋_GB2312" w:eastAsia="仿宋_GB2312"/>
          <w:color w:val="auto"/>
          <w:sz w:val="32"/>
          <w:szCs w:val="32"/>
        </w:rPr>
      </w:pPr>
      <w:r>
        <w:rPr>
          <w:rFonts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25</w:t>
      </w:r>
      <w:r>
        <w:rPr>
          <w:rFonts w:ascii="仿宋_GB2312" w:hAnsi="仿宋_GB2312" w:eastAsia="仿宋_GB2312"/>
          <w:color w:val="auto"/>
          <w:sz w:val="32"/>
          <w:szCs w:val="32"/>
        </w:rPr>
        <w:t>年支出预算</w:t>
      </w:r>
      <w:r>
        <w:rPr>
          <w:rFonts w:hint="eastAsia" w:ascii="仿宋_GB2312" w:hAnsi="仿宋_GB2312" w:eastAsia="仿宋_GB2312"/>
          <w:color w:val="auto"/>
          <w:sz w:val="32"/>
          <w:szCs w:val="32"/>
        </w:rPr>
        <w:t>407.79</w:t>
      </w:r>
      <w:r>
        <w:rPr>
          <w:rFonts w:ascii="仿宋_GB2312" w:hAnsi="仿宋_GB2312" w:eastAsia="仿宋_GB2312"/>
          <w:color w:val="auto"/>
          <w:sz w:val="32"/>
          <w:szCs w:val="32"/>
        </w:rPr>
        <w:t>万元，其中：基本支出</w:t>
      </w:r>
      <w:r>
        <w:rPr>
          <w:rFonts w:hint="eastAsia" w:ascii="仿宋_GB2312" w:hAnsi="仿宋_GB2312" w:eastAsia="仿宋_GB2312"/>
          <w:color w:val="auto"/>
          <w:sz w:val="32"/>
          <w:szCs w:val="32"/>
          <w:lang w:val="en-US" w:eastAsia="zh-CN"/>
        </w:rPr>
        <w:t>209.96</w:t>
      </w:r>
      <w:r>
        <w:rPr>
          <w:rFonts w:ascii="仿宋_GB2312" w:hAnsi="仿宋_GB2312" w:eastAsia="仿宋_GB2312"/>
          <w:color w:val="auto"/>
          <w:sz w:val="32"/>
          <w:szCs w:val="32"/>
        </w:rPr>
        <w:t>万元，占</w:t>
      </w:r>
      <w:r>
        <w:rPr>
          <w:rFonts w:hint="eastAsia" w:ascii="仿宋_GB2312" w:hAnsi="仿宋_GB2312" w:eastAsia="仿宋_GB2312"/>
          <w:color w:val="auto"/>
          <w:sz w:val="32"/>
          <w:szCs w:val="32"/>
          <w:lang w:val="en-US" w:eastAsia="zh-CN"/>
        </w:rPr>
        <w:t>51.49</w:t>
      </w:r>
      <w:r>
        <w:rPr>
          <w:rFonts w:ascii="仿宋_GB2312" w:hAnsi="仿宋_GB2312" w:eastAsia="仿宋_GB2312"/>
          <w:color w:val="auto"/>
          <w:sz w:val="32"/>
          <w:szCs w:val="32"/>
        </w:rPr>
        <w:t>%；项目支出</w:t>
      </w:r>
      <w:r>
        <w:rPr>
          <w:rFonts w:hint="eastAsia" w:ascii="仿宋_GB2312" w:hAnsi="仿宋_GB2312" w:eastAsia="仿宋_GB2312"/>
          <w:color w:val="auto"/>
          <w:sz w:val="32"/>
          <w:szCs w:val="32"/>
          <w:lang w:val="en-US" w:eastAsia="zh-CN"/>
        </w:rPr>
        <w:t>197.82</w:t>
      </w:r>
      <w:r>
        <w:rPr>
          <w:rFonts w:ascii="仿宋_GB2312" w:hAnsi="仿宋_GB2312" w:eastAsia="仿宋_GB2312"/>
          <w:color w:val="auto"/>
          <w:sz w:val="32"/>
          <w:szCs w:val="32"/>
        </w:rPr>
        <w:t>万元，占</w:t>
      </w:r>
      <w:r>
        <w:rPr>
          <w:rFonts w:hint="eastAsia" w:ascii="仿宋_GB2312" w:hAnsi="仿宋_GB2312" w:eastAsia="仿宋_GB2312"/>
          <w:color w:val="auto"/>
          <w:sz w:val="32"/>
          <w:szCs w:val="32"/>
          <w:lang w:val="en-US" w:eastAsia="zh-CN"/>
        </w:rPr>
        <w:t>48.51</w:t>
      </w:r>
      <w:r>
        <w:rPr>
          <w:rFonts w:ascii="仿宋_GB2312" w:hAnsi="仿宋_GB2312" w:eastAsia="仿宋_GB2312"/>
          <w:color w:val="auto"/>
          <w:sz w:val="32"/>
          <w:szCs w:val="32"/>
        </w:rPr>
        <w:t>%。</w:t>
      </w:r>
    </w:p>
    <w:p w14:paraId="4B64253A">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outlineLvl w:val="0"/>
        <w:rPr>
          <w:rFonts w:hint="eastAsia" w:ascii="黑体" w:hAnsi="黑体" w:eastAsia="黑体" w:cs="黑体"/>
          <w:color w:val="auto"/>
          <w:sz w:val="32"/>
          <w:szCs w:val="32"/>
        </w:rPr>
      </w:pPr>
      <w:bookmarkStart w:id="19" w:name="_Toc16520"/>
      <w:r>
        <w:rPr>
          <w:rFonts w:hint="eastAsia" w:ascii="黑体" w:hAnsi="黑体" w:eastAsia="黑体" w:cs="黑体"/>
          <w:color w:val="auto"/>
          <w:sz w:val="32"/>
          <w:szCs w:val="32"/>
        </w:rPr>
        <w:t>五、一般公共预算当年拨款情况说明</w:t>
      </w:r>
      <w:bookmarkEnd w:id="19"/>
    </w:p>
    <w:p w14:paraId="0E234206">
      <w:pPr>
        <w:keepNext w:val="0"/>
        <w:keepLines w:val="0"/>
        <w:pageBreakBefore w:val="0"/>
        <w:widowControl w:val="0"/>
        <w:shd w:val="clear" w:color="auto" w:fill="FFFFFF" w:themeFill="background1"/>
        <w:kinsoku/>
        <w:wordWrap/>
        <w:overflowPunct/>
        <w:topLinePunct w:val="0"/>
        <w:bidi w:val="0"/>
        <w:spacing w:line="560" w:lineRule="exact"/>
        <w:ind w:firstLine="643" w:firstLineChars="200"/>
        <w:jc w:val="both"/>
        <w:textAlignment w:val="auto"/>
        <w:outlineLvl w:val="1"/>
        <w:rPr>
          <w:rFonts w:hint="eastAsia" w:ascii="楷体_GB2312" w:hAnsi="楷体_GB2312" w:eastAsia="楷体_GB2312" w:cs="楷体_GB2312"/>
          <w:b/>
          <w:bCs/>
          <w:color w:val="auto"/>
          <w:sz w:val="32"/>
          <w:szCs w:val="32"/>
        </w:rPr>
      </w:pPr>
      <w:bookmarkStart w:id="20" w:name="_Toc4128"/>
      <w:r>
        <w:rPr>
          <w:rFonts w:hint="eastAsia" w:ascii="楷体_GB2312" w:hAnsi="楷体_GB2312" w:eastAsia="楷体_GB2312" w:cs="楷体_GB2312"/>
          <w:b/>
          <w:bCs/>
          <w:color w:val="auto"/>
          <w:sz w:val="32"/>
          <w:szCs w:val="32"/>
        </w:rPr>
        <w:t>（一）一般公共预算当年拨款规模变化情况</w:t>
      </w:r>
      <w:bookmarkEnd w:id="20"/>
    </w:p>
    <w:p w14:paraId="74CE299E">
      <w:pPr>
        <w:keepNext w:val="0"/>
        <w:keepLines w:val="0"/>
        <w:pageBreakBefore w:val="0"/>
        <w:widowControl w:val="0"/>
        <w:shd w:val="clear" w:color="auto" w:fill="FFFFFF" w:themeFill="background1"/>
        <w:kinsoku/>
        <w:wordWrap/>
        <w:overflowPunct/>
        <w:topLinePunct w:val="0"/>
        <w:bidi w:val="0"/>
        <w:spacing w:line="560" w:lineRule="exact"/>
        <w:ind w:firstLine="642"/>
        <w:jc w:val="both"/>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lang w:eastAsia="zh-CN"/>
        </w:rPr>
        <w:t>德阳市罗江区科学技术局20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年一般公共预算当年拨款407.79万元，比</w:t>
      </w:r>
      <w:r>
        <w:rPr>
          <w:rFonts w:hint="eastAsia" w:ascii="仿宋_GB2312" w:hAnsi="仿宋_GB2312" w:eastAsia="仿宋_GB2312"/>
          <w:color w:val="auto"/>
          <w:sz w:val="32"/>
          <w:szCs w:val="32"/>
          <w:lang w:eastAsia="zh-CN"/>
        </w:rPr>
        <w:t>2</w:t>
      </w:r>
      <w:r>
        <w:rPr>
          <w:rFonts w:hint="eastAsia" w:ascii="仿宋_GB2312" w:hAnsi="仿宋_GB2312" w:eastAsia="仿宋_GB2312"/>
          <w:color w:val="auto"/>
          <w:sz w:val="32"/>
          <w:szCs w:val="32"/>
          <w:lang w:val="en-US" w:eastAsia="zh-CN"/>
        </w:rPr>
        <w:t>024</w:t>
      </w:r>
      <w:r>
        <w:rPr>
          <w:rFonts w:hint="eastAsia" w:ascii="仿宋_GB2312" w:hAnsi="仿宋_GB2312" w:eastAsia="仿宋_GB2312"/>
          <w:color w:val="auto"/>
          <w:sz w:val="32"/>
          <w:szCs w:val="32"/>
        </w:rPr>
        <w:t>年一般公共预算</w:t>
      </w:r>
      <w:r>
        <w:rPr>
          <w:rFonts w:hint="eastAsia" w:ascii="仿宋_GB2312" w:hAnsi="仿宋_GB2312" w:eastAsia="仿宋_GB2312"/>
          <w:color w:val="auto"/>
          <w:sz w:val="32"/>
          <w:szCs w:val="32"/>
          <w:lang w:eastAsia="zh-CN"/>
        </w:rPr>
        <w:t>收入</w:t>
      </w:r>
      <w:r>
        <w:rPr>
          <w:rFonts w:hint="eastAsia" w:ascii="仿宋_GB2312" w:hAnsi="仿宋_GB2312" w:eastAsia="仿宋_GB2312"/>
          <w:color w:val="auto"/>
          <w:sz w:val="32"/>
          <w:szCs w:val="32"/>
        </w:rPr>
        <w:t>数</w:t>
      </w:r>
      <w:r>
        <w:rPr>
          <w:rFonts w:hint="eastAsia" w:ascii="仿宋_GB2312" w:hAnsi="仿宋_GB2312" w:eastAsia="仿宋_GB2312"/>
          <w:color w:val="auto"/>
          <w:sz w:val="32"/>
          <w:szCs w:val="32"/>
          <w:lang w:eastAsia="zh-CN"/>
        </w:rPr>
        <w:t>增加</w:t>
      </w:r>
      <w:r>
        <w:rPr>
          <w:rFonts w:hint="eastAsia" w:ascii="仿宋_GB2312" w:hAnsi="仿宋_GB2312" w:eastAsia="仿宋_GB2312"/>
          <w:color w:val="auto"/>
          <w:sz w:val="32"/>
          <w:szCs w:val="32"/>
          <w:lang w:val="en-US" w:eastAsia="zh-CN"/>
        </w:rPr>
        <w:t>28.78</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增加的主要原因是为了保障基本运行，提高了基本支出经费保障。其中包括：</w:t>
      </w:r>
      <w:r>
        <w:rPr>
          <w:rFonts w:hint="eastAsia" w:ascii="仿宋_GB2312" w:hAnsi="仿宋_GB2312" w:eastAsia="仿宋_GB2312"/>
          <w:color w:val="auto"/>
          <w:sz w:val="32"/>
          <w:szCs w:val="32"/>
        </w:rPr>
        <w:t>科学技术支出</w:t>
      </w:r>
      <w:r>
        <w:rPr>
          <w:rFonts w:hint="eastAsia" w:ascii="仿宋_GB2312" w:hAnsi="仿宋_GB2312" w:eastAsia="仿宋_GB2312"/>
          <w:color w:val="auto"/>
          <w:sz w:val="32"/>
          <w:szCs w:val="32"/>
          <w:lang w:val="en-US" w:eastAsia="zh-CN"/>
        </w:rPr>
        <w:t>、社会保障和就业支出、卫生健康支出、住房保障支出。</w:t>
      </w:r>
    </w:p>
    <w:p w14:paraId="4E80FF29">
      <w:pPr>
        <w:keepNext w:val="0"/>
        <w:keepLines w:val="0"/>
        <w:pageBreakBefore w:val="0"/>
        <w:widowControl w:val="0"/>
        <w:shd w:val="clear" w:color="auto" w:fill="FFFFFF" w:themeFill="background1"/>
        <w:kinsoku/>
        <w:wordWrap/>
        <w:overflowPunct/>
        <w:topLinePunct w:val="0"/>
        <w:bidi w:val="0"/>
        <w:spacing w:line="560" w:lineRule="exact"/>
        <w:ind w:firstLine="643" w:firstLineChars="200"/>
        <w:jc w:val="both"/>
        <w:textAlignment w:val="auto"/>
        <w:outlineLvl w:val="1"/>
        <w:rPr>
          <w:rFonts w:hint="eastAsia" w:ascii="楷体_GB2312" w:hAnsi="楷体_GB2312" w:eastAsia="楷体_GB2312" w:cs="楷体_GB2312"/>
          <w:b/>
          <w:bCs/>
          <w:color w:val="auto"/>
          <w:sz w:val="32"/>
          <w:szCs w:val="32"/>
        </w:rPr>
      </w:pPr>
      <w:bookmarkStart w:id="21" w:name="_Toc30818"/>
      <w:r>
        <w:rPr>
          <w:rFonts w:hint="eastAsia" w:ascii="楷体_GB2312" w:hAnsi="楷体_GB2312" w:eastAsia="楷体_GB2312" w:cs="楷体_GB2312"/>
          <w:b/>
          <w:bCs/>
          <w:color w:val="auto"/>
          <w:sz w:val="32"/>
          <w:szCs w:val="32"/>
        </w:rPr>
        <w:t>（二）一般公共预算当年拨款结构情况</w:t>
      </w:r>
      <w:bookmarkEnd w:id="21"/>
    </w:p>
    <w:p w14:paraId="7A3BE629">
      <w:pPr>
        <w:keepNext w:val="0"/>
        <w:keepLines w:val="0"/>
        <w:pageBreakBefore w:val="0"/>
        <w:widowControl w:val="0"/>
        <w:numPr>
          <w:ilvl w:val="0"/>
          <w:numId w:val="0"/>
        </w:numPr>
        <w:shd w:val="clear" w:color="auto" w:fill="FFFFFF" w:themeFill="background1"/>
        <w:kinsoku/>
        <w:wordWrap/>
        <w:overflowPunct/>
        <w:topLinePunct w:val="0"/>
        <w:bidi w:val="0"/>
        <w:spacing w:line="560" w:lineRule="exact"/>
        <w:ind w:firstLine="640" w:firstLineChars="200"/>
        <w:jc w:val="both"/>
        <w:textAlignment w:val="auto"/>
        <w:outlineLvl w:val="1"/>
        <w:rPr>
          <w:rFonts w:hint="eastAsia" w:ascii="仿宋_GB2312" w:hAnsi="仿宋_GB2312" w:eastAsia="仿宋_GB2312"/>
          <w:color w:val="auto"/>
          <w:sz w:val="32"/>
          <w:szCs w:val="32"/>
          <w:lang w:eastAsia="zh-CN"/>
        </w:rPr>
      </w:pPr>
      <w:r>
        <w:rPr>
          <w:rFonts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25</w:t>
      </w:r>
      <w:r>
        <w:rPr>
          <w:rFonts w:ascii="仿宋_GB2312" w:hAnsi="仿宋_GB2312" w:eastAsia="仿宋_GB2312"/>
          <w:color w:val="auto"/>
          <w:sz w:val="32"/>
          <w:szCs w:val="32"/>
        </w:rPr>
        <w:t>年收入预算</w:t>
      </w:r>
      <w:r>
        <w:rPr>
          <w:rFonts w:hint="eastAsia" w:ascii="仿宋_GB2312" w:hAnsi="仿宋_GB2312" w:eastAsia="仿宋_GB2312"/>
          <w:color w:val="auto"/>
          <w:sz w:val="32"/>
          <w:szCs w:val="32"/>
        </w:rPr>
        <w:t>407.79</w:t>
      </w:r>
      <w:r>
        <w:rPr>
          <w:rFonts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其中：</w:t>
      </w:r>
      <w:r>
        <w:rPr>
          <w:rFonts w:hint="eastAsia" w:ascii="仿宋_GB2312" w:hAnsi="仿宋_GB2312" w:eastAsia="仿宋_GB2312"/>
          <w:color w:val="auto"/>
          <w:sz w:val="32"/>
          <w:szCs w:val="32"/>
        </w:rPr>
        <w:t>科学技术支出</w:t>
      </w:r>
      <w:r>
        <w:rPr>
          <w:rFonts w:hint="eastAsia" w:ascii="仿宋_GB2312" w:hAnsi="仿宋_GB2312" w:eastAsia="仿宋_GB2312"/>
          <w:color w:val="auto"/>
          <w:sz w:val="32"/>
          <w:szCs w:val="32"/>
          <w:lang w:val="en-US" w:eastAsia="zh-CN"/>
        </w:rPr>
        <w:t>352.54</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占</w:t>
      </w:r>
      <w:r>
        <w:rPr>
          <w:rFonts w:hint="eastAsia" w:ascii="仿宋_GB2312" w:hAnsi="仿宋_GB2312" w:eastAsia="仿宋_GB2312"/>
          <w:color w:val="auto"/>
          <w:sz w:val="32"/>
          <w:szCs w:val="32"/>
          <w:lang w:val="en-US" w:eastAsia="zh-CN"/>
        </w:rPr>
        <w:t>86.45%</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社会保障和就业支出</w:t>
      </w:r>
      <w:r>
        <w:rPr>
          <w:rFonts w:hint="eastAsia" w:ascii="仿宋_GB2312" w:hAnsi="仿宋_GB2312" w:eastAsia="仿宋_GB2312"/>
          <w:color w:val="auto"/>
          <w:sz w:val="32"/>
          <w:szCs w:val="32"/>
          <w:lang w:val="en-US" w:eastAsia="zh-CN"/>
        </w:rPr>
        <w:t>32.88</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占</w:t>
      </w:r>
      <w:r>
        <w:rPr>
          <w:rFonts w:hint="eastAsia" w:ascii="仿宋_GB2312" w:hAnsi="仿宋_GB2312" w:eastAsia="仿宋_GB2312"/>
          <w:color w:val="auto"/>
          <w:sz w:val="32"/>
          <w:szCs w:val="32"/>
          <w:lang w:val="en-US" w:eastAsia="zh-CN"/>
        </w:rPr>
        <w:t>8.06%</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卫生健康支出</w:t>
      </w:r>
      <w:r>
        <w:rPr>
          <w:rFonts w:hint="eastAsia" w:ascii="仿宋_GB2312" w:hAnsi="仿宋_GB2312" w:eastAsia="仿宋_GB2312"/>
          <w:color w:val="auto"/>
          <w:sz w:val="32"/>
          <w:szCs w:val="32"/>
          <w:lang w:val="en-US" w:eastAsia="zh-CN"/>
        </w:rPr>
        <w:t>7.58</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占</w:t>
      </w:r>
      <w:r>
        <w:rPr>
          <w:rFonts w:hint="eastAsia" w:ascii="仿宋_GB2312" w:hAnsi="仿宋_GB2312" w:eastAsia="仿宋_GB2312"/>
          <w:color w:val="auto"/>
          <w:sz w:val="32"/>
          <w:szCs w:val="32"/>
          <w:lang w:val="en-US" w:eastAsia="zh-CN"/>
        </w:rPr>
        <w:t>1.86%</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住房保障支出</w:t>
      </w:r>
      <w:r>
        <w:rPr>
          <w:rFonts w:hint="eastAsia" w:ascii="仿宋_GB2312" w:hAnsi="仿宋_GB2312" w:eastAsia="仿宋_GB2312"/>
          <w:color w:val="auto"/>
          <w:sz w:val="32"/>
          <w:szCs w:val="32"/>
          <w:lang w:val="en-US" w:eastAsia="zh-CN"/>
        </w:rPr>
        <w:t>14.79</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占</w:t>
      </w:r>
      <w:r>
        <w:rPr>
          <w:rFonts w:hint="eastAsia" w:ascii="仿宋_GB2312" w:hAnsi="仿宋_GB2312" w:eastAsia="仿宋_GB2312"/>
          <w:color w:val="auto"/>
          <w:sz w:val="32"/>
          <w:szCs w:val="32"/>
          <w:lang w:val="en-US" w:eastAsia="zh-CN"/>
        </w:rPr>
        <w:t>3.63%</w:t>
      </w:r>
      <w:r>
        <w:rPr>
          <w:rFonts w:hint="eastAsia" w:ascii="仿宋_GB2312" w:hAnsi="仿宋_GB2312" w:eastAsia="仿宋_GB2312"/>
          <w:color w:val="auto"/>
          <w:sz w:val="32"/>
          <w:szCs w:val="32"/>
          <w:lang w:eastAsia="zh-CN"/>
        </w:rPr>
        <w:t>。</w:t>
      </w:r>
    </w:p>
    <w:p w14:paraId="67669430">
      <w:pPr>
        <w:keepNext w:val="0"/>
        <w:keepLines w:val="0"/>
        <w:pageBreakBefore w:val="0"/>
        <w:widowControl w:val="0"/>
        <w:shd w:val="clear" w:color="auto" w:fill="FFFFFF" w:themeFill="background1"/>
        <w:kinsoku/>
        <w:wordWrap/>
        <w:overflowPunct/>
        <w:topLinePunct w:val="0"/>
        <w:bidi w:val="0"/>
        <w:spacing w:line="560" w:lineRule="exact"/>
        <w:ind w:firstLine="643" w:firstLineChars="200"/>
        <w:jc w:val="both"/>
        <w:textAlignment w:val="auto"/>
        <w:outlineLvl w:val="1"/>
        <w:rPr>
          <w:rFonts w:hint="eastAsia" w:ascii="楷体_GB2312" w:hAnsi="楷体_GB2312" w:eastAsia="楷体_GB2312" w:cs="楷体_GB2312"/>
          <w:b/>
          <w:bCs/>
          <w:color w:val="auto"/>
          <w:sz w:val="32"/>
          <w:szCs w:val="32"/>
        </w:rPr>
      </w:pPr>
      <w:bookmarkStart w:id="22" w:name="_Toc10536"/>
      <w:r>
        <w:rPr>
          <w:rFonts w:hint="eastAsia" w:ascii="楷体_GB2312" w:hAnsi="楷体_GB2312" w:eastAsia="楷体_GB2312" w:cs="楷体_GB2312"/>
          <w:b/>
          <w:bCs/>
          <w:color w:val="auto"/>
          <w:sz w:val="32"/>
          <w:szCs w:val="32"/>
        </w:rPr>
        <w:t>（三）一般公共预算当年拨款具体使用情况</w:t>
      </w:r>
      <w:bookmarkEnd w:id="22"/>
    </w:p>
    <w:p w14:paraId="774A1B52">
      <w:pPr>
        <w:shd w:val="clear" w:color="auto" w:fill="FFFFFF" w:themeFill="background1"/>
        <w:spacing w:line="560" w:lineRule="exact"/>
        <w:ind w:firstLine="645"/>
        <w:rPr>
          <w:rFonts w:ascii="仿宋_GB2312" w:hAnsi="仿宋_GB2312" w:eastAsia="仿宋_GB2312"/>
          <w:sz w:val="32"/>
          <w:szCs w:val="32"/>
        </w:rPr>
      </w:pPr>
      <w:bookmarkStart w:id="23" w:name="_Toc20002"/>
      <w:r>
        <w:rPr>
          <w:rFonts w:hint="eastAsia" w:ascii="仿宋_GB2312" w:hAnsi="仿宋_GB2312" w:eastAsia="仿宋_GB2312"/>
          <w:b/>
          <w:bCs/>
          <w:sz w:val="32"/>
          <w:szCs w:val="32"/>
        </w:rPr>
        <w:t>1.科学技术支出（类）科学技术管理事务（款）行政运行（项）</w:t>
      </w:r>
      <w:r>
        <w:rPr>
          <w:rFonts w:hint="eastAsia" w:ascii="仿宋_GB2312" w:hAnsi="仿宋_GB2312" w:eastAsia="仿宋_GB2312"/>
          <w:sz w:val="32"/>
          <w:szCs w:val="32"/>
          <w:lang w:eastAsia="zh-CN"/>
        </w:rPr>
        <w:t>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lang w:eastAsia="zh-CN"/>
        </w:rPr>
        <w:t>年</w:t>
      </w:r>
      <w:r>
        <w:rPr>
          <w:rFonts w:hint="eastAsia" w:ascii="仿宋_GB2312" w:hAnsi="仿宋_GB2312" w:eastAsia="仿宋_GB2312"/>
          <w:sz w:val="32"/>
          <w:szCs w:val="32"/>
        </w:rPr>
        <w:t>预算数为</w:t>
      </w:r>
      <w:r>
        <w:rPr>
          <w:rFonts w:hint="eastAsia" w:ascii="仿宋_GB2312" w:hAnsi="仿宋_GB2312" w:eastAsia="仿宋_GB2312"/>
          <w:sz w:val="32"/>
          <w:szCs w:val="32"/>
          <w:lang w:val="en-US" w:eastAsia="zh-CN"/>
        </w:rPr>
        <w:t>105.51</w:t>
      </w:r>
      <w:r>
        <w:rPr>
          <w:rFonts w:hint="eastAsia" w:ascii="仿宋_GB2312" w:hAnsi="仿宋_GB2312" w:eastAsia="仿宋_GB2312"/>
          <w:sz w:val="32"/>
          <w:szCs w:val="32"/>
        </w:rPr>
        <w:t>万元，主要用于：行政单位的基本支出。</w:t>
      </w:r>
    </w:p>
    <w:p w14:paraId="55D5023E">
      <w:pPr>
        <w:shd w:val="clear" w:color="auto" w:fill="FFFFFF" w:themeFill="background1"/>
        <w:spacing w:line="560" w:lineRule="exact"/>
        <w:ind w:firstLine="645"/>
        <w:rPr>
          <w:rFonts w:hint="eastAsia" w:ascii="仿宋_GB2312" w:hAnsi="仿宋_GB2312" w:eastAsia="仿宋_GB2312"/>
          <w:sz w:val="32"/>
          <w:szCs w:val="32"/>
        </w:rPr>
      </w:pPr>
      <w:r>
        <w:rPr>
          <w:rFonts w:hint="eastAsia" w:ascii="仿宋_GB2312" w:hAnsi="仿宋_GB2312" w:eastAsia="仿宋_GB2312"/>
          <w:b/>
          <w:bCs/>
          <w:sz w:val="32"/>
          <w:szCs w:val="32"/>
          <w:lang w:val="en-US" w:eastAsia="zh-CN"/>
        </w:rPr>
        <w:t>2</w:t>
      </w:r>
      <w:r>
        <w:rPr>
          <w:rFonts w:hint="eastAsia" w:ascii="仿宋_GB2312" w:hAnsi="仿宋_GB2312" w:eastAsia="仿宋_GB2312"/>
          <w:b/>
          <w:bCs/>
          <w:sz w:val="32"/>
          <w:szCs w:val="32"/>
        </w:rPr>
        <w:t>.科学技术支出（类）科学技术管理事务（款）其他科学技术管理事务支出（项）</w:t>
      </w:r>
      <w:r>
        <w:rPr>
          <w:rFonts w:hint="eastAsia" w:ascii="仿宋_GB2312" w:hAnsi="仿宋_GB2312" w:eastAsia="仿宋_GB2312"/>
          <w:sz w:val="32"/>
          <w:szCs w:val="32"/>
          <w:lang w:eastAsia="zh-CN"/>
        </w:rPr>
        <w:t>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lang w:eastAsia="zh-CN"/>
        </w:rPr>
        <w:t>年</w:t>
      </w:r>
      <w:r>
        <w:rPr>
          <w:rFonts w:hint="eastAsia" w:ascii="仿宋_GB2312" w:hAnsi="仿宋_GB2312" w:eastAsia="仿宋_GB2312"/>
          <w:sz w:val="32"/>
          <w:szCs w:val="32"/>
        </w:rPr>
        <w:t>预算数为</w:t>
      </w:r>
      <w:r>
        <w:rPr>
          <w:rFonts w:hint="eastAsia" w:ascii="仿宋_GB2312" w:hAnsi="仿宋_GB2312" w:eastAsia="仿宋_GB2312"/>
          <w:sz w:val="32"/>
          <w:szCs w:val="32"/>
          <w:lang w:val="en-US" w:eastAsia="zh-CN"/>
        </w:rPr>
        <w:t>49.21</w:t>
      </w:r>
      <w:r>
        <w:rPr>
          <w:rFonts w:hint="eastAsia" w:ascii="仿宋_GB2312" w:hAnsi="仿宋_GB2312" w:eastAsia="仿宋_GB2312"/>
          <w:sz w:val="32"/>
          <w:szCs w:val="32"/>
        </w:rPr>
        <w:t>万元，主要用于：其他用于科学技术管理事务方面的支出。</w:t>
      </w:r>
    </w:p>
    <w:p w14:paraId="53CE9DEE">
      <w:pPr>
        <w:shd w:val="clear" w:color="auto" w:fill="FFFFFF" w:themeFill="background1"/>
        <w:spacing w:line="560" w:lineRule="exact"/>
        <w:ind w:firstLine="645"/>
        <w:rPr>
          <w:rFonts w:ascii="仿宋_GB2312" w:hAnsi="仿宋_GB2312" w:eastAsia="仿宋_GB2312"/>
          <w:strike w:val="0"/>
          <w:dstrike w:val="0"/>
          <w:color w:val="000000" w:themeColor="text1"/>
          <w:sz w:val="32"/>
          <w:szCs w:val="32"/>
          <w14:textFill>
            <w14:solidFill>
              <w14:schemeClr w14:val="tx1"/>
            </w14:solidFill>
          </w14:textFill>
        </w:rPr>
      </w:pPr>
      <w:r>
        <w:rPr>
          <w:rFonts w:hint="eastAsia" w:ascii="仿宋_GB2312" w:hAnsi="仿宋_GB2312" w:eastAsia="仿宋_GB2312"/>
          <w:b/>
          <w:bCs/>
          <w:strike w:val="0"/>
          <w:dstrike w:val="0"/>
          <w:color w:val="000000" w:themeColor="text1"/>
          <w:sz w:val="32"/>
          <w:szCs w:val="32"/>
          <w:lang w:val="en-US" w:eastAsia="zh-CN"/>
          <w14:textFill>
            <w14:solidFill>
              <w14:schemeClr w14:val="tx1"/>
            </w14:solidFill>
          </w14:textFill>
        </w:rPr>
        <w:t>3</w:t>
      </w:r>
      <w:r>
        <w:rPr>
          <w:rFonts w:hint="eastAsia" w:ascii="仿宋_GB2312" w:hAnsi="仿宋_GB2312" w:eastAsia="仿宋_GB2312"/>
          <w:b/>
          <w:bCs/>
          <w:strike w:val="0"/>
          <w:dstrike w:val="0"/>
          <w:color w:val="000000" w:themeColor="text1"/>
          <w:sz w:val="32"/>
          <w:szCs w:val="32"/>
          <w14:textFill>
            <w14:solidFill>
              <w14:schemeClr w14:val="tx1"/>
            </w14:solidFill>
          </w14:textFill>
        </w:rPr>
        <w:t>.科学技术支出（类）</w:t>
      </w:r>
      <w:r>
        <w:rPr>
          <w:rFonts w:hint="eastAsia" w:ascii="仿宋_GB2312" w:hAnsi="仿宋_GB2312" w:eastAsia="仿宋_GB2312"/>
          <w:b/>
          <w:bCs/>
          <w:strike w:val="0"/>
          <w:dstrike w:val="0"/>
          <w:color w:val="000000" w:themeColor="text1"/>
          <w:sz w:val="32"/>
          <w:szCs w:val="32"/>
          <w:lang w:eastAsia="zh-CN"/>
          <w14:textFill>
            <w14:solidFill>
              <w14:schemeClr w14:val="tx1"/>
            </w14:solidFill>
          </w14:textFill>
        </w:rPr>
        <w:t>科技重大项目</w:t>
      </w:r>
      <w:r>
        <w:rPr>
          <w:rFonts w:hint="eastAsia" w:ascii="仿宋_GB2312" w:hAnsi="仿宋_GB2312" w:eastAsia="仿宋_GB2312"/>
          <w:b/>
          <w:bCs/>
          <w:strike w:val="0"/>
          <w:dstrike w:val="0"/>
          <w:color w:val="000000" w:themeColor="text1"/>
          <w:sz w:val="32"/>
          <w:szCs w:val="32"/>
          <w14:textFill>
            <w14:solidFill>
              <w14:schemeClr w14:val="tx1"/>
            </w14:solidFill>
          </w14:textFill>
        </w:rPr>
        <w:t>（款） 其他科技重大项目支出（项）</w:t>
      </w:r>
      <w:r>
        <w:rPr>
          <w:rFonts w:hint="eastAsia" w:ascii="仿宋_GB2312" w:hAnsi="仿宋_GB2312" w:eastAsia="仿宋_GB2312"/>
          <w:strike w:val="0"/>
          <w:dstrike w:val="0"/>
          <w:color w:val="000000" w:themeColor="text1"/>
          <w:sz w:val="32"/>
          <w:szCs w:val="32"/>
          <w:lang w:eastAsia="zh-CN"/>
          <w14:textFill>
            <w14:solidFill>
              <w14:schemeClr w14:val="tx1"/>
            </w14:solidFill>
          </w14:textFill>
        </w:rPr>
        <w:t>20</w:t>
      </w:r>
      <w:r>
        <w:rPr>
          <w:rFonts w:hint="eastAsia" w:ascii="仿宋_GB2312" w:hAnsi="仿宋_GB2312" w:eastAsia="仿宋_GB2312"/>
          <w:strike w:val="0"/>
          <w:dstrike w:val="0"/>
          <w:color w:val="000000" w:themeColor="text1"/>
          <w:sz w:val="32"/>
          <w:szCs w:val="32"/>
          <w:lang w:val="en-US" w:eastAsia="zh-CN"/>
          <w14:textFill>
            <w14:solidFill>
              <w14:schemeClr w14:val="tx1"/>
            </w14:solidFill>
          </w14:textFill>
        </w:rPr>
        <w:t>25</w:t>
      </w:r>
      <w:r>
        <w:rPr>
          <w:rFonts w:hint="eastAsia" w:ascii="仿宋_GB2312" w:hAnsi="仿宋_GB2312" w:eastAsia="仿宋_GB2312"/>
          <w:strike w:val="0"/>
          <w:dstrike w:val="0"/>
          <w:color w:val="000000" w:themeColor="text1"/>
          <w:sz w:val="32"/>
          <w:szCs w:val="32"/>
          <w:lang w:eastAsia="zh-CN"/>
          <w14:textFill>
            <w14:solidFill>
              <w14:schemeClr w14:val="tx1"/>
            </w14:solidFill>
          </w14:textFill>
        </w:rPr>
        <w:t>年</w:t>
      </w:r>
      <w:r>
        <w:rPr>
          <w:rFonts w:hint="eastAsia" w:ascii="仿宋_GB2312" w:hAnsi="仿宋_GB2312" w:eastAsia="仿宋_GB2312"/>
          <w:strike w:val="0"/>
          <w:dstrike w:val="0"/>
          <w:color w:val="000000" w:themeColor="text1"/>
          <w:sz w:val="32"/>
          <w:szCs w:val="32"/>
          <w14:textFill>
            <w14:solidFill>
              <w14:schemeClr w14:val="tx1"/>
            </w14:solidFill>
          </w14:textFill>
        </w:rPr>
        <w:t>预算数为</w:t>
      </w:r>
      <w:r>
        <w:rPr>
          <w:rFonts w:hint="eastAsia" w:ascii="仿宋_GB2312" w:hAnsi="仿宋_GB2312" w:eastAsia="仿宋_GB2312"/>
          <w:strike w:val="0"/>
          <w:dstrike w:val="0"/>
          <w:color w:val="000000" w:themeColor="text1"/>
          <w:sz w:val="32"/>
          <w:szCs w:val="32"/>
          <w:lang w:val="en-US" w:eastAsia="zh-CN"/>
          <w14:textFill>
            <w14:solidFill>
              <w14:schemeClr w14:val="tx1"/>
            </w14:solidFill>
          </w14:textFill>
        </w:rPr>
        <w:t>2.6</w:t>
      </w:r>
      <w:r>
        <w:rPr>
          <w:rFonts w:hint="eastAsia" w:ascii="仿宋_GB2312" w:hAnsi="仿宋_GB2312" w:eastAsia="仿宋_GB2312"/>
          <w:strike w:val="0"/>
          <w:dstrike w:val="0"/>
          <w:color w:val="000000" w:themeColor="text1"/>
          <w:sz w:val="32"/>
          <w:szCs w:val="32"/>
          <w14:textFill>
            <w14:solidFill>
              <w14:schemeClr w14:val="tx1"/>
            </w14:solidFill>
          </w14:textFill>
        </w:rPr>
        <w:t>万元，主要用于：对企业和区级相关部门的补助项目支出。</w:t>
      </w:r>
    </w:p>
    <w:p w14:paraId="63B699FE">
      <w:pPr>
        <w:shd w:val="clear" w:color="auto" w:fill="FFFFFF" w:themeFill="background1"/>
        <w:spacing w:line="560" w:lineRule="exact"/>
        <w:ind w:firstLine="645"/>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b/>
          <w:bCs/>
          <w:color w:val="000000" w:themeColor="text1"/>
          <w:sz w:val="32"/>
          <w:szCs w:val="32"/>
          <w:lang w:val="en-US" w:eastAsia="zh-CN"/>
          <w14:textFill>
            <w14:solidFill>
              <w14:schemeClr w14:val="tx1"/>
            </w14:solidFill>
          </w14:textFill>
        </w:rPr>
        <w:t>4</w:t>
      </w:r>
      <w:r>
        <w:rPr>
          <w:rFonts w:hint="eastAsia" w:ascii="仿宋_GB2312" w:hAnsi="仿宋_GB2312" w:eastAsia="仿宋_GB2312"/>
          <w:b/>
          <w:bCs/>
          <w:color w:val="000000" w:themeColor="text1"/>
          <w:sz w:val="32"/>
          <w:szCs w:val="32"/>
          <w14:textFill>
            <w14:solidFill>
              <w14:schemeClr w14:val="tx1"/>
            </w14:solidFill>
          </w14:textFill>
        </w:rPr>
        <w:t>.科学技术支出（类）其他科学技术支出（款）</w:t>
      </w:r>
      <w:r>
        <w:rPr>
          <w:rFonts w:hint="eastAsia" w:ascii="仿宋_GB2312" w:hAnsi="仿宋_GB2312" w:eastAsia="仿宋_GB2312"/>
          <w:b/>
          <w:bCs/>
          <w:color w:val="000000" w:themeColor="text1"/>
          <w:sz w:val="32"/>
          <w:szCs w:val="32"/>
          <w:lang w:eastAsia="zh-CN"/>
          <w14:textFill>
            <w14:solidFill>
              <w14:schemeClr w14:val="tx1"/>
            </w14:solidFill>
          </w14:textFill>
        </w:rPr>
        <w:t>其他科学技术支出</w:t>
      </w:r>
      <w:r>
        <w:rPr>
          <w:rFonts w:hint="eastAsia" w:ascii="仿宋_GB2312" w:hAnsi="仿宋_GB2312" w:eastAsia="仿宋_GB2312"/>
          <w:b/>
          <w:bCs/>
          <w:color w:val="000000" w:themeColor="text1"/>
          <w:sz w:val="32"/>
          <w:szCs w:val="32"/>
          <w14:textFill>
            <w14:solidFill>
              <w14:schemeClr w14:val="tx1"/>
            </w14:solidFill>
          </w14:textFill>
        </w:rPr>
        <w:t>（项）</w:t>
      </w:r>
      <w:r>
        <w:rPr>
          <w:rFonts w:hint="eastAsia" w:ascii="仿宋_GB2312" w:hAnsi="仿宋_GB2312" w:eastAsia="仿宋_GB2312"/>
          <w:color w:val="000000" w:themeColor="text1"/>
          <w:sz w:val="32"/>
          <w:szCs w:val="32"/>
          <w:lang w:eastAsia="zh-CN"/>
          <w14:textFill>
            <w14:solidFill>
              <w14:schemeClr w14:val="tx1"/>
            </w14:solidFill>
          </w14:textFill>
        </w:rPr>
        <w:t>20</w:t>
      </w:r>
      <w:r>
        <w:rPr>
          <w:rFonts w:hint="eastAsia" w:ascii="仿宋_GB2312" w:hAnsi="仿宋_GB2312" w:eastAsia="仿宋_GB2312"/>
          <w:color w:val="000000" w:themeColor="text1"/>
          <w:sz w:val="32"/>
          <w:szCs w:val="32"/>
          <w:lang w:val="en-US" w:eastAsia="zh-CN"/>
          <w14:textFill>
            <w14:solidFill>
              <w14:schemeClr w14:val="tx1"/>
            </w14:solidFill>
          </w14:textFill>
        </w:rPr>
        <w:t>25</w:t>
      </w:r>
      <w:r>
        <w:rPr>
          <w:rFonts w:hint="eastAsia" w:ascii="仿宋_GB2312" w:hAnsi="仿宋_GB2312" w:eastAsia="仿宋_GB2312"/>
          <w:color w:val="000000" w:themeColor="text1"/>
          <w:sz w:val="32"/>
          <w:szCs w:val="32"/>
          <w:lang w:eastAsia="zh-CN"/>
          <w14:textFill>
            <w14:solidFill>
              <w14:schemeClr w14:val="tx1"/>
            </w14:solidFill>
          </w14:textFill>
        </w:rPr>
        <w:t>年</w:t>
      </w:r>
      <w:r>
        <w:rPr>
          <w:rFonts w:hint="eastAsia" w:ascii="仿宋_GB2312" w:hAnsi="仿宋_GB2312" w:eastAsia="仿宋_GB2312"/>
          <w:color w:val="000000" w:themeColor="text1"/>
          <w:sz w:val="32"/>
          <w:szCs w:val="32"/>
          <w14:textFill>
            <w14:solidFill>
              <w14:schemeClr w14:val="tx1"/>
            </w14:solidFill>
          </w14:textFill>
        </w:rPr>
        <w:t>预算数为</w:t>
      </w:r>
      <w:r>
        <w:rPr>
          <w:rFonts w:hint="eastAsia" w:ascii="仿宋_GB2312" w:hAnsi="仿宋_GB2312" w:eastAsia="仿宋_GB2312"/>
          <w:color w:val="000000" w:themeColor="text1"/>
          <w:sz w:val="32"/>
          <w:szCs w:val="32"/>
          <w:lang w:val="en-US" w:eastAsia="zh-CN"/>
          <w14:textFill>
            <w14:solidFill>
              <w14:schemeClr w14:val="tx1"/>
            </w14:solidFill>
          </w14:textFill>
        </w:rPr>
        <w:t>195.22</w:t>
      </w:r>
      <w:r>
        <w:rPr>
          <w:rFonts w:hint="eastAsia" w:ascii="仿宋_GB2312" w:hAnsi="仿宋_GB2312" w:eastAsia="仿宋_GB2312"/>
          <w:color w:val="000000" w:themeColor="text1"/>
          <w:sz w:val="32"/>
          <w:szCs w:val="32"/>
          <w14:textFill>
            <w14:solidFill>
              <w14:schemeClr w14:val="tx1"/>
            </w14:solidFill>
          </w14:textFill>
        </w:rPr>
        <w:t>万元，主要用于：</w:t>
      </w:r>
      <w:r>
        <w:rPr>
          <w:rFonts w:hint="eastAsia" w:ascii="仿宋_GB2312" w:hAnsi="仿宋_GB2312" w:eastAsia="仿宋_GB2312"/>
          <w:color w:val="000000" w:themeColor="text1"/>
          <w:sz w:val="32"/>
          <w:szCs w:val="32"/>
          <w:lang w:eastAsia="zh-CN"/>
          <w14:textFill>
            <w14:solidFill>
              <w14:schemeClr w14:val="tx1"/>
            </w14:solidFill>
          </w14:textFill>
        </w:rPr>
        <w:t>反映其他科学技术支出中除以上各项外用于科技方面的支出</w:t>
      </w:r>
      <w:r>
        <w:rPr>
          <w:rFonts w:hint="eastAsia" w:ascii="仿宋_GB2312" w:hAnsi="仿宋_GB2312" w:eastAsia="仿宋_GB2312"/>
          <w:color w:val="000000" w:themeColor="text1"/>
          <w:sz w:val="32"/>
          <w:szCs w:val="32"/>
          <w14:textFill>
            <w14:solidFill>
              <w14:schemeClr w14:val="tx1"/>
            </w14:solidFill>
          </w14:textFill>
        </w:rPr>
        <w:t>。</w:t>
      </w:r>
    </w:p>
    <w:p w14:paraId="1847CDC7">
      <w:pPr>
        <w:shd w:val="clear" w:color="auto" w:fill="FFFFFF" w:themeFill="background1"/>
        <w:spacing w:line="560" w:lineRule="exact"/>
        <w:ind w:firstLine="645"/>
        <w:rPr>
          <w:rFonts w:ascii="仿宋_GB2312" w:hAnsi="仿宋_GB2312" w:eastAsia="仿宋_GB2312"/>
          <w:sz w:val="32"/>
          <w:szCs w:val="32"/>
        </w:rPr>
      </w:pPr>
      <w:r>
        <w:rPr>
          <w:rFonts w:hint="eastAsia" w:ascii="仿宋_GB2312" w:hAnsi="仿宋_GB2312" w:eastAsia="仿宋_GB2312"/>
          <w:b/>
          <w:bCs/>
          <w:sz w:val="32"/>
          <w:szCs w:val="32"/>
          <w:lang w:val="en-US" w:eastAsia="zh-CN"/>
        </w:rPr>
        <w:t>5</w:t>
      </w:r>
      <w:r>
        <w:rPr>
          <w:rFonts w:hint="eastAsia" w:ascii="仿宋_GB2312" w:hAnsi="仿宋_GB2312" w:eastAsia="仿宋_GB2312"/>
          <w:b/>
          <w:bCs/>
          <w:sz w:val="32"/>
          <w:szCs w:val="32"/>
        </w:rPr>
        <w:t>.社会保障和就业支出（类）行政事业单位离退休（款）机关事业单位基本养老保险缴费支出（项）</w:t>
      </w:r>
      <w:r>
        <w:rPr>
          <w:rFonts w:hint="eastAsia" w:ascii="仿宋_GB2312" w:hAnsi="仿宋_GB2312" w:eastAsia="仿宋_GB2312"/>
          <w:sz w:val="32"/>
          <w:szCs w:val="32"/>
          <w:lang w:eastAsia="zh-CN"/>
        </w:rPr>
        <w:t>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lang w:eastAsia="zh-CN"/>
        </w:rPr>
        <w:t>年</w:t>
      </w:r>
      <w:r>
        <w:rPr>
          <w:rFonts w:hint="eastAsia" w:ascii="仿宋_GB2312" w:hAnsi="仿宋_GB2312" w:eastAsia="仿宋_GB2312"/>
          <w:sz w:val="32"/>
          <w:szCs w:val="32"/>
        </w:rPr>
        <w:t>预算数为</w:t>
      </w:r>
      <w:r>
        <w:rPr>
          <w:rFonts w:hint="eastAsia" w:ascii="仿宋_GB2312" w:hAnsi="仿宋_GB2312" w:eastAsia="仿宋_GB2312"/>
          <w:sz w:val="32"/>
          <w:szCs w:val="32"/>
          <w:lang w:val="en-US" w:eastAsia="zh-CN"/>
        </w:rPr>
        <w:t>17.64</w:t>
      </w:r>
      <w:r>
        <w:rPr>
          <w:rFonts w:hint="eastAsia" w:ascii="仿宋_GB2312" w:hAnsi="仿宋_GB2312" w:eastAsia="仿宋_GB2312"/>
          <w:sz w:val="32"/>
          <w:szCs w:val="32"/>
        </w:rPr>
        <w:t>万元，主要用于：机关事业单位实施养老保险制度由单位缴纳的基本养老保险费支出。</w:t>
      </w:r>
    </w:p>
    <w:p w14:paraId="1A787B1E">
      <w:pPr>
        <w:shd w:val="clear" w:color="auto" w:fill="FFFFFF" w:themeFill="background1"/>
        <w:spacing w:line="560" w:lineRule="exact"/>
        <w:ind w:firstLine="645"/>
        <w:rPr>
          <w:rFonts w:hint="eastAsia" w:ascii="仿宋_GB2312" w:hAnsi="仿宋_GB2312" w:eastAsia="仿宋_GB2312"/>
          <w:sz w:val="32"/>
          <w:szCs w:val="32"/>
        </w:rPr>
      </w:pPr>
      <w:r>
        <w:rPr>
          <w:rFonts w:hint="eastAsia" w:ascii="仿宋_GB2312" w:hAnsi="仿宋_GB2312" w:eastAsia="仿宋_GB2312"/>
          <w:b/>
          <w:bCs/>
          <w:sz w:val="32"/>
          <w:szCs w:val="32"/>
          <w:lang w:val="en-US" w:eastAsia="zh-CN"/>
        </w:rPr>
        <w:t>6</w:t>
      </w:r>
      <w:r>
        <w:rPr>
          <w:rFonts w:hint="eastAsia" w:ascii="仿宋_GB2312" w:hAnsi="仿宋_GB2312" w:eastAsia="仿宋_GB2312"/>
          <w:b/>
          <w:bCs/>
          <w:sz w:val="32"/>
          <w:szCs w:val="32"/>
        </w:rPr>
        <w:t>.社会保障和就业支出（类）行政事业单位离退休（款）机关事业单位职业年金缴费支出（项）</w:t>
      </w:r>
      <w:r>
        <w:rPr>
          <w:rFonts w:hint="eastAsia" w:ascii="仿宋_GB2312" w:hAnsi="仿宋_GB2312" w:eastAsia="仿宋_GB2312"/>
          <w:sz w:val="32"/>
          <w:szCs w:val="32"/>
          <w:lang w:eastAsia="zh-CN"/>
        </w:rPr>
        <w:t>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lang w:eastAsia="zh-CN"/>
        </w:rPr>
        <w:t>年</w:t>
      </w:r>
      <w:r>
        <w:rPr>
          <w:rFonts w:hint="eastAsia" w:ascii="仿宋_GB2312" w:hAnsi="仿宋_GB2312" w:eastAsia="仿宋_GB2312"/>
          <w:sz w:val="32"/>
          <w:szCs w:val="32"/>
        </w:rPr>
        <w:t>预算数为</w:t>
      </w:r>
      <w:r>
        <w:rPr>
          <w:rFonts w:hint="eastAsia" w:ascii="仿宋_GB2312" w:hAnsi="仿宋_GB2312" w:eastAsia="仿宋_GB2312"/>
          <w:sz w:val="32"/>
          <w:szCs w:val="32"/>
          <w:lang w:val="en-US" w:eastAsia="zh-CN"/>
        </w:rPr>
        <w:t>8.82</w:t>
      </w:r>
      <w:r>
        <w:rPr>
          <w:rFonts w:hint="eastAsia" w:ascii="仿宋_GB2312" w:hAnsi="仿宋_GB2312" w:eastAsia="仿宋_GB2312"/>
          <w:sz w:val="32"/>
          <w:szCs w:val="32"/>
        </w:rPr>
        <w:t>万元，主要用于：机关事业单位实施养老保险制度由单位实际缴纳的职业年金支出。</w:t>
      </w:r>
    </w:p>
    <w:p w14:paraId="3A338792">
      <w:pPr>
        <w:shd w:val="clear" w:color="auto" w:fill="FFFFFF" w:themeFill="background1"/>
        <w:spacing w:line="560" w:lineRule="exact"/>
        <w:ind w:firstLine="645"/>
        <w:rPr>
          <w:rFonts w:hint="default" w:ascii="仿宋_GB2312" w:hAnsi="仿宋_GB2312" w:eastAsia="仿宋_GB2312"/>
          <w:b/>
          <w:bCs/>
          <w:color w:val="F79646" w:themeColor="accent6"/>
          <w:sz w:val="32"/>
          <w:szCs w:val="32"/>
          <w:lang w:val="en-US" w:eastAsia="zh-CN"/>
          <w14:textFill>
            <w14:solidFill>
              <w14:schemeClr w14:val="accent6"/>
            </w14:solidFill>
          </w14:textFill>
        </w:rPr>
      </w:pPr>
      <w:r>
        <w:rPr>
          <w:rFonts w:hint="eastAsia" w:ascii="仿宋_GB2312" w:hAnsi="仿宋_GB2312" w:eastAsia="仿宋_GB2312"/>
          <w:b/>
          <w:bCs/>
          <w:color w:val="auto"/>
          <w:sz w:val="32"/>
          <w:szCs w:val="32"/>
          <w:lang w:val="en-US" w:eastAsia="zh-CN"/>
        </w:rPr>
        <w:t>7.社会保障和就业支出</w:t>
      </w:r>
      <w:r>
        <w:rPr>
          <w:rFonts w:hint="eastAsia" w:ascii="仿宋_GB2312" w:hAnsi="仿宋_GB2312" w:eastAsia="仿宋_GB2312"/>
          <w:b/>
          <w:bCs/>
          <w:color w:val="auto"/>
          <w:sz w:val="32"/>
          <w:szCs w:val="32"/>
        </w:rPr>
        <w:t>（类）</w:t>
      </w:r>
      <w:r>
        <w:rPr>
          <w:rFonts w:hint="eastAsia" w:ascii="仿宋_GB2312" w:hAnsi="仿宋_GB2312" w:eastAsia="仿宋_GB2312"/>
          <w:b/>
          <w:bCs/>
          <w:color w:val="auto"/>
          <w:sz w:val="32"/>
          <w:szCs w:val="32"/>
          <w:lang w:eastAsia="zh-CN"/>
        </w:rPr>
        <w:t>行政事业单位养老支出</w:t>
      </w:r>
      <w:r>
        <w:rPr>
          <w:rFonts w:hint="eastAsia" w:ascii="仿宋_GB2312" w:hAnsi="仿宋_GB2312" w:eastAsia="仿宋_GB2312"/>
          <w:b/>
          <w:bCs/>
          <w:color w:val="auto"/>
          <w:sz w:val="32"/>
          <w:szCs w:val="32"/>
        </w:rPr>
        <w:t>（款）</w:t>
      </w:r>
      <w:r>
        <w:rPr>
          <w:rFonts w:hint="eastAsia" w:ascii="仿宋_GB2312" w:hAnsi="仿宋_GB2312" w:eastAsia="仿宋_GB2312"/>
          <w:b/>
          <w:bCs/>
          <w:color w:val="auto"/>
          <w:sz w:val="32"/>
          <w:szCs w:val="32"/>
          <w:lang w:val="en-US" w:eastAsia="zh-CN"/>
        </w:rPr>
        <w:t>其他行政事业单位养老支出</w:t>
      </w:r>
      <w:r>
        <w:rPr>
          <w:rFonts w:hint="eastAsia" w:ascii="仿宋_GB2312" w:hAnsi="仿宋_GB2312" w:eastAsia="仿宋_GB2312"/>
          <w:b/>
          <w:bCs/>
          <w:color w:val="auto"/>
          <w:sz w:val="32"/>
          <w:szCs w:val="32"/>
        </w:rPr>
        <w:t>（项）</w:t>
      </w:r>
      <w:r>
        <w:rPr>
          <w:rFonts w:hint="eastAsia" w:ascii="仿宋_GB2312" w:hAnsi="仿宋_GB2312" w:eastAsia="仿宋_GB2312"/>
          <w:color w:val="auto"/>
          <w:sz w:val="32"/>
          <w:szCs w:val="32"/>
          <w:lang w:eastAsia="zh-CN"/>
        </w:rPr>
        <w:t>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lang w:eastAsia="zh-CN"/>
        </w:rPr>
        <w:t>年</w:t>
      </w:r>
      <w:r>
        <w:rPr>
          <w:rFonts w:hint="eastAsia" w:ascii="仿宋_GB2312" w:hAnsi="仿宋_GB2312" w:eastAsia="仿宋_GB2312"/>
          <w:color w:val="auto"/>
          <w:sz w:val="32"/>
          <w:szCs w:val="32"/>
        </w:rPr>
        <w:t>预算数为</w:t>
      </w:r>
      <w:r>
        <w:rPr>
          <w:rFonts w:hint="eastAsia" w:ascii="仿宋_GB2312" w:hAnsi="仿宋_GB2312" w:eastAsia="仿宋_GB2312"/>
          <w:color w:val="auto"/>
          <w:sz w:val="32"/>
          <w:szCs w:val="32"/>
          <w:lang w:val="en-US" w:eastAsia="zh-CN"/>
        </w:rPr>
        <w:t>6</w:t>
      </w:r>
      <w:r>
        <w:rPr>
          <w:rFonts w:hint="eastAsia" w:ascii="仿宋_GB2312" w:hAnsi="仿宋_GB2312" w:eastAsia="仿宋_GB2312"/>
          <w:color w:val="auto"/>
          <w:sz w:val="32"/>
          <w:szCs w:val="32"/>
        </w:rPr>
        <w:t>万元，主要用于：</w:t>
      </w:r>
      <w:r>
        <w:rPr>
          <w:rFonts w:hint="eastAsia" w:ascii="仿宋_GB2312" w:hAnsi="仿宋_GB2312" w:eastAsia="仿宋_GB2312"/>
          <w:color w:val="auto"/>
          <w:sz w:val="32"/>
          <w:szCs w:val="32"/>
          <w:lang w:val="en-US" w:eastAsia="zh-CN"/>
        </w:rPr>
        <w:t>其他行政事业单位养老支出</w:t>
      </w:r>
      <w:r>
        <w:rPr>
          <w:rFonts w:hint="eastAsia" w:ascii="仿宋_GB2312" w:hAnsi="仿宋_GB2312" w:eastAsia="仿宋_GB2312"/>
          <w:color w:val="auto"/>
          <w:sz w:val="32"/>
          <w:szCs w:val="32"/>
        </w:rPr>
        <w:t>。</w:t>
      </w:r>
    </w:p>
    <w:p w14:paraId="73280CB5">
      <w:pPr>
        <w:shd w:val="clear" w:color="auto" w:fill="FFFFFF" w:themeFill="background1"/>
        <w:spacing w:line="560" w:lineRule="exact"/>
        <w:ind w:firstLine="645"/>
        <w:rPr>
          <w:rFonts w:ascii="仿宋_GB2312" w:hAnsi="仿宋_GB2312" w:eastAsia="仿宋_GB2312"/>
          <w:sz w:val="32"/>
          <w:szCs w:val="32"/>
        </w:rPr>
      </w:pPr>
      <w:r>
        <w:rPr>
          <w:rFonts w:hint="eastAsia" w:ascii="仿宋_GB2312" w:hAnsi="仿宋_GB2312" w:eastAsia="仿宋_GB2312"/>
          <w:b/>
          <w:bCs/>
          <w:sz w:val="32"/>
          <w:szCs w:val="32"/>
          <w:lang w:val="en-US" w:eastAsia="zh-CN"/>
        </w:rPr>
        <w:t>8</w:t>
      </w:r>
      <w:r>
        <w:rPr>
          <w:rFonts w:hint="eastAsia" w:ascii="仿宋_GB2312" w:hAnsi="仿宋_GB2312" w:eastAsia="仿宋_GB2312"/>
          <w:b/>
          <w:bCs/>
          <w:sz w:val="32"/>
          <w:szCs w:val="32"/>
        </w:rPr>
        <w:t>.社会保障和就业支出（类）其他社会保障和就业支出（款）其他社会保障和就业支出（项）</w:t>
      </w:r>
      <w:r>
        <w:rPr>
          <w:rFonts w:hint="eastAsia" w:ascii="仿宋_GB2312" w:hAnsi="仿宋_GB2312" w:eastAsia="仿宋_GB2312"/>
          <w:sz w:val="32"/>
          <w:szCs w:val="32"/>
          <w:lang w:eastAsia="zh-CN"/>
        </w:rPr>
        <w:t>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lang w:eastAsia="zh-CN"/>
        </w:rPr>
        <w:t>年</w:t>
      </w:r>
      <w:r>
        <w:rPr>
          <w:rFonts w:hint="eastAsia" w:ascii="仿宋_GB2312" w:hAnsi="仿宋_GB2312" w:eastAsia="仿宋_GB2312"/>
          <w:sz w:val="32"/>
          <w:szCs w:val="32"/>
        </w:rPr>
        <w:t>预算数为0.42万元，主要用于：行政事业单位职工失业、工伤保险费支出。</w:t>
      </w:r>
    </w:p>
    <w:p w14:paraId="37F56189">
      <w:pPr>
        <w:shd w:val="clear" w:color="auto" w:fill="FFFFFF" w:themeFill="background1"/>
        <w:spacing w:line="560" w:lineRule="exact"/>
        <w:ind w:firstLine="645"/>
        <w:rPr>
          <w:rFonts w:ascii="仿宋_GB2312" w:hAnsi="仿宋_GB2312" w:eastAsia="仿宋_GB2312"/>
          <w:sz w:val="32"/>
          <w:szCs w:val="32"/>
        </w:rPr>
      </w:pPr>
      <w:r>
        <w:rPr>
          <w:rFonts w:hint="eastAsia" w:ascii="仿宋_GB2312" w:hAnsi="仿宋_GB2312" w:eastAsia="仿宋_GB2312"/>
          <w:b/>
          <w:bCs/>
          <w:sz w:val="32"/>
          <w:szCs w:val="32"/>
          <w:lang w:val="en-US" w:eastAsia="zh-CN"/>
        </w:rPr>
        <w:t>9</w:t>
      </w:r>
      <w:r>
        <w:rPr>
          <w:rFonts w:hint="eastAsia" w:ascii="仿宋_GB2312" w:hAnsi="仿宋_GB2312" w:eastAsia="仿宋_GB2312"/>
          <w:b/>
          <w:bCs/>
          <w:sz w:val="32"/>
          <w:szCs w:val="32"/>
        </w:rPr>
        <w:t>.卫生健康支出（类）行政事业单位医疗（款）行政单位医疗（项）</w:t>
      </w:r>
      <w:r>
        <w:rPr>
          <w:rFonts w:hint="eastAsia" w:ascii="仿宋_GB2312" w:hAnsi="仿宋_GB2312" w:eastAsia="仿宋_GB2312"/>
          <w:sz w:val="32"/>
          <w:szCs w:val="32"/>
          <w:lang w:eastAsia="zh-CN"/>
        </w:rPr>
        <w:t>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lang w:eastAsia="zh-CN"/>
        </w:rPr>
        <w:t>年</w:t>
      </w:r>
      <w:r>
        <w:rPr>
          <w:rFonts w:hint="eastAsia" w:ascii="仿宋_GB2312" w:hAnsi="仿宋_GB2312" w:eastAsia="仿宋_GB2312"/>
          <w:sz w:val="32"/>
          <w:szCs w:val="32"/>
        </w:rPr>
        <w:t>预算数为</w:t>
      </w:r>
      <w:r>
        <w:rPr>
          <w:rFonts w:hint="eastAsia" w:ascii="仿宋_GB2312" w:hAnsi="仿宋_GB2312" w:eastAsia="仿宋_GB2312"/>
          <w:sz w:val="32"/>
          <w:szCs w:val="32"/>
          <w:lang w:val="en-US" w:eastAsia="zh-CN"/>
        </w:rPr>
        <w:t>4.62</w:t>
      </w:r>
      <w:r>
        <w:rPr>
          <w:rFonts w:hint="eastAsia" w:ascii="仿宋_GB2312" w:hAnsi="仿宋_GB2312" w:eastAsia="仿宋_GB2312"/>
          <w:sz w:val="32"/>
          <w:szCs w:val="32"/>
        </w:rPr>
        <w:t>万元，主要用于：行政单位基本医疗保险缴费支出。</w:t>
      </w:r>
    </w:p>
    <w:p w14:paraId="2B79C915">
      <w:pPr>
        <w:shd w:val="clear" w:color="auto" w:fill="FFFFFF" w:themeFill="background1"/>
        <w:spacing w:line="560" w:lineRule="exact"/>
        <w:ind w:firstLine="645"/>
        <w:rPr>
          <w:rFonts w:ascii="仿宋_GB2312" w:hAnsi="仿宋_GB2312" w:eastAsia="仿宋_GB2312"/>
          <w:sz w:val="32"/>
          <w:szCs w:val="32"/>
        </w:rPr>
      </w:pPr>
      <w:r>
        <w:rPr>
          <w:rFonts w:hint="eastAsia" w:ascii="仿宋_GB2312" w:hAnsi="仿宋_GB2312" w:eastAsia="仿宋_GB2312"/>
          <w:b/>
          <w:bCs/>
          <w:sz w:val="32"/>
          <w:szCs w:val="32"/>
        </w:rPr>
        <w:t>1</w:t>
      </w:r>
      <w:r>
        <w:rPr>
          <w:rFonts w:hint="eastAsia" w:ascii="仿宋_GB2312" w:hAnsi="仿宋_GB2312" w:eastAsia="仿宋_GB2312"/>
          <w:b/>
          <w:bCs/>
          <w:sz w:val="32"/>
          <w:szCs w:val="32"/>
          <w:lang w:val="en-US" w:eastAsia="zh-CN"/>
        </w:rPr>
        <w:t>0</w:t>
      </w:r>
      <w:r>
        <w:rPr>
          <w:rFonts w:hint="eastAsia" w:ascii="仿宋_GB2312" w:hAnsi="仿宋_GB2312" w:eastAsia="仿宋_GB2312"/>
          <w:b/>
          <w:bCs/>
          <w:sz w:val="32"/>
          <w:szCs w:val="32"/>
        </w:rPr>
        <w:t>.卫生健康支出（类）行政事业单位医疗（款）事业单位医疗（项）</w:t>
      </w:r>
      <w:r>
        <w:rPr>
          <w:rFonts w:hint="eastAsia" w:ascii="仿宋_GB2312" w:hAnsi="仿宋_GB2312" w:eastAsia="仿宋_GB2312"/>
          <w:sz w:val="32"/>
          <w:szCs w:val="32"/>
          <w:lang w:eastAsia="zh-CN"/>
        </w:rPr>
        <w:t>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lang w:eastAsia="zh-CN"/>
        </w:rPr>
        <w:t>年</w:t>
      </w:r>
      <w:r>
        <w:rPr>
          <w:rFonts w:hint="eastAsia" w:ascii="仿宋_GB2312" w:hAnsi="仿宋_GB2312" w:eastAsia="仿宋_GB2312"/>
          <w:sz w:val="32"/>
          <w:szCs w:val="32"/>
        </w:rPr>
        <w:t>预算数为</w:t>
      </w:r>
      <w:r>
        <w:rPr>
          <w:rFonts w:hint="eastAsia" w:ascii="仿宋_GB2312" w:hAnsi="仿宋_GB2312" w:eastAsia="仿宋_GB2312"/>
          <w:sz w:val="32"/>
          <w:szCs w:val="32"/>
          <w:lang w:val="en-US" w:eastAsia="zh-CN"/>
        </w:rPr>
        <w:t>2.96</w:t>
      </w:r>
      <w:r>
        <w:rPr>
          <w:rFonts w:hint="eastAsia" w:ascii="仿宋_GB2312" w:hAnsi="仿宋_GB2312" w:eastAsia="仿宋_GB2312"/>
          <w:sz w:val="32"/>
          <w:szCs w:val="32"/>
        </w:rPr>
        <w:t>万元，主要用于：事业单位基本医疗保险缴费支出。</w:t>
      </w:r>
    </w:p>
    <w:p w14:paraId="0950C870">
      <w:pPr>
        <w:shd w:val="clear" w:color="auto" w:fill="FFFFFF" w:themeFill="background1"/>
        <w:spacing w:line="560" w:lineRule="exact"/>
        <w:ind w:firstLine="645"/>
        <w:rPr>
          <w:rFonts w:ascii="仿宋_GB2312" w:hAnsi="仿宋_GB2312" w:eastAsia="仿宋_GB2312"/>
          <w:sz w:val="32"/>
          <w:szCs w:val="32"/>
        </w:rPr>
      </w:pPr>
      <w:r>
        <w:rPr>
          <w:rFonts w:hint="eastAsia" w:ascii="仿宋_GB2312" w:hAnsi="仿宋_GB2312" w:eastAsia="仿宋_GB2312"/>
          <w:b/>
          <w:bCs/>
          <w:sz w:val="32"/>
          <w:szCs w:val="32"/>
        </w:rPr>
        <w:t>1</w:t>
      </w:r>
      <w:r>
        <w:rPr>
          <w:rFonts w:hint="eastAsia" w:ascii="仿宋_GB2312" w:hAnsi="仿宋_GB2312" w:eastAsia="仿宋_GB2312"/>
          <w:b/>
          <w:bCs/>
          <w:sz w:val="32"/>
          <w:szCs w:val="32"/>
          <w:lang w:val="en-US" w:eastAsia="zh-CN"/>
        </w:rPr>
        <w:t>1</w:t>
      </w:r>
      <w:r>
        <w:rPr>
          <w:rFonts w:hint="eastAsia" w:ascii="仿宋_GB2312" w:hAnsi="仿宋_GB2312" w:eastAsia="仿宋_GB2312"/>
          <w:b/>
          <w:bCs/>
          <w:sz w:val="32"/>
          <w:szCs w:val="32"/>
        </w:rPr>
        <w:t>.住房保障支出（类）住房改革支出（款）住房公积金（项）</w:t>
      </w:r>
      <w:r>
        <w:rPr>
          <w:rFonts w:hint="eastAsia" w:ascii="仿宋_GB2312" w:hAnsi="仿宋_GB2312" w:eastAsia="仿宋_GB2312"/>
          <w:sz w:val="32"/>
          <w:szCs w:val="32"/>
          <w:lang w:eastAsia="zh-CN"/>
        </w:rPr>
        <w:t>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lang w:eastAsia="zh-CN"/>
        </w:rPr>
        <w:t>年</w:t>
      </w:r>
      <w:r>
        <w:rPr>
          <w:rFonts w:hint="eastAsia" w:ascii="仿宋_GB2312" w:hAnsi="仿宋_GB2312" w:eastAsia="仿宋_GB2312"/>
          <w:sz w:val="32"/>
          <w:szCs w:val="32"/>
        </w:rPr>
        <w:t>预算数为</w:t>
      </w:r>
      <w:r>
        <w:rPr>
          <w:rFonts w:hint="eastAsia" w:ascii="仿宋_GB2312" w:hAnsi="仿宋_GB2312" w:eastAsia="仿宋_GB2312"/>
          <w:sz w:val="32"/>
          <w:szCs w:val="32"/>
          <w:lang w:val="en-US" w:eastAsia="zh-CN"/>
        </w:rPr>
        <w:t>14.79</w:t>
      </w:r>
      <w:r>
        <w:rPr>
          <w:rFonts w:hint="eastAsia" w:ascii="仿宋_GB2312" w:hAnsi="仿宋_GB2312" w:eastAsia="仿宋_GB2312"/>
          <w:sz w:val="32"/>
          <w:szCs w:val="32"/>
        </w:rPr>
        <w:t>万元，主要用于：行政事业单位按规定比例为职业缴纳住房公积金支出。</w:t>
      </w:r>
    </w:p>
    <w:p w14:paraId="6DB4749F">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六、一般公共预算基本支出情况说明</w:t>
      </w:r>
      <w:bookmarkEnd w:id="23"/>
    </w:p>
    <w:p w14:paraId="545C45AB">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outlineLvl w:val="0"/>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德阳市罗江区科学技术局20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年一般公共预算基本支出</w:t>
      </w:r>
      <w:r>
        <w:rPr>
          <w:rFonts w:hint="eastAsia" w:ascii="仿宋_GB2312" w:hAnsi="仿宋_GB2312" w:eastAsia="仿宋_GB2312"/>
          <w:color w:val="auto"/>
          <w:sz w:val="32"/>
          <w:szCs w:val="32"/>
          <w:lang w:val="en-US" w:eastAsia="zh-CN"/>
        </w:rPr>
        <w:t>209.96</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其中：人员经费</w:t>
      </w:r>
      <w:r>
        <w:rPr>
          <w:rFonts w:hint="eastAsia" w:ascii="仿宋_GB2312" w:hAnsi="仿宋_GB2312" w:eastAsia="仿宋_GB2312"/>
          <w:color w:val="auto"/>
          <w:sz w:val="32"/>
          <w:szCs w:val="32"/>
          <w:lang w:val="en-US" w:eastAsia="zh-CN"/>
        </w:rPr>
        <w:t>185.59</w:t>
      </w:r>
      <w:r>
        <w:rPr>
          <w:rFonts w:hint="eastAsia" w:ascii="仿宋_GB2312" w:hAnsi="仿宋_GB2312" w:eastAsia="仿宋_GB2312"/>
          <w:color w:val="auto"/>
          <w:sz w:val="32"/>
          <w:szCs w:val="32"/>
        </w:rPr>
        <w:t>万元，主要包括：基本工资</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津贴补贴</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奖金</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绩效工资</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机关事业单位基本养老保险缴费</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职业年金缴费</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职工基本医疗保险缴费</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其他社会保障缴费</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住房公积金</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其他工资福利支出</w:t>
      </w:r>
      <w:r>
        <w:rPr>
          <w:rFonts w:hint="eastAsia" w:ascii="仿宋_GB2312" w:hAnsi="仿宋_GB2312" w:eastAsia="仿宋_GB2312"/>
          <w:color w:val="auto"/>
          <w:sz w:val="32"/>
          <w:szCs w:val="32"/>
          <w:lang w:eastAsia="zh-CN"/>
        </w:rPr>
        <w:t>、奖励金、其他对个人和家庭的补助支出；</w:t>
      </w:r>
      <w:r>
        <w:rPr>
          <w:rFonts w:hint="eastAsia" w:ascii="仿宋_GB2312" w:hAnsi="仿宋_GB2312" w:eastAsia="仿宋_GB2312"/>
          <w:color w:val="auto"/>
          <w:sz w:val="32"/>
          <w:szCs w:val="32"/>
        </w:rPr>
        <w:t>公用经费</w:t>
      </w:r>
      <w:r>
        <w:rPr>
          <w:rFonts w:hint="eastAsia" w:ascii="仿宋_GB2312" w:hAnsi="仿宋_GB2312" w:eastAsia="仿宋_GB2312"/>
          <w:color w:val="auto"/>
          <w:sz w:val="32"/>
          <w:szCs w:val="32"/>
          <w:lang w:val="en-US" w:eastAsia="zh-CN"/>
        </w:rPr>
        <w:t>24.37</w:t>
      </w:r>
      <w:r>
        <w:rPr>
          <w:rFonts w:hint="eastAsia" w:ascii="仿宋_GB2312" w:hAnsi="仿宋_GB2312" w:eastAsia="仿宋_GB2312"/>
          <w:color w:val="auto"/>
          <w:sz w:val="32"/>
          <w:szCs w:val="32"/>
        </w:rPr>
        <w:t>万元，主要包括：办公费</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电费</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邮电费</w:t>
      </w:r>
      <w:r>
        <w:rPr>
          <w:rFonts w:hint="eastAsia" w:ascii="仿宋_GB2312" w:hAnsi="仿宋_GB2312" w:eastAsia="仿宋_GB2312"/>
          <w:color w:val="auto"/>
          <w:sz w:val="32"/>
          <w:szCs w:val="32"/>
          <w:lang w:eastAsia="zh-CN"/>
        </w:rPr>
        <w:t>、差旅费、培训费、公务接待费、工会经费、其他交通费用。</w:t>
      </w:r>
    </w:p>
    <w:p w14:paraId="212184A9">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outlineLvl w:val="0"/>
        <w:rPr>
          <w:rFonts w:hint="eastAsia" w:ascii="黑体" w:hAnsi="黑体" w:eastAsia="黑体" w:cs="黑体"/>
          <w:color w:val="auto"/>
          <w:sz w:val="32"/>
          <w:szCs w:val="32"/>
        </w:rPr>
      </w:pPr>
      <w:bookmarkStart w:id="24" w:name="_Toc7555"/>
      <w:r>
        <w:rPr>
          <w:rFonts w:hint="eastAsia" w:ascii="黑体" w:hAnsi="黑体" w:eastAsia="黑体" w:cs="黑体"/>
          <w:color w:val="auto"/>
          <w:sz w:val="32"/>
          <w:szCs w:val="32"/>
        </w:rPr>
        <w:t>七、“三公”经费财政拨款预算安排情况说明</w:t>
      </w:r>
      <w:bookmarkEnd w:id="24"/>
    </w:p>
    <w:p w14:paraId="52878A57">
      <w:pPr>
        <w:keepNext w:val="0"/>
        <w:keepLines w:val="0"/>
        <w:pageBreakBefore w:val="0"/>
        <w:widowControl w:val="0"/>
        <w:shd w:val="clear" w:color="auto" w:fill="FFFFFF" w:themeFill="background1"/>
        <w:kinsoku/>
        <w:wordWrap/>
        <w:overflowPunct/>
        <w:topLinePunct w:val="0"/>
        <w:bidi w:val="0"/>
        <w:spacing w:line="560" w:lineRule="exact"/>
        <w:ind w:firstLine="643"/>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eastAsia="zh-CN"/>
        </w:rPr>
        <w:t>德阳市罗江区科学技术局20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年“三公”经费财政拨款预算数</w:t>
      </w:r>
      <w:r>
        <w:rPr>
          <w:rFonts w:hint="eastAsia" w:ascii="仿宋_GB2312" w:hAnsi="仿宋_GB2312" w:eastAsia="仿宋_GB2312"/>
          <w:color w:val="auto"/>
          <w:sz w:val="32"/>
          <w:szCs w:val="32"/>
          <w:lang w:val="en-US" w:eastAsia="zh-CN"/>
        </w:rPr>
        <w:t>0.3</w:t>
      </w:r>
      <w:r>
        <w:rPr>
          <w:rFonts w:hint="eastAsia" w:ascii="仿宋_GB2312" w:hAnsi="仿宋_GB2312" w:eastAsia="仿宋_GB2312"/>
          <w:color w:val="auto"/>
          <w:sz w:val="32"/>
          <w:szCs w:val="32"/>
        </w:rPr>
        <w:t>万元，其中：因公出国（境）经费0万元，公务接待费</w:t>
      </w:r>
      <w:r>
        <w:rPr>
          <w:rFonts w:hint="eastAsia" w:ascii="仿宋_GB2312" w:hAnsi="仿宋_GB2312" w:eastAsia="仿宋_GB2312"/>
          <w:color w:val="auto"/>
          <w:sz w:val="32"/>
          <w:szCs w:val="32"/>
          <w:lang w:val="en-US" w:eastAsia="zh-CN"/>
        </w:rPr>
        <w:t>0.3</w:t>
      </w:r>
      <w:r>
        <w:rPr>
          <w:rFonts w:hint="eastAsia" w:ascii="仿宋_GB2312" w:hAnsi="仿宋_GB2312" w:eastAsia="仿宋_GB2312"/>
          <w:color w:val="auto"/>
          <w:sz w:val="32"/>
          <w:szCs w:val="32"/>
        </w:rPr>
        <w:t>万元，公务用车购置0万元，公务用车运行维护费0万元。</w:t>
      </w:r>
    </w:p>
    <w:p w14:paraId="5EF96FD9">
      <w:pPr>
        <w:keepNext w:val="0"/>
        <w:keepLines w:val="0"/>
        <w:pageBreakBefore w:val="0"/>
        <w:widowControl w:val="0"/>
        <w:shd w:val="clear" w:color="auto" w:fill="FFFFFF" w:themeFill="background1"/>
        <w:kinsoku/>
        <w:wordWrap/>
        <w:overflowPunct/>
        <w:topLinePunct w:val="0"/>
        <w:bidi w:val="0"/>
        <w:spacing w:line="560" w:lineRule="exact"/>
        <w:ind w:firstLine="643"/>
        <w:jc w:val="both"/>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（一）因公出国（境）经费与</w:t>
      </w:r>
      <w:r>
        <w:rPr>
          <w:rFonts w:hint="eastAsia" w:ascii="仿宋_GB2312" w:hAnsi="仿宋_GB2312" w:eastAsia="仿宋_GB2312"/>
          <w:color w:val="auto"/>
          <w:sz w:val="32"/>
          <w:szCs w:val="32"/>
          <w:lang w:eastAsia="zh-CN"/>
        </w:rPr>
        <w:t>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年预算持平。主要原因是</w:t>
      </w:r>
      <w:r>
        <w:rPr>
          <w:rFonts w:hint="eastAsia" w:ascii="仿宋_GB2312" w:hAnsi="仿宋_GB2312" w:eastAsia="仿宋_GB2312"/>
          <w:color w:val="auto"/>
          <w:sz w:val="32"/>
          <w:szCs w:val="32"/>
          <w:lang w:eastAsia="zh-CN"/>
        </w:rPr>
        <w:t>无</w:t>
      </w:r>
      <w:r>
        <w:rPr>
          <w:rFonts w:hint="eastAsia" w:ascii="仿宋_GB2312" w:hAnsi="仿宋_GB2312" w:eastAsia="仿宋_GB2312"/>
          <w:color w:val="auto"/>
          <w:sz w:val="32"/>
          <w:szCs w:val="32"/>
        </w:rPr>
        <w:t>因公出国（境）元预算。</w:t>
      </w:r>
    </w:p>
    <w:p w14:paraId="2B92CB3A">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rPr>
        <w:t>（二）公务接待费与</w:t>
      </w:r>
      <w:r>
        <w:rPr>
          <w:rFonts w:hint="eastAsia" w:ascii="仿宋_GB2312" w:hAnsi="仿宋_GB2312" w:eastAsia="仿宋_GB2312"/>
          <w:color w:val="auto"/>
          <w:sz w:val="32"/>
          <w:szCs w:val="32"/>
          <w:lang w:eastAsia="zh-CN"/>
        </w:rPr>
        <w:t>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年预算</w:t>
      </w:r>
      <w:r>
        <w:rPr>
          <w:rFonts w:hint="eastAsia" w:ascii="仿宋_GB2312" w:hAnsi="仿宋_GB2312" w:eastAsia="仿宋_GB2312"/>
          <w:color w:val="auto"/>
          <w:sz w:val="32"/>
          <w:szCs w:val="32"/>
          <w:lang w:eastAsia="zh-CN"/>
        </w:rPr>
        <w:t>降低</w:t>
      </w:r>
      <w:r>
        <w:rPr>
          <w:rFonts w:hint="eastAsia" w:ascii="仿宋_GB2312" w:hAnsi="仿宋_GB2312" w:eastAsia="仿宋_GB2312"/>
          <w:color w:val="auto"/>
          <w:sz w:val="32"/>
          <w:szCs w:val="32"/>
        </w:rPr>
        <w:t>。主要原因是</w:t>
      </w:r>
      <w:r>
        <w:rPr>
          <w:rFonts w:hint="eastAsia" w:ascii="仿宋_GB2312" w:hAnsi="仿宋_GB2312" w:eastAsia="仿宋_GB2312"/>
          <w:color w:val="auto"/>
          <w:sz w:val="32"/>
          <w:szCs w:val="32"/>
          <w:lang w:eastAsia="zh-CN"/>
        </w:rPr>
        <w:t>厉行节约，严格按照三公经费标准执行</w:t>
      </w:r>
      <w:r>
        <w:rPr>
          <w:rFonts w:hint="eastAsia" w:ascii="仿宋_GB2312" w:hAnsi="仿宋_GB2312" w:eastAsia="仿宋_GB2312"/>
          <w:color w:val="auto"/>
          <w:sz w:val="32"/>
          <w:szCs w:val="32"/>
          <w:lang w:val="en-US" w:eastAsia="zh-CN"/>
        </w:rPr>
        <w:t>。</w:t>
      </w:r>
    </w:p>
    <w:p w14:paraId="1B1452C3">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（三）公务用车购置及运行维护费与</w:t>
      </w:r>
      <w:r>
        <w:rPr>
          <w:rFonts w:hint="eastAsia" w:ascii="仿宋_GB2312" w:hAnsi="仿宋_GB2312" w:eastAsia="仿宋_GB2312"/>
          <w:color w:val="auto"/>
          <w:sz w:val="32"/>
          <w:szCs w:val="32"/>
          <w:lang w:eastAsia="zh-CN"/>
        </w:rPr>
        <w:t>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年预算持平。主要原因是单位无公务用车支出。</w:t>
      </w:r>
    </w:p>
    <w:p w14:paraId="2F1C902D">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outlineLvl w:val="0"/>
        <w:rPr>
          <w:rFonts w:hint="eastAsia" w:ascii="黑体" w:hAnsi="黑体" w:eastAsia="黑体" w:cs="黑体"/>
          <w:color w:val="auto"/>
          <w:sz w:val="32"/>
          <w:szCs w:val="32"/>
        </w:rPr>
      </w:pPr>
      <w:bookmarkStart w:id="25" w:name="_Toc2021"/>
      <w:r>
        <w:rPr>
          <w:rFonts w:hint="eastAsia" w:ascii="黑体" w:hAnsi="黑体" w:eastAsia="黑体" w:cs="黑体"/>
          <w:color w:val="auto"/>
          <w:sz w:val="32"/>
          <w:szCs w:val="32"/>
        </w:rPr>
        <w:t>八、政府性基金预算收支情况说明</w:t>
      </w:r>
      <w:bookmarkEnd w:id="25"/>
    </w:p>
    <w:p w14:paraId="0C4393DB">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outlineLvl w:val="0"/>
        <w:rPr>
          <w:rFonts w:ascii="仿宋_GB2312" w:hAnsi="仿宋_GB2312" w:eastAsia="仿宋_GB2312"/>
          <w:color w:val="auto"/>
          <w:sz w:val="32"/>
          <w:szCs w:val="32"/>
        </w:rPr>
      </w:pPr>
      <w:r>
        <w:rPr>
          <w:rFonts w:hint="eastAsia" w:ascii="仿宋_GB2312" w:hAnsi="仿宋_GB2312" w:eastAsia="仿宋_GB2312"/>
          <w:color w:val="auto"/>
          <w:sz w:val="32"/>
          <w:szCs w:val="32"/>
          <w:lang w:eastAsia="zh-CN"/>
        </w:rPr>
        <w:t>德阳市罗江区科学技术局20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年政府性基金收支总预算</w:t>
      </w:r>
      <w:r>
        <w:rPr>
          <w:rFonts w:hint="eastAsia" w:ascii="仿宋_GB2312" w:hAnsi="仿宋_GB2312" w:eastAsia="仿宋_GB2312"/>
          <w:color w:val="auto"/>
          <w:sz w:val="32"/>
          <w:szCs w:val="32"/>
          <w:lang w:val="en-US" w:eastAsia="zh-CN"/>
        </w:rPr>
        <w:t>0</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。与20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年政府性基金预算收入</w:t>
      </w:r>
      <w:r>
        <w:rPr>
          <w:rFonts w:hint="eastAsia" w:ascii="仿宋_GB2312" w:hAnsi="仿宋_GB2312" w:eastAsia="仿宋_GB2312"/>
          <w:color w:val="auto"/>
          <w:sz w:val="32"/>
          <w:szCs w:val="32"/>
          <w:lang w:eastAsia="zh-CN"/>
        </w:rPr>
        <w:t>相比增加</w:t>
      </w:r>
      <w:r>
        <w:rPr>
          <w:rFonts w:hint="eastAsia" w:ascii="仿宋_GB2312" w:hAnsi="仿宋_GB2312" w:eastAsia="仿宋_GB2312"/>
          <w:color w:val="auto"/>
          <w:sz w:val="32"/>
          <w:szCs w:val="32"/>
          <w:lang w:val="en-US" w:eastAsia="zh-CN"/>
        </w:rPr>
        <w:t>0万元</w:t>
      </w:r>
      <w:r>
        <w:rPr>
          <w:rFonts w:hint="eastAsia" w:ascii="仿宋_GB2312" w:hAnsi="仿宋_GB2312" w:eastAsia="仿宋_GB2312"/>
          <w:color w:val="auto"/>
          <w:sz w:val="32"/>
          <w:szCs w:val="32"/>
        </w:rPr>
        <w:t>。</w:t>
      </w:r>
    </w:p>
    <w:p w14:paraId="73B381E1">
      <w:pPr>
        <w:keepNext w:val="0"/>
        <w:keepLines w:val="0"/>
        <w:pageBreakBefore w:val="0"/>
        <w:widowControl w:val="0"/>
        <w:shd w:val="clear" w:color="auto" w:fill="FFFFFF" w:themeFill="background1"/>
        <w:kinsoku/>
        <w:wordWrap/>
        <w:overflowPunct/>
        <w:topLinePunct w:val="0"/>
        <w:bidi w:val="0"/>
        <w:spacing w:line="560" w:lineRule="exact"/>
        <w:ind w:firstLine="643" w:firstLineChars="200"/>
        <w:jc w:val="both"/>
        <w:textAlignment w:val="auto"/>
        <w:outlineLvl w:val="1"/>
        <w:rPr>
          <w:rFonts w:hint="eastAsia" w:ascii="楷体_GB2312" w:hAnsi="楷体_GB2312" w:eastAsia="楷体_GB2312" w:cs="楷体_GB2312"/>
          <w:b/>
          <w:bCs/>
          <w:color w:val="auto"/>
          <w:sz w:val="32"/>
          <w:szCs w:val="32"/>
        </w:rPr>
      </w:pPr>
      <w:bookmarkStart w:id="26" w:name="_Toc17630"/>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一</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收入预算情况</w:t>
      </w:r>
      <w:bookmarkEnd w:id="26"/>
    </w:p>
    <w:p w14:paraId="5139A661">
      <w:pPr>
        <w:keepNext w:val="0"/>
        <w:keepLines w:val="0"/>
        <w:pageBreakBefore w:val="0"/>
        <w:widowControl w:val="0"/>
        <w:shd w:val="clear" w:color="auto" w:fill="FFFFFF" w:themeFill="background1"/>
        <w:kinsoku/>
        <w:wordWrap/>
        <w:overflowPunct/>
        <w:topLinePunct w:val="0"/>
        <w:bidi w:val="0"/>
        <w:spacing w:line="560" w:lineRule="exact"/>
        <w:ind w:left="640"/>
        <w:jc w:val="both"/>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政府性基金预算收入</w:t>
      </w:r>
      <w:r>
        <w:rPr>
          <w:rFonts w:hint="eastAsia" w:ascii="仿宋_GB2312" w:hAnsi="仿宋_GB2312" w:eastAsia="仿宋_GB2312"/>
          <w:color w:val="auto"/>
          <w:sz w:val="32"/>
          <w:szCs w:val="32"/>
          <w:lang w:val="en-US" w:eastAsia="zh-CN"/>
        </w:rPr>
        <w:t>0</w:t>
      </w:r>
      <w:r>
        <w:rPr>
          <w:rFonts w:hint="eastAsia" w:ascii="仿宋_GB2312" w:hAnsi="仿宋_GB2312" w:eastAsia="仿宋_GB2312"/>
          <w:color w:val="auto"/>
          <w:sz w:val="32"/>
          <w:szCs w:val="32"/>
        </w:rPr>
        <w:t>万元。</w:t>
      </w:r>
    </w:p>
    <w:p w14:paraId="14A8FBA5">
      <w:pPr>
        <w:keepNext w:val="0"/>
        <w:keepLines w:val="0"/>
        <w:pageBreakBefore w:val="0"/>
        <w:widowControl w:val="0"/>
        <w:shd w:val="clear" w:color="auto" w:fill="FFFFFF" w:themeFill="background1"/>
        <w:kinsoku/>
        <w:wordWrap/>
        <w:overflowPunct/>
        <w:topLinePunct w:val="0"/>
        <w:bidi w:val="0"/>
        <w:spacing w:line="560" w:lineRule="exact"/>
        <w:ind w:firstLine="643" w:firstLineChars="200"/>
        <w:jc w:val="both"/>
        <w:textAlignment w:val="auto"/>
        <w:outlineLvl w:val="1"/>
        <w:rPr>
          <w:rFonts w:hint="eastAsia" w:ascii="楷体_GB2312" w:hAnsi="楷体_GB2312" w:eastAsia="楷体_GB2312" w:cs="楷体_GB2312"/>
          <w:b/>
          <w:bCs/>
          <w:color w:val="auto"/>
          <w:sz w:val="32"/>
          <w:szCs w:val="32"/>
        </w:rPr>
      </w:pPr>
      <w:bookmarkStart w:id="27" w:name="_Toc18567"/>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二</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支出预算情况</w:t>
      </w:r>
      <w:bookmarkEnd w:id="27"/>
    </w:p>
    <w:p w14:paraId="7DB2A66A">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rPr>
          <w:rFonts w:hint="eastAsia" w:ascii="仿宋_GB2312" w:hAnsi="仿宋_GB2312" w:eastAsia="仿宋_GB2312" w:cs="Times New Roman"/>
          <w:color w:val="auto"/>
          <w:sz w:val="32"/>
          <w:szCs w:val="32"/>
          <w:lang w:eastAsia="zh-CN"/>
        </w:rPr>
      </w:pPr>
      <w:r>
        <w:rPr>
          <w:rFonts w:hint="eastAsia" w:ascii="仿宋_GB2312" w:hAnsi="仿宋_GB2312" w:eastAsia="仿宋_GB2312" w:cs="Times New Roman"/>
          <w:color w:val="auto"/>
          <w:sz w:val="32"/>
          <w:szCs w:val="32"/>
        </w:rPr>
        <w:t>其他国有土地使用权出让收入安排的支出</w:t>
      </w:r>
      <w:r>
        <w:rPr>
          <w:rFonts w:hint="eastAsia" w:ascii="仿宋_GB2312" w:hAnsi="仿宋_GB2312" w:eastAsia="仿宋_GB2312" w:cs="Times New Roman"/>
          <w:color w:val="auto"/>
          <w:sz w:val="32"/>
          <w:szCs w:val="32"/>
          <w:lang w:val="en-US" w:eastAsia="zh-CN"/>
        </w:rPr>
        <w:t>0</w:t>
      </w:r>
      <w:r>
        <w:rPr>
          <w:rFonts w:hint="eastAsia" w:ascii="仿宋_GB2312" w:hAnsi="仿宋_GB2312" w:eastAsia="仿宋_GB2312" w:cs="Times New Roman"/>
          <w:color w:val="auto"/>
          <w:sz w:val="32"/>
          <w:szCs w:val="32"/>
        </w:rPr>
        <w:t>万元</w:t>
      </w:r>
      <w:r>
        <w:rPr>
          <w:rFonts w:hint="eastAsia" w:ascii="仿宋_GB2312" w:hAnsi="仿宋_GB2312" w:eastAsia="仿宋_GB2312" w:cs="Times New Roman"/>
          <w:color w:val="auto"/>
          <w:sz w:val="32"/>
          <w:szCs w:val="32"/>
          <w:lang w:eastAsia="zh-CN"/>
        </w:rPr>
        <w:t>。</w:t>
      </w:r>
    </w:p>
    <w:p w14:paraId="0C35F773">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outlineLvl w:val="0"/>
        <w:rPr>
          <w:rFonts w:hint="eastAsia" w:ascii="黑体" w:hAnsi="黑体" w:eastAsia="黑体" w:cs="黑体"/>
          <w:color w:val="auto"/>
          <w:sz w:val="32"/>
          <w:szCs w:val="32"/>
        </w:rPr>
      </w:pPr>
      <w:bookmarkStart w:id="28" w:name="_Toc16642"/>
      <w:r>
        <w:rPr>
          <w:rFonts w:hint="eastAsia" w:ascii="黑体" w:hAnsi="黑体" w:eastAsia="黑体" w:cs="黑体"/>
          <w:color w:val="auto"/>
          <w:sz w:val="32"/>
          <w:szCs w:val="32"/>
        </w:rPr>
        <w:t>九、国有资本经营预算支出情况说明</w:t>
      </w:r>
      <w:bookmarkEnd w:id="28"/>
    </w:p>
    <w:p w14:paraId="51EC0FD5">
      <w:pPr>
        <w:keepNext w:val="0"/>
        <w:keepLines w:val="0"/>
        <w:pageBreakBefore w:val="0"/>
        <w:widowControl w:val="0"/>
        <w:shd w:val="clear" w:color="auto" w:fill="FFFFFF" w:themeFill="background1"/>
        <w:kinsoku/>
        <w:wordWrap/>
        <w:overflowPunct/>
        <w:topLinePunct w:val="0"/>
        <w:bidi w:val="0"/>
        <w:spacing w:line="560" w:lineRule="exact"/>
        <w:ind w:firstLine="645"/>
        <w:jc w:val="both"/>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lang w:eastAsia="zh-CN"/>
        </w:rPr>
        <w:t>德阳市罗江经科学技术局20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年使用国有资本经营预算拨款安排0万元，其中：基本支出0万元，项目支出0万元。</w:t>
      </w:r>
    </w:p>
    <w:p w14:paraId="3156694C">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outlineLvl w:val="0"/>
        <w:rPr>
          <w:rFonts w:hint="eastAsia" w:ascii="黑体" w:hAnsi="黑体" w:eastAsia="黑体" w:cs="黑体"/>
          <w:color w:val="auto"/>
          <w:sz w:val="32"/>
          <w:szCs w:val="32"/>
        </w:rPr>
      </w:pPr>
      <w:bookmarkStart w:id="29" w:name="_Toc29597"/>
      <w:r>
        <w:rPr>
          <w:rFonts w:hint="eastAsia" w:ascii="黑体" w:hAnsi="黑体" w:eastAsia="黑体" w:cs="黑体"/>
          <w:color w:val="auto"/>
          <w:sz w:val="32"/>
          <w:szCs w:val="32"/>
        </w:rPr>
        <w:t>十、其他重要事项的情况说明</w:t>
      </w:r>
      <w:bookmarkEnd w:id="29"/>
    </w:p>
    <w:p w14:paraId="0D186E49">
      <w:pPr>
        <w:keepNext w:val="0"/>
        <w:keepLines w:val="0"/>
        <w:pageBreakBefore w:val="0"/>
        <w:widowControl w:val="0"/>
        <w:shd w:val="clear" w:color="auto" w:fill="FFFFFF" w:themeFill="background1"/>
        <w:kinsoku/>
        <w:wordWrap/>
        <w:overflowPunct/>
        <w:topLinePunct w:val="0"/>
        <w:bidi w:val="0"/>
        <w:spacing w:line="560" w:lineRule="exact"/>
        <w:ind w:firstLine="643" w:firstLineChars="200"/>
        <w:jc w:val="both"/>
        <w:textAlignment w:val="auto"/>
        <w:outlineLvl w:val="1"/>
        <w:rPr>
          <w:rFonts w:hint="eastAsia" w:ascii="楷体_GB2312" w:hAnsi="楷体_GB2312" w:eastAsia="楷体_GB2312" w:cs="楷体_GB2312"/>
          <w:b/>
          <w:bCs/>
          <w:color w:val="auto"/>
          <w:sz w:val="32"/>
          <w:szCs w:val="32"/>
        </w:rPr>
      </w:pPr>
      <w:bookmarkStart w:id="30" w:name="_Toc21594"/>
      <w:r>
        <w:rPr>
          <w:rFonts w:hint="eastAsia" w:ascii="楷体_GB2312" w:hAnsi="楷体_GB2312" w:eastAsia="楷体_GB2312" w:cs="楷体_GB2312"/>
          <w:b/>
          <w:bCs/>
          <w:color w:val="auto"/>
          <w:sz w:val="32"/>
          <w:szCs w:val="32"/>
        </w:rPr>
        <w:t>（一）机关运行经费</w:t>
      </w:r>
      <w:bookmarkEnd w:id="30"/>
    </w:p>
    <w:p w14:paraId="4DEF47D5">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outlineLvl w:val="1"/>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lang w:eastAsia="zh-CN"/>
          <w14:textFill>
            <w14:solidFill>
              <w14:schemeClr w14:val="tx1"/>
            </w14:solidFill>
          </w14:textFill>
        </w:rPr>
        <w:t>20</w:t>
      </w:r>
      <w:r>
        <w:rPr>
          <w:rFonts w:hint="eastAsia" w:ascii="仿宋_GB2312" w:hAnsi="仿宋_GB2312" w:eastAsia="仿宋_GB2312"/>
          <w:color w:val="000000" w:themeColor="text1"/>
          <w:sz w:val="32"/>
          <w:szCs w:val="32"/>
          <w:lang w:val="en-US" w:eastAsia="zh-CN"/>
          <w14:textFill>
            <w14:solidFill>
              <w14:schemeClr w14:val="tx1"/>
            </w14:solidFill>
          </w14:textFill>
        </w:rPr>
        <w:t>25</w:t>
      </w:r>
      <w:r>
        <w:rPr>
          <w:rFonts w:hint="eastAsia" w:ascii="仿宋_GB2312" w:hAnsi="仿宋_GB2312" w:eastAsia="仿宋_GB2312"/>
          <w:color w:val="000000" w:themeColor="text1"/>
          <w:sz w:val="32"/>
          <w:szCs w:val="32"/>
          <w14:textFill>
            <w14:solidFill>
              <w14:schemeClr w14:val="tx1"/>
            </w14:solidFill>
          </w14:textFill>
        </w:rPr>
        <w:t>年，</w:t>
      </w:r>
      <w:r>
        <w:rPr>
          <w:rFonts w:hint="eastAsia" w:ascii="仿宋_GB2312" w:hAnsi="仿宋_GB2312" w:eastAsia="仿宋_GB2312"/>
          <w:color w:val="000000" w:themeColor="text1"/>
          <w:sz w:val="32"/>
          <w:szCs w:val="32"/>
          <w:lang w:eastAsia="zh-CN"/>
          <w14:textFill>
            <w14:solidFill>
              <w14:schemeClr w14:val="tx1"/>
            </w14:solidFill>
          </w14:textFill>
        </w:rPr>
        <w:t>德阳市罗江区科学技术局</w:t>
      </w:r>
      <w:r>
        <w:rPr>
          <w:rFonts w:hint="eastAsia" w:ascii="仿宋_GB2312" w:hAnsi="仿宋_GB2312" w:eastAsia="仿宋_GB2312"/>
          <w:color w:val="000000" w:themeColor="text1"/>
          <w:sz w:val="32"/>
          <w:szCs w:val="32"/>
          <w14:textFill>
            <w14:solidFill>
              <w14:schemeClr w14:val="tx1"/>
            </w14:solidFill>
          </w14:textFill>
        </w:rPr>
        <w:t>机关运行经费财政预算为</w:t>
      </w:r>
      <w:r>
        <w:rPr>
          <w:rFonts w:hint="eastAsia" w:ascii="仿宋_GB2312" w:hAnsi="仿宋_GB2312" w:eastAsia="仿宋_GB2312"/>
          <w:color w:val="000000" w:themeColor="text1"/>
          <w:sz w:val="32"/>
          <w:szCs w:val="32"/>
          <w:lang w:val="en-US" w:eastAsia="zh-CN"/>
          <w14:textFill>
            <w14:solidFill>
              <w14:schemeClr w14:val="tx1"/>
            </w14:solidFill>
          </w14:textFill>
        </w:rPr>
        <w:t>24.37</w:t>
      </w:r>
      <w:r>
        <w:rPr>
          <w:rFonts w:hint="eastAsia" w:ascii="仿宋_GB2312" w:hAnsi="仿宋_GB2312" w:eastAsia="仿宋_GB2312"/>
          <w:color w:val="000000" w:themeColor="text1"/>
          <w:sz w:val="32"/>
          <w:szCs w:val="32"/>
          <w14:textFill>
            <w14:solidFill>
              <w14:schemeClr w14:val="tx1"/>
            </w14:solidFill>
          </w14:textFill>
        </w:rPr>
        <w:t>万元，比</w:t>
      </w:r>
      <w:r>
        <w:rPr>
          <w:rFonts w:hint="eastAsia" w:ascii="仿宋_GB2312" w:hAnsi="仿宋_GB2312" w:eastAsia="仿宋_GB2312"/>
          <w:color w:val="000000" w:themeColor="text1"/>
          <w:sz w:val="32"/>
          <w:szCs w:val="32"/>
          <w:lang w:eastAsia="zh-CN"/>
          <w14:textFill>
            <w14:solidFill>
              <w14:schemeClr w14:val="tx1"/>
            </w14:solidFill>
          </w14:textFill>
        </w:rPr>
        <w:t>20</w:t>
      </w:r>
      <w:r>
        <w:rPr>
          <w:rFonts w:hint="eastAsia" w:ascii="仿宋_GB2312" w:hAnsi="仿宋_GB2312" w:eastAsia="仿宋_GB2312"/>
          <w:color w:val="000000" w:themeColor="text1"/>
          <w:sz w:val="32"/>
          <w:szCs w:val="32"/>
          <w:lang w:val="en-US" w:eastAsia="zh-CN"/>
          <w14:textFill>
            <w14:solidFill>
              <w14:schemeClr w14:val="tx1"/>
            </w14:solidFill>
          </w14:textFill>
        </w:rPr>
        <w:t>24</w:t>
      </w:r>
      <w:r>
        <w:rPr>
          <w:rFonts w:hint="eastAsia" w:ascii="仿宋_GB2312" w:hAnsi="仿宋_GB2312" w:eastAsia="仿宋_GB2312"/>
          <w:color w:val="000000" w:themeColor="text1"/>
          <w:sz w:val="32"/>
          <w:szCs w:val="32"/>
          <w14:textFill>
            <w14:solidFill>
              <w14:schemeClr w14:val="tx1"/>
            </w14:solidFill>
          </w14:textFill>
        </w:rPr>
        <w:t>年预算</w:t>
      </w:r>
      <w:r>
        <w:rPr>
          <w:rFonts w:hint="eastAsia" w:ascii="仿宋_GB2312" w:hAnsi="仿宋_GB2312" w:eastAsia="仿宋_GB2312"/>
          <w:color w:val="000000" w:themeColor="text1"/>
          <w:sz w:val="32"/>
          <w:szCs w:val="32"/>
          <w:lang w:eastAsia="zh-CN"/>
          <w14:textFill>
            <w14:solidFill>
              <w14:schemeClr w14:val="tx1"/>
            </w14:solidFill>
          </w14:textFill>
        </w:rPr>
        <w:t>增加</w:t>
      </w:r>
      <w:r>
        <w:rPr>
          <w:rFonts w:hint="eastAsia" w:ascii="仿宋_GB2312" w:hAnsi="仿宋_GB2312" w:eastAsia="仿宋_GB2312"/>
          <w:color w:val="000000" w:themeColor="text1"/>
          <w:sz w:val="32"/>
          <w:szCs w:val="32"/>
          <w:lang w:val="en-US" w:eastAsia="zh-CN"/>
          <w14:textFill>
            <w14:solidFill>
              <w14:schemeClr w14:val="tx1"/>
            </w14:solidFill>
          </w14:textFill>
        </w:rPr>
        <w:t>0.08</w:t>
      </w:r>
      <w:r>
        <w:rPr>
          <w:rFonts w:hint="eastAsia" w:ascii="仿宋_GB2312" w:hAnsi="仿宋_GB2312" w:eastAsia="仿宋_GB2312"/>
          <w:color w:val="000000" w:themeColor="text1"/>
          <w:sz w:val="32"/>
          <w:szCs w:val="32"/>
          <w14:textFill>
            <w14:solidFill>
              <w14:schemeClr w14:val="tx1"/>
            </w14:solidFill>
          </w14:textFill>
        </w:rPr>
        <w:t>万元。</w:t>
      </w:r>
    </w:p>
    <w:p w14:paraId="07C58C98">
      <w:pPr>
        <w:keepNext w:val="0"/>
        <w:keepLines w:val="0"/>
        <w:pageBreakBefore w:val="0"/>
        <w:widowControl w:val="0"/>
        <w:numPr>
          <w:ilvl w:val="0"/>
          <w:numId w:val="0"/>
        </w:numPr>
        <w:shd w:val="clear" w:color="auto" w:fill="FFFFFF" w:themeFill="background1"/>
        <w:kinsoku/>
        <w:wordWrap/>
        <w:overflowPunct/>
        <w:topLinePunct w:val="0"/>
        <w:bidi w:val="0"/>
        <w:spacing w:line="560" w:lineRule="exact"/>
        <w:ind w:left="0" w:leftChars="0" w:firstLine="645" w:firstLineChars="0"/>
        <w:jc w:val="both"/>
        <w:textAlignment w:val="auto"/>
        <w:outlineLvl w:val="1"/>
        <w:rPr>
          <w:rFonts w:hint="eastAsia" w:ascii="楷体_GB2312" w:hAnsi="楷体_GB2312" w:eastAsia="楷体_GB2312" w:cs="楷体_GB2312"/>
          <w:b/>
          <w:bCs/>
          <w:strike w:val="0"/>
          <w:dstrike w:val="0"/>
          <w:color w:val="auto"/>
          <w:sz w:val="32"/>
          <w:szCs w:val="32"/>
        </w:rPr>
      </w:pPr>
      <w:bookmarkStart w:id="31" w:name="_Toc8810"/>
      <w:r>
        <w:rPr>
          <w:rFonts w:hint="eastAsia" w:ascii="楷体_GB2312" w:hAnsi="楷体_GB2312" w:eastAsia="楷体_GB2312" w:cs="楷体_GB2312"/>
          <w:b/>
          <w:bCs/>
          <w:strike w:val="0"/>
          <w:dstrike w:val="0"/>
          <w:color w:val="auto"/>
          <w:kern w:val="2"/>
          <w:sz w:val="32"/>
          <w:szCs w:val="32"/>
          <w:lang w:val="en-US" w:eastAsia="zh-CN" w:bidi="ar-SA"/>
        </w:rPr>
        <w:t>（三）</w:t>
      </w:r>
      <w:r>
        <w:rPr>
          <w:rFonts w:hint="eastAsia" w:ascii="楷体_GB2312" w:hAnsi="楷体_GB2312" w:eastAsia="楷体_GB2312" w:cs="楷体_GB2312"/>
          <w:b/>
          <w:bCs/>
          <w:strike w:val="0"/>
          <w:dstrike w:val="0"/>
          <w:color w:val="auto"/>
          <w:sz w:val="32"/>
          <w:szCs w:val="32"/>
        </w:rPr>
        <w:t>政府采购情况</w:t>
      </w:r>
      <w:bookmarkEnd w:id="31"/>
    </w:p>
    <w:p w14:paraId="08C46DCC">
      <w:pPr>
        <w:keepNext w:val="0"/>
        <w:keepLines w:val="0"/>
        <w:pageBreakBefore w:val="0"/>
        <w:widowControl w:val="0"/>
        <w:numPr>
          <w:ilvl w:val="0"/>
          <w:numId w:val="0"/>
        </w:numPr>
        <w:shd w:val="clear" w:color="auto" w:fill="FFFFFF" w:themeFill="background1"/>
        <w:kinsoku/>
        <w:wordWrap/>
        <w:overflowPunct/>
        <w:topLinePunct w:val="0"/>
        <w:bidi w:val="0"/>
        <w:spacing w:line="560" w:lineRule="exact"/>
        <w:ind w:left="0" w:leftChars="0" w:firstLine="645" w:firstLineChars="0"/>
        <w:jc w:val="both"/>
        <w:textAlignment w:val="auto"/>
        <w:outlineLvl w:val="1"/>
        <w:rPr>
          <w:rFonts w:ascii="仿宋_GB2312" w:hAnsi="仿宋_GB2312" w:eastAsia="仿宋_GB2312"/>
          <w:strike w:val="0"/>
          <w:dstrike w:val="0"/>
          <w:color w:val="auto"/>
          <w:sz w:val="32"/>
          <w:szCs w:val="32"/>
        </w:rPr>
      </w:pPr>
      <w:r>
        <w:rPr>
          <w:rFonts w:hint="eastAsia" w:ascii="仿宋_GB2312" w:hAnsi="仿宋_GB2312" w:eastAsia="仿宋_GB2312"/>
          <w:strike w:val="0"/>
          <w:dstrike w:val="0"/>
          <w:color w:val="auto"/>
          <w:sz w:val="32"/>
          <w:szCs w:val="32"/>
          <w:lang w:val="en-US" w:eastAsia="zh-CN"/>
        </w:rPr>
        <w:t>2025</w:t>
      </w:r>
      <w:r>
        <w:rPr>
          <w:rFonts w:hint="eastAsia" w:ascii="仿宋_GB2312" w:hAnsi="仿宋_GB2312" w:eastAsia="仿宋_GB2312"/>
          <w:strike w:val="0"/>
          <w:dstrike w:val="0"/>
          <w:color w:val="auto"/>
          <w:sz w:val="32"/>
          <w:szCs w:val="32"/>
        </w:rPr>
        <w:t>年</w:t>
      </w:r>
      <w:r>
        <w:rPr>
          <w:rFonts w:hint="eastAsia" w:ascii="仿宋_GB2312" w:hAnsi="仿宋_GB2312" w:eastAsia="仿宋_GB2312"/>
          <w:strike w:val="0"/>
          <w:dstrike w:val="0"/>
          <w:color w:val="auto"/>
          <w:sz w:val="32"/>
          <w:szCs w:val="32"/>
          <w:lang w:eastAsia="zh-CN"/>
        </w:rPr>
        <w:t>德阳市罗江区科学技术局</w:t>
      </w:r>
      <w:r>
        <w:rPr>
          <w:rFonts w:hint="eastAsia" w:ascii="仿宋_GB2312" w:hAnsi="仿宋_GB2312" w:eastAsia="仿宋_GB2312"/>
          <w:strike w:val="0"/>
          <w:dstrike w:val="0"/>
          <w:color w:val="auto"/>
          <w:sz w:val="32"/>
          <w:szCs w:val="32"/>
        </w:rPr>
        <w:t>安排政府采购预算</w:t>
      </w:r>
      <w:r>
        <w:rPr>
          <w:rFonts w:hint="eastAsia" w:ascii="仿宋_GB2312" w:hAnsi="仿宋_GB2312" w:eastAsia="仿宋_GB2312"/>
          <w:strike w:val="0"/>
          <w:dstrike w:val="0"/>
          <w:color w:val="auto"/>
          <w:sz w:val="32"/>
          <w:szCs w:val="32"/>
          <w:lang w:val="en-US" w:eastAsia="zh-CN"/>
        </w:rPr>
        <w:t>0</w:t>
      </w:r>
      <w:r>
        <w:rPr>
          <w:rFonts w:hint="eastAsia" w:ascii="仿宋_GB2312" w:hAnsi="仿宋_GB2312" w:eastAsia="仿宋_GB2312"/>
          <w:strike w:val="0"/>
          <w:dstrike w:val="0"/>
          <w:color w:val="auto"/>
          <w:sz w:val="32"/>
          <w:szCs w:val="32"/>
        </w:rPr>
        <w:t>万元。</w:t>
      </w:r>
    </w:p>
    <w:p w14:paraId="100FACA0">
      <w:pPr>
        <w:keepNext w:val="0"/>
        <w:keepLines w:val="0"/>
        <w:pageBreakBefore w:val="0"/>
        <w:widowControl w:val="0"/>
        <w:shd w:val="clear" w:color="auto" w:fill="FFFFFF" w:themeFill="background1"/>
        <w:kinsoku/>
        <w:wordWrap/>
        <w:overflowPunct/>
        <w:topLinePunct w:val="0"/>
        <w:bidi w:val="0"/>
        <w:spacing w:line="560" w:lineRule="exact"/>
        <w:ind w:firstLine="643" w:firstLineChars="200"/>
        <w:jc w:val="both"/>
        <w:textAlignment w:val="auto"/>
        <w:outlineLvl w:val="1"/>
        <w:rPr>
          <w:rFonts w:hint="eastAsia" w:ascii="楷体_GB2312" w:hAnsi="楷体_GB2312" w:eastAsia="楷体_GB2312" w:cs="楷体_GB2312"/>
          <w:b/>
          <w:bCs/>
          <w:color w:val="auto"/>
          <w:sz w:val="32"/>
          <w:szCs w:val="32"/>
        </w:rPr>
      </w:pPr>
      <w:bookmarkStart w:id="32" w:name="_Toc6549"/>
      <w:r>
        <w:rPr>
          <w:rFonts w:hint="eastAsia" w:ascii="楷体_GB2312" w:hAnsi="楷体_GB2312" w:eastAsia="楷体_GB2312" w:cs="楷体_GB2312"/>
          <w:b/>
          <w:bCs/>
          <w:color w:val="auto"/>
          <w:sz w:val="32"/>
          <w:szCs w:val="32"/>
        </w:rPr>
        <w:t>（三）国有资产占有使用情况</w:t>
      </w:r>
      <w:bookmarkEnd w:id="32"/>
    </w:p>
    <w:p w14:paraId="28FC8E01">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auto"/>
          <w:sz w:val="32"/>
          <w:szCs w:val="32"/>
        </w:rPr>
        <w:t>截至</w:t>
      </w:r>
      <w:r>
        <w:rPr>
          <w:rFonts w:hint="eastAsia" w:ascii="仿宋_GB2312" w:hAnsi="仿宋_GB2312" w:eastAsia="仿宋_GB2312"/>
          <w:color w:val="auto"/>
          <w:sz w:val="32"/>
          <w:szCs w:val="32"/>
          <w:lang w:eastAsia="zh-CN"/>
        </w:rPr>
        <w:t>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年底，</w:t>
      </w:r>
      <w:r>
        <w:rPr>
          <w:rFonts w:hint="eastAsia" w:ascii="仿宋_GB2312" w:hAnsi="仿宋_GB2312" w:eastAsia="仿宋_GB2312"/>
          <w:color w:val="auto"/>
          <w:sz w:val="32"/>
          <w:szCs w:val="32"/>
          <w:lang w:eastAsia="zh-CN"/>
        </w:rPr>
        <w:t>德阳市罗江经科学技术局</w:t>
      </w:r>
      <w:r>
        <w:rPr>
          <w:rFonts w:hint="eastAsia" w:ascii="仿宋_GB2312" w:hAnsi="仿宋_GB2312" w:eastAsia="仿宋_GB2312"/>
          <w:color w:val="auto"/>
          <w:sz w:val="32"/>
          <w:szCs w:val="32"/>
        </w:rPr>
        <w:t>所属各预算单位共有固定资产总</w:t>
      </w:r>
      <w:r>
        <w:rPr>
          <w:rFonts w:hint="eastAsia" w:ascii="仿宋_GB2312" w:hAnsi="仿宋_GB2312" w:eastAsia="仿宋_GB2312"/>
          <w:color w:val="000000" w:themeColor="text1"/>
          <w:sz w:val="32"/>
          <w:szCs w:val="32"/>
          <w14:textFill>
            <w14:solidFill>
              <w14:schemeClr w14:val="tx1"/>
            </w14:solidFill>
          </w14:textFill>
        </w:rPr>
        <w:t>额4.62万元，其中公务用车0辆。其中：办公用房</w:t>
      </w:r>
      <w:r>
        <w:rPr>
          <w:rFonts w:hint="eastAsia" w:ascii="仿宋_GB2312" w:hAnsi="仿宋_GB2312" w:eastAsia="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olor w:val="000000" w:themeColor="text1"/>
          <w:sz w:val="32"/>
          <w:szCs w:val="32"/>
          <w14:textFill>
            <w14:solidFill>
              <w14:schemeClr w14:val="tx1"/>
            </w14:solidFill>
          </w14:textFill>
        </w:rPr>
        <w:t>万元，其他固定资产4.62万元。</w:t>
      </w:r>
    </w:p>
    <w:p w14:paraId="55F37E06">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lang w:eastAsia="zh-CN"/>
        </w:rPr>
        <w:t>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年部门预算未安排购置车辆及单位价值200万元以上大型设备。</w:t>
      </w:r>
    </w:p>
    <w:p w14:paraId="5A20B6A3">
      <w:pPr>
        <w:keepNext w:val="0"/>
        <w:keepLines w:val="0"/>
        <w:pageBreakBefore w:val="0"/>
        <w:widowControl w:val="0"/>
        <w:numPr>
          <w:ilvl w:val="0"/>
          <w:numId w:val="0"/>
        </w:numPr>
        <w:shd w:val="clear" w:color="auto" w:fill="FFFFFF" w:themeFill="background1"/>
        <w:kinsoku/>
        <w:wordWrap/>
        <w:overflowPunct/>
        <w:topLinePunct w:val="0"/>
        <w:bidi w:val="0"/>
        <w:spacing w:line="560" w:lineRule="exact"/>
        <w:ind w:firstLine="643" w:firstLineChars="200"/>
        <w:jc w:val="both"/>
        <w:textAlignment w:val="auto"/>
        <w:outlineLvl w:val="1"/>
        <w:rPr>
          <w:rFonts w:hint="eastAsia" w:ascii="楷体_GB2312" w:hAnsi="楷体_GB2312" w:eastAsia="楷体_GB2312" w:cs="楷体_GB2312"/>
          <w:b/>
          <w:bCs/>
          <w:color w:val="auto"/>
          <w:sz w:val="32"/>
          <w:szCs w:val="32"/>
        </w:rPr>
      </w:pPr>
      <w:bookmarkStart w:id="33" w:name="_Toc14704"/>
      <w:r>
        <w:rPr>
          <w:rFonts w:hint="eastAsia" w:ascii="楷体_GB2312" w:hAnsi="楷体_GB2312" w:eastAsia="楷体_GB2312" w:cs="楷体_GB2312"/>
          <w:b/>
          <w:bCs/>
          <w:color w:val="auto"/>
          <w:kern w:val="2"/>
          <w:sz w:val="32"/>
          <w:szCs w:val="32"/>
          <w:lang w:val="en-US" w:eastAsia="zh-CN" w:bidi="ar-SA"/>
        </w:rPr>
        <w:t>（四）</w:t>
      </w:r>
      <w:r>
        <w:rPr>
          <w:rFonts w:hint="eastAsia" w:ascii="楷体_GB2312" w:hAnsi="楷体_GB2312" w:eastAsia="楷体_GB2312" w:cs="楷体_GB2312"/>
          <w:b/>
          <w:bCs/>
          <w:color w:val="auto"/>
          <w:sz w:val="32"/>
          <w:szCs w:val="32"/>
        </w:rPr>
        <w:t>绩效目标设置情况</w:t>
      </w:r>
      <w:bookmarkEnd w:id="33"/>
    </w:p>
    <w:p w14:paraId="180BE1F6">
      <w:pPr>
        <w:keepNext w:val="0"/>
        <w:keepLines w:val="0"/>
        <w:pageBreakBefore w:val="0"/>
        <w:widowControl w:val="0"/>
        <w:numPr>
          <w:ilvl w:val="0"/>
          <w:numId w:val="0"/>
        </w:numPr>
        <w:shd w:val="clear" w:color="auto" w:fill="FFFFFF" w:themeFill="background1"/>
        <w:kinsoku/>
        <w:wordWrap/>
        <w:overflowPunct/>
        <w:topLinePunct w:val="0"/>
        <w:bidi w:val="0"/>
        <w:spacing w:line="560" w:lineRule="exact"/>
        <w:ind w:firstLine="640" w:firstLineChars="200"/>
        <w:jc w:val="both"/>
        <w:textAlignment w:val="auto"/>
        <w:outlineLvl w:val="1"/>
        <w:rPr>
          <w:rFonts w:ascii="仿宋_GB2312" w:hAnsi="仿宋_GB2312" w:eastAsia="仿宋_GB2312"/>
          <w:color w:val="auto"/>
          <w:sz w:val="32"/>
          <w:szCs w:val="32"/>
        </w:rPr>
      </w:pPr>
      <w:r>
        <w:rPr>
          <w:rFonts w:hint="eastAsia" w:ascii="仿宋_GB2312" w:hAnsi="仿宋_GB2312" w:eastAsia="仿宋_GB2312"/>
          <w:color w:val="auto"/>
          <w:sz w:val="32"/>
          <w:szCs w:val="32"/>
          <w:lang w:eastAsia="zh-CN"/>
        </w:rPr>
        <w:t>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w:t>
      </w:r>
      <w:r>
        <w:rPr>
          <w:rFonts w:hint="eastAsia" w:ascii="仿宋_GB2312" w:hAnsi="仿宋_GB2312" w:eastAsia="仿宋_GB2312"/>
          <w:color w:val="auto"/>
          <w:sz w:val="32"/>
          <w:szCs w:val="32"/>
          <w:lang w:eastAsia="zh-CN"/>
        </w:rPr>
        <w:t>德阳市罗江区科学技术局</w:t>
      </w:r>
      <w:r>
        <w:rPr>
          <w:rFonts w:hint="eastAsia" w:ascii="仿宋_GB2312" w:hAnsi="仿宋_GB2312" w:eastAsia="仿宋_GB2312"/>
          <w:color w:val="auto"/>
          <w:sz w:val="32"/>
          <w:szCs w:val="32"/>
        </w:rPr>
        <w:t>部门通用项目和专用项目均按要求实行绩效目标管理，涉及</w:t>
      </w:r>
      <w:r>
        <w:rPr>
          <w:rFonts w:hint="eastAsia" w:ascii="仿宋_GB2312" w:hAnsi="仿宋_GB2312" w:eastAsia="仿宋_GB2312"/>
          <w:color w:val="auto"/>
          <w:sz w:val="32"/>
          <w:szCs w:val="32"/>
          <w:lang w:eastAsia="zh-CN"/>
        </w:rPr>
        <w:t>财政</w:t>
      </w:r>
      <w:r>
        <w:rPr>
          <w:rFonts w:hint="eastAsia" w:ascii="仿宋_GB2312" w:hAnsi="仿宋_GB2312" w:eastAsia="仿宋_GB2312"/>
          <w:color w:val="auto"/>
          <w:sz w:val="32"/>
          <w:szCs w:val="32"/>
        </w:rPr>
        <w:t>当年拨款</w:t>
      </w:r>
      <w:r>
        <w:rPr>
          <w:rFonts w:hint="eastAsia" w:ascii="仿宋_GB2312" w:hAnsi="仿宋_GB2312" w:eastAsia="仿宋_GB2312"/>
          <w:color w:val="auto"/>
          <w:sz w:val="32"/>
          <w:szCs w:val="32"/>
          <w:lang w:val="en-US" w:eastAsia="zh-CN"/>
        </w:rPr>
        <w:t>407.79</w:t>
      </w:r>
      <w:r>
        <w:rPr>
          <w:rFonts w:hint="eastAsia" w:ascii="仿宋_GB2312" w:hAnsi="仿宋_GB2312" w:eastAsia="仿宋_GB2312"/>
          <w:color w:val="auto"/>
          <w:sz w:val="32"/>
          <w:szCs w:val="32"/>
        </w:rPr>
        <w:t>万元。</w:t>
      </w:r>
    </w:p>
    <w:p w14:paraId="5822217F">
      <w:pPr>
        <w:keepNext w:val="0"/>
        <w:keepLines w:val="0"/>
        <w:pageBreakBefore w:val="0"/>
        <w:widowControl w:val="0"/>
        <w:numPr>
          <w:ilvl w:val="0"/>
          <w:numId w:val="1"/>
        </w:numPr>
        <w:shd w:val="clear" w:color="auto" w:fill="FFFFFF" w:themeFill="background1"/>
        <w:kinsoku/>
        <w:wordWrap/>
        <w:overflowPunct/>
        <w:topLinePunct w:val="0"/>
        <w:bidi w:val="0"/>
        <w:spacing w:line="560" w:lineRule="exact"/>
        <w:ind w:firstLine="640" w:firstLineChars="200"/>
        <w:jc w:val="both"/>
        <w:textAlignment w:val="auto"/>
        <w:outlineLvl w:val="0"/>
        <w:rPr>
          <w:rFonts w:hint="eastAsia" w:ascii="黑体" w:hAnsi="黑体" w:eastAsia="黑体" w:cs="黑体"/>
          <w:color w:val="auto"/>
          <w:sz w:val="32"/>
          <w:szCs w:val="32"/>
        </w:rPr>
      </w:pPr>
      <w:bookmarkStart w:id="34" w:name="_Toc3448"/>
      <w:r>
        <w:rPr>
          <w:rFonts w:hint="eastAsia" w:ascii="黑体" w:hAnsi="黑体" w:eastAsia="黑体" w:cs="黑体"/>
          <w:color w:val="auto"/>
          <w:sz w:val="32"/>
          <w:szCs w:val="32"/>
        </w:rPr>
        <w:t>名词解释</w:t>
      </w:r>
      <w:bookmarkEnd w:id="34"/>
    </w:p>
    <w:p w14:paraId="3C1F4E07">
      <w:pPr>
        <w:shd w:val="clear" w:color="auto" w:fill="FFFFFF" w:themeFill="background1"/>
        <w:spacing w:line="560" w:lineRule="exact"/>
        <w:ind w:firstLine="643" w:firstLineChars="200"/>
        <w:rPr>
          <w:rFonts w:ascii="仿宋_GB2312" w:hAnsi="仿宋_GB2312" w:eastAsia="仿宋_GB2312"/>
          <w:sz w:val="32"/>
          <w:szCs w:val="32"/>
        </w:rPr>
      </w:pPr>
      <w:bookmarkStart w:id="35" w:name="_Toc27526"/>
      <w:r>
        <w:rPr>
          <w:rFonts w:hint="eastAsia" w:ascii="楷体_GB2312" w:hAnsi="楷体_GB2312" w:eastAsia="楷体_GB2312" w:cs="楷体_GB2312"/>
          <w:b/>
          <w:bCs/>
          <w:sz w:val="32"/>
          <w:szCs w:val="32"/>
        </w:rPr>
        <w:t>（一）一般公共预算拨款收入：</w:t>
      </w:r>
      <w:r>
        <w:rPr>
          <w:rFonts w:hint="eastAsia" w:ascii="仿宋_GB2312" w:hAnsi="仿宋_GB2312" w:eastAsia="仿宋_GB2312"/>
          <w:sz w:val="32"/>
          <w:szCs w:val="32"/>
        </w:rPr>
        <w:t>指区级财政当年公共预算拨付的资金。</w:t>
      </w:r>
    </w:p>
    <w:p w14:paraId="39E73F61">
      <w:pPr>
        <w:shd w:val="clear" w:color="auto" w:fill="FFFFFF" w:themeFill="background1"/>
        <w:spacing w:line="560" w:lineRule="exact"/>
        <w:ind w:firstLine="643" w:firstLineChars="200"/>
        <w:rPr>
          <w:rFonts w:hint="eastAsia" w:ascii="仿宋_GB2312" w:hAnsi="仿宋_GB2312" w:eastAsia="仿宋_GB2312"/>
          <w:sz w:val="32"/>
          <w:szCs w:val="32"/>
        </w:rPr>
      </w:pPr>
      <w:r>
        <w:rPr>
          <w:rFonts w:hint="eastAsia" w:ascii="楷体_GB2312" w:hAnsi="楷体_GB2312" w:eastAsia="楷体_GB2312" w:cs="楷体_GB2312"/>
          <w:b/>
          <w:bCs/>
          <w:sz w:val="32"/>
          <w:szCs w:val="32"/>
        </w:rPr>
        <w:t>（二）政府性基金款收入：</w:t>
      </w:r>
      <w:r>
        <w:rPr>
          <w:rFonts w:hint="eastAsia" w:ascii="仿宋_GB2312" w:hAnsi="仿宋_GB2312" w:eastAsia="仿宋_GB2312"/>
          <w:sz w:val="32"/>
          <w:szCs w:val="32"/>
        </w:rPr>
        <w:t>指区级财政根据法律、行政法规规定并国务院或财政批准，向公民、法人和其他组织征收的政府性基金，以及参照政府性基金管理或纳入基金预算、具有特定用途的财政资金。</w:t>
      </w:r>
    </w:p>
    <w:p w14:paraId="340D65A9">
      <w:pPr>
        <w:shd w:val="clear" w:color="auto" w:fill="FFFFFF" w:themeFill="background1"/>
        <w:spacing w:line="560" w:lineRule="exact"/>
        <w:ind w:firstLine="643" w:firstLineChars="200"/>
        <w:rPr>
          <w:rFonts w:hint="eastAsia" w:ascii="仿宋_GB2312" w:hAnsi="仿宋_GB2312" w:eastAsia="仿宋_GB2312"/>
          <w:sz w:val="32"/>
          <w:szCs w:val="32"/>
        </w:rPr>
      </w:pPr>
      <w:r>
        <w:rPr>
          <w:rFonts w:hint="eastAsia" w:ascii="楷体_GB2312" w:hAnsi="楷体_GB2312" w:eastAsia="楷体_GB2312" w:cs="楷体_GB2312"/>
          <w:b/>
          <w:bCs/>
          <w:sz w:val="32"/>
          <w:szCs w:val="32"/>
        </w:rPr>
        <w:t>（三）上年结转：</w:t>
      </w:r>
      <w:r>
        <w:rPr>
          <w:rFonts w:hint="eastAsia" w:ascii="仿宋_GB2312" w:hAnsi="仿宋_GB2312" w:eastAsia="仿宋_GB2312"/>
          <w:sz w:val="32"/>
          <w:szCs w:val="32"/>
        </w:rPr>
        <w:t>指以前年度尚未完成、结转到本年仍按原规定用途继续使用的资金。</w:t>
      </w:r>
    </w:p>
    <w:p w14:paraId="7D81B06D">
      <w:pPr>
        <w:shd w:val="clear" w:color="auto" w:fill="FFFFFF" w:themeFill="background1"/>
        <w:spacing w:line="560" w:lineRule="exact"/>
        <w:ind w:firstLine="643" w:firstLineChars="200"/>
        <w:rPr>
          <w:rFonts w:hint="eastAsia" w:ascii="仿宋_GB2312" w:hAnsi="仿宋_GB2312" w:eastAsia="仿宋_GB2312"/>
          <w:sz w:val="32"/>
          <w:szCs w:val="32"/>
        </w:rPr>
      </w:pPr>
      <w:r>
        <w:rPr>
          <w:rFonts w:hint="eastAsia" w:ascii="楷体_GB2312" w:hAnsi="楷体_GB2312" w:eastAsia="楷体_GB2312" w:cs="楷体_GB2312"/>
          <w:b/>
          <w:bCs/>
          <w:sz w:val="32"/>
          <w:szCs w:val="32"/>
        </w:rPr>
        <w:t>（四）基本支出：</w:t>
      </w:r>
      <w:r>
        <w:rPr>
          <w:rFonts w:hint="eastAsia" w:ascii="仿宋_GB2312" w:hAnsi="仿宋_GB2312" w:eastAsia="仿宋_GB2312"/>
          <w:sz w:val="32"/>
          <w:szCs w:val="32"/>
        </w:rPr>
        <w:t>指为保障机构正常运转、完成日常工作任务所必需的人员经费和日常公用经费。</w:t>
      </w:r>
    </w:p>
    <w:p w14:paraId="622E73BB">
      <w:pPr>
        <w:shd w:val="clear" w:color="auto" w:fill="FFFFFF" w:themeFill="background1"/>
        <w:spacing w:line="560" w:lineRule="exact"/>
        <w:ind w:firstLine="643" w:firstLineChars="200"/>
        <w:rPr>
          <w:rFonts w:ascii="仿宋_GB2312" w:hAnsi="仿宋_GB2312" w:eastAsia="仿宋_GB2312"/>
          <w:sz w:val="32"/>
          <w:szCs w:val="32"/>
        </w:rPr>
      </w:pPr>
      <w:r>
        <w:rPr>
          <w:rFonts w:hint="eastAsia" w:ascii="楷体_GB2312" w:hAnsi="楷体_GB2312" w:eastAsia="楷体_GB2312" w:cs="楷体_GB2312"/>
          <w:b/>
          <w:bCs/>
          <w:sz w:val="32"/>
          <w:szCs w:val="32"/>
        </w:rPr>
        <w:t>（五）项目支出：</w:t>
      </w:r>
      <w:r>
        <w:rPr>
          <w:rFonts w:hint="eastAsia" w:ascii="仿宋_GB2312" w:hAnsi="仿宋_GB2312" w:eastAsia="仿宋_GB2312"/>
          <w:sz w:val="32"/>
          <w:szCs w:val="32"/>
        </w:rPr>
        <w:t>指在基本支出之外，为完成特定的行政工作任务或事业发展目标所发生的支出。</w:t>
      </w:r>
    </w:p>
    <w:p w14:paraId="2E3527D6">
      <w:pPr>
        <w:shd w:val="clear" w:color="auto" w:fill="FFFFFF" w:themeFill="background1"/>
        <w:spacing w:line="560" w:lineRule="exact"/>
        <w:ind w:firstLine="645"/>
        <w:rPr>
          <w:rFonts w:ascii="仿宋_GB2312" w:hAnsi="仿宋_GB2312" w:eastAsia="仿宋_GB2312"/>
          <w:sz w:val="32"/>
          <w:szCs w:val="32"/>
        </w:rPr>
      </w:pPr>
      <w:r>
        <w:rPr>
          <w:rFonts w:hint="eastAsia" w:ascii="楷体_GB2312" w:hAnsi="楷体_GB2312" w:eastAsia="楷体_GB2312" w:cs="楷体_GB2312"/>
          <w:b/>
          <w:bCs/>
          <w:sz w:val="32"/>
          <w:szCs w:val="32"/>
        </w:rPr>
        <w:t>（六）“三公”经费：</w:t>
      </w:r>
      <w:r>
        <w:rPr>
          <w:rFonts w:hint="eastAsia" w:ascii="仿宋_GB2312" w:hAnsi="仿宋_GB2312" w:eastAsia="仿宋_GB2312"/>
          <w:sz w:val="32"/>
          <w:szCs w:val="32"/>
        </w:rPr>
        <w:t>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14:paraId="6C2A7F09">
      <w:pPr>
        <w:shd w:val="clear" w:color="auto" w:fill="FFFFFF" w:themeFill="background1"/>
        <w:autoSpaceDE w:val="0"/>
        <w:autoSpaceDN w:val="0"/>
        <w:spacing w:line="560" w:lineRule="exact"/>
        <w:ind w:firstLine="640"/>
        <w:rPr>
          <w:rFonts w:ascii="仿宋_GB2312" w:eastAsia="仿宋_GB2312"/>
          <w:sz w:val="32"/>
        </w:rPr>
      </w:pPr>
      <w:r>
        <w:rPr>
          <w:rFonts w:hint="eastAsia" w:ascii="楷体_GB2312" w:hAnsi="楷体_GB2312" w:eastAsia="楷体_GB2312" w:cs="楷体_GB2312"/>
          <w:b/>
          <w:bCs/>
          <w:sz w:val="32"/>
          <w:szCs w:val="32"/>
        </w:rPr>
        <w:t>（七）</w:t>
      </w:r>
      <w:r>
        <w:rPr>
          <w:rFonts w:hint="eastAsia" w:ascii="楷体" w:hAnsi="楷体" w:eastAsia="楷体" w:cs="楷体"/>
          <w:b/>
          <w:bCs/>
          <w:sz w:val="32"/>
          <w:szCs w:val="32"/>
        </w:rPr>
        <w:t>科学技术支出（类）科学技术管理事务（款）行政运行（项）</w:t>
      </w:r>
      <w:r>
        <w:rPr>
          <w:rFonts w:hint="eastAsia" w:ascii="楷体_GB2312" w:hAnsi="楷体_GB2312" w:eastAsia="楷体_GB2312" w:cs="楷体_GB2312"/>
          <w:b/>
          <w:bCs/>
          <w:sz w:val="32"/>
          <w:szCs w:val="32"/>
        </w:rPr>
        <w:t>:</w:t>
      </w:r>
      <w:r>
        <w:rPr>
          <w:rFonts w:ascii="仿宋_GB2312" w:eastAsia="仿宋_GB2312"/>
          <w:sz w:val="32"/>
        </w:rPr>
        <w:t>反</w:t>
      </w:r>
      <w:r>
        <w:rPr>
          <w:rFonts w:hint="eastAsia" w:ascii="仿宋_GB2312" w:eastAsia="仿宋_GB2312"/>
          <w:sz w:val="32"/>
        </w:rPr>
        <w:t>映</w:t>
      </w:r>
      <w:r>
        <w:rPr>
          <w:rFonts w:ascii="仿宋_GB2312" w:eastAsia="仿宋_GB2312"/>
          <w:sz w:val="32"/>
        </w:rPr>
        <w:t>行政单位（包括实行公务员管理的事业单位）的基本支出。</w:t>
      </w:r>
    </w:p>
    <w:p w14:paraId="5A4A8F46">
      <w:pPr>
        <w:shd w:val="clear" w:color="auto" w:fill="FFFFFF" w:themeFill="background1"/>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八</w:t>
      </w:r>
      <w:r>
        <w:rPr>
          <w:rFonts w:hint="eastAsia" w:ascii="楷体_GB2312" w:hAnsi="楷体_GB2312" w:eastAsia="楷体_GB2312" w:cs="楷体_GB2312"/>
          <w:b/>
          <w:bCs/>
          <w:sz w:val="32"/>
          <w:szCs w:val="32"/>
        </w:rPr>
        <w:t>）科学技术支出（类）</w:t>
      </w:r>
      <w:r>
        <w:rPr>
          <w:rFonts w:hint="eastAsia" w:ascii="楷体" w:hAnsi="楷体" w:eastAsia="楷体" w:cs="楷体"/>
          <w:b/>
          <w:bCs/>
          <w:sz w:val="32"/>
          <w:szCs w:val="32"/>
        </w:rPr>
        <w:t>科学技术管理事务</w:t>
      </w:r>
      <w:r>
        <w:rPr>
          <w:rFonts w:hint="eastAsia" w:ascii="楷体_GB2312" w:hAnsi="楷体_GB2312" w:eastAsia="楷体_GB2312" w:cs="楷体_GB2312"/>
          <w:b/>
          <w:bCs/>
          <w:sz w:val="32"/>
          <w:szCs w:val="32"/>
        </w:rPr>
        <w:t>（款）其他技术研究与开发支出（项）：</w:t>
      </w:r>
      <w:r>
        <w:rPr>
          <w:rFonts w:hint="eastAsia" w:ascii="楷体_GB2312" w:hAnsi="楷体_GB2312" w:eastAsia="楷体_GB2312" w:cs="楷体_GB2312"/>
          <w:sz w:val="32"/>
          <w:szCs w:val="32"/>
        </w:rPr>
        <w:t>反映除上述项目以外其他用于技术研究与开发方面的支出。</w:t>
      </w:r>
    </w:p>
    <w:p w14:paraId="07545354">
      <w:pPr>
        <w:shd w:val="clear" w:color="auto" w:fill="FFFFFF" w:themeFill="background1"/>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九</w:t>
      </w:r>
      <w:r>
        <w:rPr>
          <w:rFonts w:hint="eastAsia" w:ascii="楷体_GB2312" w:hAnsi="楷体_GB2312" w:eastAsia="楷体_GB2312" w:cs="楷体_GB2312"/>
          <w:b/>
          <w:bCs/>
          <w:sz w:val="32"/>
          <w:szCs w:val="32"/>
        </w:rPr>
        <w:t>）科学技术支出（类）</w:t>
      </w:r>
      <w:r>
        <w:rPr>
          <w:rFonts w:hint="eastAsia" w:ascii="楷体_GB2312" w:hAnsi="楷体_GB2312" w:eastAsia="楷体_GB2312" w:cs="楷体_GB2312"/>
          <w:b/>
          <w:bCs/>
          <w:sz w:val="32"/>
          <w:szCs w:val="32"/>
          <w:lang w:eastAsia="zh-CN"/>
        </w:rPr>
        <w:t>研究与开发</w:t>
      </w:r>
      <w:r>
        <w:rPr>
          <w:rFonts w:hint="eastAsia" w:ascii="楷体_GB2312" w:hAnsi="楷体_GB2312" w:eastAsia="楷体_GB2312" w:cs="楷体_GB2312"/>
          <w:b/>
          <w:bCs/>
          <w:sz w:val="32"/>
          <w:szCs w:val="32"/>
        </w:rPr>
        <w:t>（款）其他技</w:t>
      </w:r>
      <w:r>
        <w:rPr>
          <w:rFonts w:hint="eastAsia" w:ascii="楷体_GB2312" w:hAnsi="楷体_GB2312" w:eastAsia="楷体_GB2312" w:cs="楷体_GB2312"/>
          <w:b/>
          <w:bCs/>
          <w:sz w:val="32"/>
          <w:szCs w:val="32"/>
          <w:lang w:eastAsia="zh-CN"/>
        </w:rPr>
        <w:t>术研究与开发</w:t>
      </w:r>
      <w:r>
        <w:rPr>
          <w:rFonts w:hint="eastAsia" w:ascii="楷体_GB2312" w:hAnsi="楷体_GB2312" w:eastAsia="楷体_GB2312" w:cs="楷体_GB2312"/>
          <w:b/>
          <w:bCs/>
          <w:sz w:val="32"/>
          <w:szCs w:val="32"/>
        </w:rPr>
        <w:t>支出（项）：</w:t>
      </w:r>
      <w:r>
        <w:rPr>
          <w:rFonts w:hint="eastAsia" w:ascii="楷体_GB2312" w:hAnsi="楷体_GB2312" w:eastAsia="楷体_GB2312" w:cs="楷体_GB2312"/>
          <w:sz w:val="32"/>
          <w:szCs w:val="32"/>
        </w:rPr>
        <w:t>反映其他科学技术</w:t>
      </w:r>
      <w:r>
        <w:rPr>
          <w:rFonts w:hint="eastAsia" w:ascii="楷体_GB2312" w:hAnsi="楷体_GB2312" w:eastAsia="楷体_GB2312" w:cs="楷体_GB2312"/>
          <w:sz w:val="32"/>
          <w:szCs w:val="32"/>
          <w:lang w:eastAsia="zh-CN"/>
        </w:rPr>
        <w:t>研究与开发</w:t>
      </w:r>
      <w:r>
        <w:rPr>
          <w:rFonts w:hint="eastAsia" w:ascii="楷体_GB2312" w:hAnsi="楷体_GB2312" w:eastAsia="楷体_GB2312" w:cs="楷体_GB2312"/>
          <w:sz w:val="32"/>
          <w:szCs w:val="32"/>
        </w:rPr>
        <w:t>支出中除以上各项外用于科技方面的支出。</w:t>
      </w:r>
    </w:p>
    <w:p w14:paraId="3D7DFC65">
      <w:pPr>
        <w:shd w:val="clear" w:color="auto" w:fill="FFFFFF" w:themeFill="background1"/>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b/>
          <w:bCs/>
          <w:sz w:val="32"/>
          <w:szCs w:val="32"/>
        </w:rPr>
        <w:t>（十）科学技术支出（类）其他科学技术支出（款）其他科学技术支出（项）：</w:t>
      </w:r>
      <w:r>
        <w:rPr>
          <w:rFonts w:hint="eastAsia" w:ascii="楷体_GB2312" w:hAnsi="楷体_GB2312" w:eastAsia="楷体_GB2312" w:cs="楷体_GB2312"/>
          <w:sz w:val="32"/>
          <w:szCs w:val="32"/>
        </w:rPr>
        <w:t>反映其他科学技术支出中除以上各项外用于科技方面的支出。</w:t>
      </w:r>
    </w:p>
    <w:p w14:paraId="20B48A74">
      <w:pPr>
        <w:shd w:val="clear" w:color="auto" w:fill="FFFFFF" w:themeFill="background1"/>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b/>
          <w:bCs/>
          <w:sz w:val="32"/>
          <w:szCs w:val="32"/>
        </w:rPr>
        <w:t>（十</w:t>
      </w: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）社会保障和就业（类）其他社会保障和就业支出（款）其他社会保障和就业支出（项）:</w:t>
      </w:r>
      <w:r>
        <w:rPr>
          <w:rFonts w:hint="eastAsia" w:ascii="楷体_GB2312" w:hAnsi="楷体_GB2312" w:eastAsia="楷体_GB2312" w:cs="楷体_GB2312"/>
          <w:sz w:val="32"/>
          <w:szCs w:val="32"/>
        </w:rPr>
        <w:t>反映其他用于社会保障和就业方面的支出。</w:t>
      </w:r>
    </w:p>
    <w:p w14:paraId="018663AC">
      <w:pPr>
        <w:shd w:val="clear" w:color="auto" w:fill="FFFFFF" w:themeFill="background1"/>
        <w:spacing w:line="560" w:lineRule="exact"/>
        <w:ind w:firstLine="640"/>
        <w:rPr>
          <w:rFonts w:ascii="仿宋_GB2312" w:eastAsia="仿宋_GB2312"/>
          <w:sz w:val="32"/>
        </w:rPr>
      </w:pPr>
      <w:r>
        <w:rPr>
          <w:rFonts w:hint="eastAsia" w:ascii="楷体_GB2312" w:hAnsi="楷体_GB2312" w:eastAsia="楷体_GB2312" w:cs="楷体_GB2312"/>
          <w:b/>
          <w:bCs/>
          <w:sz w:val="32"/>
          <w:szCs w:val="32"/>
        </w:rPr>
        <w:t>（十</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）社会保障和就业（类）行政事业单位离退休（款）机关事业单位基本养老保险缴费支出（项）:</w:t>
      </w:r>
      <w:r>
        <w:rPr>
          <w:rFonts w:ascii="仿宋_GB2312" w:eastAsia="仿宋_GB2312"/>
          <w:sz w:val="32"/>
        </w:rPr>
        <w:t>反</w:t>
      </w:r>
      <w:r>
        <w:rPr>
          <w:rFonts w:hint="eastAsia" w:ascii="仿宋_GB2312" w:eastAsia="仿宋_GB2312"/>
          <w:sz w:val="32"/>
        </w:rPr>
        <w:t>映</w:t>
      </w:r>
      <w:r>
        <w:rPr>
          <w:rFonts w:ascii="仿宋_GB2312" w:eastAsia="仿宋_GB2312"/>
          <w:sz w:val="32"/>
        </w:rPr>
        <w:t>机关事业单位实施养老保险支付由单位缴纳的基本养老保险费支出。</w:t>
      </w:r>
    </w:p>
    <w:p w14:paraId="2606D19E">
      <w:pPr>
        <w:shd w:val="clear" w:color="auto" w:fill="FFFFFF" w:themeFill="background1"/>
        <w:spacing w:line="560" w:lineRule="exact"/>
        <w:ind w:firstLine="640"/>
        <w:rPr>
          <w:rFonts w:ascii="仿宋_GB2312" w:eastAsia="仿宋_GB2312"/>
          <w:sz w:val="32"/>
        </w:rPr>
      </w:pPr>
      <w:r>
        <w:rPr>
          <w:rFonts w:hint="eastAsia" w:ascii="楷体_GB2312" w:hAnsi="楷体_GB2312" w:eastAsia="楷体_GB2312" w:cs="楷体_GB2312"/>
          <w:b/>
          <w:bCs/>
          <w:sz w:val="32"/>
          <w:szCs w:val="32"/>
        </w:rPr>
        <w:t>（十</w:t>
      </w: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）社会保障和就业（类）行政事业单位离退休（款）机关事业单位职业年金缴费支出（项）:</w:t>
      </w:r>
      <w:r>
        <w:rPr>
          <w:rFonts w:ascii="仿宋_GB2312" w:eastAsia="仿宋_GB2312"/>
          <w:sz w:val="32"/>
        </w:rPr>
        <w:t>反</w:t>
      </w:r>
      <w:r>
        <w:rPr>
          <w:rFonts w:hint="eastAsia" w:ascii="仿宋_GB2312" w:eastAsia="仿宋_GB2312"/>
          <w:sz w:val="32"/>
        </w:rPr>
        <w:t>映</w:t>
      </w:r>
      <w:r>
        <w:rPr>
          <w:rFonts w:ascii="仿宋_GB2312" w:eastAsia="仿宋_GB2312"/>
          <w:sz w:val="32"/>
        </w:rPr>
        <w:t>机关事业单位实施养老保险制度由单位实际缴纳的职业年金支出。</w:t>
      </w:r>
    </w:p>
    <w:p w14:paraId="63FD5EE4">
      <w:pPr>
        <w:shd w:val="clear" w:color="auto" w:fill="FFFFFF" w:themeFill="background1"/>
        <w:spacing w:line="560" w:lineRule="exact"/>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（十</w:t>
      </w: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）社会保障和就业支出（类）行政事业单位离退休（款）其他行政事业单位养老支出（项）：反映除上述项目以外其他用于机关事业单位养老方面的支出。</w:t>
      </w:r>
    </w:p>
    <w:p w14:paraId="4BDF521A">
      <w:pPr>
        <w:shd w:val="clear" w:color="auto" w:fill="FFFFFF" w:themeFill="background1"/>
        <w:spacing w:line="560" w:lineRule="exact"/>
        <w:ind w:firstLine="640"/>
        <w:rPr>
          <w:rFonts w:ascii="仿宋_GB2312" w:eastAsia="仿宋_GB2312"/>
          <w:sz w:val="32"/>
        </w:rPr>
      </w:pPr>
      <w:r>
        <w:rPr>
          <w:rFonts w:hint="eastAsia" w:ascii="楷体_GB2312" w:hAnsi="楷体_GB2312" w:eastAsia="楷体_GB2312" w:cs="楷体_GB2312"/>
          <w:b/>
          <w:bCs/>
          <w:sz w:val="32"/>
          <w:szCs w:val="32"/>
        </w:rPr>
        <w:t>（十</w:t>
      </w:r>
      <w:r>
        <w:rPr>
          <w:rFonts w:hint="eastAsia" w:ascii="楷体_GB2312" w:hAnsi="楷体_GB2312" w:eastAsia="楷体_GB2312" w:cs="楷体_GB2312"/>
          <w:b/>
          <w:bCs/>
          <w:sz w:val="32"/>
          <w:szCs w:val="32"/>
          <w:lang w:eastAsia="zh-CN"/>
        </w:rPr>
        <w:t>五</w:t>
      </w:r>
      <w:r>
        <w:rPr>
          <w:rFonts w:hint="eastAsia" w:ascii="楷体_GB2312" w:hAnsi="楷体_GB2312" w:eastAsia="楷体_GB2312" w:cs="楷体_GB2312"/>
          <w:b/>
          <w:bCs/>
          <w:sz w:val="32"/>
          <w:szCs w:val="32"/>
        </w:rPr>
        <w:t>）医疗卫生与计划生育（类）医疗保障（款）行政单位医疗（项）:</w:t>
      </w:r>
      <w:r>
        <w:rPr>
          <w:rFonts w:ascii="仿宋_GB2312" w:eastAsia="仿宋_GB2312"/>
          <w:sz w:val="32"/>
        </w:rPr>
        <w:t>反</w:t>
      </w:r>
      <w:r>
        <w:rPr>
          <w:rFonts w:hint="eastAsia" w:ascii="仿宋_GB2312" w:eastAsia="仿宋_GB2312"/>
          <w:sz w:val="32"/>
        </w:rPr>
        <w:t>映</w:t>
      </w:r>
      <w:r>
        <w:rPr>
          <w:rFonts w:ascii="仿宋_GB2312" w:eastAsia="仿宋_GB2312"/>
          <w:sz w:val="32"/>
        </w:rPr>
        <w:t>财政部门集中安排的行政单位基本医疗保险缴费经费，未参加医疗保险的行政单位的公费医疗经费，按国家规定享受离休人员、红军老战士待遇人员的医疗经费。</w:t>
      </w:r>
    </w:p>
    <w:p w14:paraId="1B9C9999">
      <w:pPr>
        <w:shd w:val="clear" w:color="auto" w:fill="FFFFFF" w:themeFill="background1"/>
        <w:spacing w:line="560" w:lineRule="exact"/>
        <w:ind w:firstLine="640"/>
        <w:rPr>
          <w:rFonts w:ascii="仿宋_GB2312" w:eastAsia="仿宋_GB2312"/>
          <w:sz w:val="32"/>
        </w:rPr>
      </w:pPr>
      <w:r>
        <w:rPr>
          <w:rFonts w:hint="eastAsia" w:ascii="楷体_GB2312" w:hAnsi="楷体_GB2312" w:eastAsia="楷体_GB2312" w:cs="楷体_GB2312"/>
          <w:b/>
          <w:bCs/>
          <w:sz w:val="32"/>
          <w:szCs w:val="32"/>
        </w:rPr>
        <w:t>（十</w:t>
      </w:r>
      <w:r>
        <w:rPr>
          <w:rFonts w:hint="eastAsia" w:ascii="楷体_GB2312" w:hAnsi="楷体_GB2312" w:eastAsia="楷体_GB2312" w:cs="楷体_GB2312"/>
          <w:b/>
          <w:bCs/>
          <w:sz w:val="32"/>
          <w:szCs w:val="32"/>
          <w:lang w:eastAsia="zh-CN"/>
        </w:rPr>
        <w:t>六</w:t>
      </w:r>
      <w:r>
        <w:rPr>
          <w:rFonts w:hint="eastAsia" w:ascii="楷体_GB2312" w:hAnsi="楷体_GB2312" w:eastAsia="楷体_GB2312" w:cs="楷体_GB2312"/>
          <w:b/>
          <w:bCs/>
          <w:sz w:val="32"/>
          <w:szCs w:val="32"/>
        </w:rPr>
        <w:t>）医疗卫生与计划生育（类）医疗保障（款）事业单位医疗（项）:</w:t>
      </w:r>
      <w:r>
        <w:rPr>
          <w:rFonts w:ascii="仿宋_GB2312" w:eastAsia="仿宋_GB2312"/>
          <w:sz w:val="32"/>
        </w:rPr>
        <w:t>反</w:t>
      </w:r>
      <w:r>
        <w:rPr>
          <w:rFonts w:hint="eastAsia" w:ascii="仿宋_GB2312" w:eastAsia="仿宋_GB2312"/>
          <w:sz w:val="32"/>
        </w:rPr>
        <w:t>映</w:t>
      </w:r>
      <w:r>
        <w:rPr>
          <w:rFonts w:ascii="仿宋_GB2312" w:eastAsia="仿宋_GB2312"/>
          <w:sz w:val="32"/>
        </w:rPr>
        <w:t>财政部门集中安排的事业单位基本医疗保险缴费经费，未参加医疗保险的事业单位的公费医疗经费，按国家规定享受离休人员、红军老战士待遇人员的医疗经费。</w:t>
      </w:r>
    </w:p>
    <w:p w14:paraId="07EFA870">
      <w:pPr>
        <w:shd w:val="clear" w:color="auto" w:fill="FFFFFF" w:themeFill="background1"/>
        <w:spacing w:line="560" w:lineRule="exact"/>
        <w:ind w:firstLine="640"/>
        <w:rPr>
          <w:rFonts w:ascii="仿宋_GB2312" w:hAnsi="仿宋_GB2312" w:eastAsia="仿宋_GB2312"/>
          <w:sz w:val="32"/>
        </w:rPr>
      </w:pPr>
      <w:r>
        <w:rPr>
          <w:rFonts w:hint="eastAsia" w:ascii="楷体_GB2312" w:hAnsi="楷体_GB2312" w:eastAsia="楷体_GB2312" w:cs="楷体_GB2312"/>
          <w:b/>
          <w:bCs/>
          <w:sz w:val="32"/>
          <w:szCs w:val="32"/>
        </w:rPr>
        <w:t>（十</w:t>
      </w:r>
      <w:r>
        <w:rPr>
          <w:rFonts w:hint="eastAsia" w:ascii="楷体_GB2312" w:hAnsi="楷体_GB2312" w:eastAsia="楷体_GB2312" w:cs="楷体_GB2312"/>
          <w:b/>
          <w:bCs/>
          <w:sz w:val="32"/>
          <w:szCs w:val="32"/>
          <w:lang w:eastAsia="zh-CN"/>
        </w:rPr>
        <w:t>七</w:t>
      </w:r>
      <w:r>
        <w:rPr>
          <w:rFonts w:hint="eastAsia" w:ascii="楷体_GB2312" w:hAnsi="楷体_GB2312" w:eastAsia="楷体_GB2312" w:cs="楷体_GB2312"/>
          <w:b/>
          <w:bCs/>
          <w:sz w:val="32"/>
          <w:szCs w:val="32"/>
        </w:rPr>
        <w:t>）医疗卫生与计划生育（类）行政事业单位医疗（款）其他行政事业单位医疗支出（项）:</w:t>
      </w:r>
      <w:r>
        <w:rPr>
          <w:rFonts w:ascii="仿宋_GB2312" w:hAnsi="仿宋_GB2312" w:eastAsia="仿宋_GB2312"/>
          <w:sz w:val="32"/>
        </w:rPr>
        <w:t>反</w:t>
      </w:r>
      <w:r>
        <w:rPr>
          <w:rFonts w:hint="eastAsia" w:ascii="仿宋_GB2312" w:hAnsi="仿宋_GB2312" w:eastAsia="仿宋_GB2312"/>
          <w:sz w:val="32"/>
        </w:rPr>
        <w:t>映</w:t>
      </w:r>
      <w:r>
        <w:rPr>
          <w:rFonts w:ascii="仿宋_GB2312" w:hAnsi="仿宋_GB2312" w:eastAsia="仿宋_GB2312"/>
          <w:sz w:val="32"/>
        </w:rPr>
        <w:t>其他用于行政事业单位医疗方面的支出。</w:t>
      </w:r>
    </w:p>
    <w:p w14:paraId="6D2E1531">
      <w:pPr>
        <w:shd w:val="clear" w:color="auto" w:fill="FFFFFF" w:themeFill="background1"/>
        <w:spacing w:line="560" w:lineRule="exact"/>
        <w:ind w:firstLine="640"/>
        <w:rPr>
          <w:rFonts w:ascii="仿宋_GB2312" w:eastAsia="仿宋_GB2312"/>
          <w:sz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十八</w:t>
      </w:r>
      <w:r>
        <w:rPr>
          <w:rFonts w:hint="eastAsia" w:ascii="楷体_GB2312" w:hAnsi="楷体_GB2312" w:eastAsia="楷体_GB2312" w:cs="楷体_GB2312"/>
          <w:b/>
          <w:bCs/>
          <w:sz w:val="32"/>
          <w:szCs w:val="32"/>
        </w:rPr>
        <w:t>）住房保障支出（类）住房改革支出（款）住房公积金（项）:</w:t>
      </w:r>
      <w:r>
        <w:rPr>
          <w:rFonts w:ascii="仿宋_GB2312" w:eastAsia="仿宋_GB2312"/>
          <w:sz w:val="32"/>
        </w:rPr>
        <w:t>反</w:t>
      </w:r>
      <w:r>
        <w:rPr>
          <w:rFonts w:hint="eastAsia" w:ascii="仿宋_GB2312" w:eastAsia="仿宋_GB2312"/>
          <w:sz w:val="32"/>
        </w:rPr>
        <w:t>映</w:t>
      </w:r>
      <w:r>
        <w:rPr>
          <w:rFonts w:ascii="仿宋_GB2312" w:eastAsia="仿宋_GB2312"/>
          <w:sz w:val="32"/>
        </w:rPr>
        <w:t>行政事业单位按人力资源和社会保障部、财政部规定的基本工资和津贴补贴以及规定比例向职工缴纳住房公积金。</w:t>
      </w:r>
    </w:p>
    <w:p w14:paraId="74DF1341">
      <w:pPr>
        <w:shd w:val="clear" w:color="auto" w:fill="FFFFFF" w:themeFill="background1"/>
        <w:autoSpaceDE w:val="0"/>
        <w:autoSpaceDN w:val="0"/>
        <w:spacing w:line="560" w:lineRule="exact"/>
        <w:ind w:firstLine="640"/>
        <w:rPr>
          <w:rFonts w:ascii="仿宋_GB2312" w:eastAsia="仿宋_GB2312"/>
          <w:sz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十九</w:t>
      </w:r>
      <w:r>
        <w:rPr>
          <w:rFonts w:hint="eastAsia" w:ascii="楷体_GB2312" w:hAnsi="楷体_GB2312" w:eastAsia="楷体_GB2312" w:cs="楷体_GB2312"/>
          <w:b/>
          <w:bCs/>
          <w:sz w:val="32"/>
          <w:szCs w:val="32"/>
        </w:rPr>
        <w:t>）机关运行经费：</w:t>
      </w:r>
      <w:r>
        <w:rPr>
          <w:rFonts w:ascii="仿宋_GB2312" w:eastAsia="仿宋_GB2312"/>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4368E1D">
      <w:pPr>
        <w:keepNext w:val="0"/>
        <w:keepLines w:val="0"/>
        <w:pageBreakBefore w:val="0"/>
        <w:widowControl w:val="0"/>
        <w:numPr>
          <w:ilvl w:val="0"/>
          <w:numId w:val="0"/>
        </w:numPr>
        <w:shd w:val="clear" w:color="auto" w:fill="FFFFFF" w:themeFill="background1"/>
        <w:kinsoku/>
        <w:wordWrap/>
        <w:overflowPunct/>
        <w:topLinePunct w:val="0"/>
        <w:bidi w:val="0"/>
        <w:spacing w:line="560" w:lineRule="exact"/>
        <w:ind w:firstLine="640" w:firstLineChars="200"/>
        <w:jc w:val="both"/>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附件：</w:t>
      </w:r>
      <w:bookmarkEnd w:id="35"/>
    </w:p>
    <w:p w14:paraId="1F0DBEB7">
      <w:pPr>
        <w:keepNext w:val="0"/>
        <w:keepLines w:val="0"/>
        <w:pageBreakBefore w:val="0"/>
        <w:widowControl w:val="0"/>
        <w:numPr>
          <w:ilvl w:val="0"/>
          <w:numId w:val="2"/>
        </w:numPr>
        <w:shd w:val="clear" w:color="auto" w:fill="FFFFFF" w:themeFill="background1"/>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eastAsia="zh-CN"/>
        </w:rPr>
        <w:t>德阳市罗江区科学技术局20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年部门预算</w:t>
      </w:r>
      <w:r>
        <w:rPr>
          <w:rFonts w:hint="eastAsia" w:ascii="仿宋_GB2312" w:hAnsi="仿宋_GB2312" w:eastAsia="仿宋_GB2312"/>
          <w:color w:val="auto"/>
          <w:sz w:val="32"/>
          <w:szCs w:val="32"/>
          <w:lang w:eastAsia="zh-CN"/>
        </w:rPr>
        <w:t>公开表</w:t>
      </w:r>
    </w:p>
    <w:p w14:paraId="2A9A01E9">
      <w:pPr>
        <w:keepNext w:val="0"/>
        <w:keepLines w:val="0"/>
        <w:pageBreakBefore w:val="0"/>
        <w:widowControl w:val="0"/>
        <w:numPr>
          <w:ilvl w:val="0"/>
          <w:numId w:val="2"/>
        </w:numPr>
        <w:shd w:val="clear" w:color="auto" w:fill="FFFFFF" w:themeFill="background1"/>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olor w:val="auto"/>
          <w:sz w:val="32"/>
          <w:szCs w:val="32"/>
        </w:rPr>
      </w:pPr>
      <w:bookmarkStart w:id="36" w:name="_GoBack"/>
      <w:bookmarkEnd w:id="36"/>
      <w:r>
        <w:rPr>
          <w:rFonts w:hint="eastAsia" w:ascii="仿宋_GB2312" w:hAnsi="仿宋_GB2312" w:eastAsia="仿宋_GB2312"/>
          <w:color w:val="auto"/>
          <w:sz w:val="32"/>
          <w:szCs w:val="32"/>
          <w:lang w:eastAsia="zh-CN"/>
        </w:rPr>
        <w:t>德阳市罗江区科学技术局20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w:t>
      </w:r>
      <w:r>
        <w:rPr>
          <w:rFonts w:hint="eastAsia" w:ascii="仿宋_GB2312" w:hAnsi="仿宋_GB2312" w:eastAsia="仿宋_GB2312"/>
          <w:color w:val="auto"/>
          <w:sz w:val="32"/>
          <w:szCs w:val="32"/>
          <w:lang w:eastAsia="zh-CN"/>
        </w:rPr>
        <w:t>部门项目目标绩效公开表</w:t>
      </w:r>
    </w:p>
    <w:p w14:paraId="3DFABF3D">
      <w:pPr>
        <w:keepNext w:val="0"/>
        <w:keepLines w:val="0"/>
        <w:pageBreakBefore w:val="0"/>
        <w:widowControl w:val="0"/>
        <w:numPr>
          <w:ilvl w:val="0"/>
          <w:numId w:val="2"/>
        </w:numPr>
        <w:shd w:val="clear" w:color="auto" w:fill="FFFFFF" w:themeFill="background1"/>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sz w:val="32"/>
          <w:szCs w:val="32"/>
          <w:lang w:val="en-US" w:eastAsia="zh-CN"/>
        </w:rPr>
      </w:pPr>
      <w:r>
        <w:rPr>
          <w:rFonts w:hint="eastAsia" w:ascii="仿宋_GB2312" w:hAnsi="仿宋_GB2312" w:eastAsia="仿宋_GB2312"/>
          <w:color w:val="auto"/>
          <w:sz w:val="32"/>
          <w:szCs w:val="32"/>
          <w:lang w:eastAsia="zh-CN"/>
        </w:rPr>
        <w:t>德阳市罗江区科学技术局20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w:t>
      </w:r>
      <w:r>
        <w:rPr>
          <w:rFonts w:hint="eastAsia" w:ascii="仿宋_GB2312" w:hAnsi="仿宋_GB2312" w:eastAsia="仿宋_GB2312"/>
          <w:color w:val="auto"/>
          <w:sz w:val="32"/>
          <w:szCs w:val="32"/>
          <w:lang w:eastAsia="zh-CN"/>
        </w:rPr>
        <w:t>部门（单位）整体支出绩效目标公开表</w:t>
      </w:r>
    </w:p>
    <w:sectPr>
      <w:footerReference r:id="rId3" w:type="default"/>
      <w:pgSz w:w="11906" w:h="16838"/>
      <w:pgMar w:top="1984" w:right="1474" w:bottom="2098" w:left="1588" w:header="851" w:footer="1415" w:gutter="0"/>
      <w:pgNumType w:fmt="numberInDash"/>
      <w:cols w:space="0" w:num="1"/>
      <w:rtlGutter w:val="0"/>
      <w:docGrid w:type="lines" w:linePitch="6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04CAB">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020626">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020626">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CD264D"/>
    <w:multiLevelType w:val="singleLevel"/>
    <w:tmpl w:val="D3CD264D"/>
    <w:lvl w:ilvl="0" w:tentative="0">
      <w:start w:val="1"/>
      <w:numFmt w:val="decimal"/>
      <w:suff w:val="nothing"/>
      <w:lvlText w:val="%1．"/>
      <w:lvlJc w:val="left"/>
      <w:pPr>
        <w:ind w:left="0" w:firstLine="400"/>
      </w:pPr>
      <w:rPr>
        <w:rFonts w:hint="default"/>
      </w:rPr>
    </w:lvl>
  </w:abstractNum>
  <w:abstractNum w:abstractNumId="1">
    <w:nsid w:val="11381702"/>
    <w:multiLevelType w:val="singleLevel"/>
    <w:tmpl w:val="11381702"/>
    <w:lvl w:ilvl="0" w:tentative="0">
      <w:start w:val="10"/>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3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hZWI5MWI3OTkyOTk0NTZkNjVhMTMxMjYyNjZlOTAifQ=="/>
  </w:docVars>
  <w:rsids>
    <w:rsidRoot w:val="004E4A63"/>
    <w:rsid w:val="0008725C"/>
    <w:rsid w:val="000C5D55"/>
    <w:rsid w:val="00107AF7"/>
    <w:rsid w:val="001A5E61"/>
    <w:rsid w:val="001D5BCA"/>
    <w:rsid w:val="001F59C4"/>
    <w:rsid w:val="00202A4E"/>
    <w:rsid w:val="00245794"/>
    <w:rsid w:val="002D17ED"/>
    <w:rsid w:val="002F6687"/>
    <w:rsid w:val="00325291"/>
    <w:rsid w:val="00336B03"/>
    <w:rsid w:val="00363AC0"/>
    <w:rsid w:val="003B021E"/>
    <w:rsid w:val="003C72A4"/>
    <w:rsid w:val="004B52FA"/>
    <w:rsid w:val="004D53A9"/>
    <w:rsid w:val="004E4A63"/>
    <w:rsid w:val="00504316"/>
    <w:rsid w:val="00563314"/>
    <w:rsid w:val="005A0F05"/>
    <w:rsid w:val="00615EA1"/>
    <w:rsid w:val="00640CC1"/>
    <w:rsid w:val="007225E2"/>
    <w:rsid w:val="007365C4"/>
    <w:rsid w:val="008F70DC"/>
    <w:rsid w:val="009049CB"/>
    <w:rsid w:val="00933755"/>
    <w:rsid w:val="00972537"/>
    <w:rsid w:val="009D554C"/>
    <w:rsid w:val="00A35F1B"/>
    <w:rsid w:val="00A46B69"/>
    <w:rsid w:val="00A5551E"/>
    <w:rsid w:val="00A60A56"/>
    <w:rsid w:val="00B926E3"/>
    <w:rsid w:val="00BD7C8D"/>
    <w:rsid w:val="00C96FDA"/>
    <w:rsid w:val="00CB3C62"/>
    <w:rsid w:val="00D14665"/>
    <w:rsid w:val="00DC34F5"/>
    <w:rsid w:val="00E00321"/>
    <w:rsid w:val="00EE23D3"/>
    <w:rsid w:val="00FD2791"/>
    <w:rsid w:val="00FD2F29"/>
    <w:rsid w:val="01931A7A"/>
    <w:rsid w:val="01B90C4E"/>
    <w:rsid w:val="01BE7E04"/>
    <w:rsid w:val="020A3A08"/>
    <w:rsid w:val="02E96621"/>
    <w:rsid w:val="02EB239A"/>
    <w:rsid w:val="02F96864"/>
    <w:rsid w:val="0301178F"/>
    <w:rsid w:val="042A0CA0"/>
    <w:rsid w:val="047B1C9E"/>
    <w:rsid w:val="049D76C3"/>
    <w:rsid w:val="04AE18D1"/>
    <w:rsid w:val="04C63C0C"/>
    <w:rsid w:val="05465FAD"/>
    <w:rsid w:val="057A05C7"/>
    <w:rsid w:val="05EC4085"/>
    <w:rsid w:val="063C4254"/>
    <w:rsid w:val="063E0A32"/>
    <w:rsid w:val="06565D7C"/>
    <w:rsid w:val="07051241"/>
    <w:rsid w:val="07230354"/>
    <w:rsid w:val="07414C7E"/>
    <w:rsid w:val="07571721"/>
    <w:rsid w:val="08C07386"/>
    <w:rsid w:val="092403B3"/>
    <w:rsid w:val="09442803"/>
    <w:rsid w:val="095D5E3F"/>
    <w:rsid w:val="097430E9"/>
    <w:rsid w:val="097C01EF"/>
    <w:rsid w:val="0A943317"/>
    <w:rsid w:val="0B1F7362"/>
    <w:rsid w:val="0B3F7726"/>
    <w:rsid w:val="0B925AA8"/>
    <w:rsid w:val="0BA23811"/>
    <w:rsid w:val="0BA852CC"/>
    <w:rsid w:val="0C061FF2"/>
    <w:rsid w:val="0C143182"/>
    <w:rsid w:val="0C8353F1"/>
    <w:rsid w:val="0CBC3A4D"/>
    <w:rsid w:val="0CC223BD"/>
    <w:rsid w:val="0CF97024"/>
    <w:rsid w:val="0D366907"/>
    <w:rsid w:val="0D6B76D4"/>
    <w:rsid w:val="0E0A5131"/>
    <w:rsid w:val="0E1C297E"/>
    <w:rsid w:val="0E1E1875"/>
    <w:rsid w:val="0E3328B7"/>
    <w:rsid w:val="0EC7610D"/>
    <w:rsid w:val="0ED24D8B"/>
    <w:rsid w:val="0EED1247"/>
    <w:rsid w:val="0F046F58"/>
    <w:rsid w:val="0F2F360E"/>
    <w:rsid w:val="0F3155D8"/>
    <w:rsid w:val="0F917443"/>
    <w:rsid w:val="100B407B"/>
    <w:rsid w:val="104E6ADE"/>
    <w:rsid w:val="1051052D"/>
    <w:rsid w:val="108A31F2"/>
    <w:rsid w:val="10911D30"/>
    <w:rsid w:val="10B46365"/>
    <w:rsid w:val="10BE1EF8"/>
    <w:rsid w:val="110F36F7"/>
    <w:rsid w:val="11F272A1"/>
    <w:rsid w:val="12244F80"/>
    <w:rsid w:val="13522181"/>
    <w:rsid w:val="13DC11ED"/>
    <w:rsid w:val="14694105"/>
    <w:rsid w:val="148A257A"/>
    <w:rsid w:val="14BF5434"/>
    <w:rsid w:val="15DB004C"/>
    <w:rsid w:val="172909A5"/>
    <w:rsid w:val="17367C2F"/>
    <w:rsid w:val="17795D6E"/>
    <w:rsid w:val="17F83137"/>
    <w:rsid w:val="181120ED"/>
    <w:rsid w:val="1917583F"/>
    <w:rsid w:val="19297A6D"/>
    <w:rsid w:val="198772CA"/>
    <w:rsid w:val="198C5D7A"/>
    <w:rsid w:val="19924EC5"/>
    <w:rsid w:val="19BB08C0"/>
    <w:rsid w:val="19E41D4F"/>
    <w:rsid w:val="1A1B135F"/>
    <w:rsid w:val="1A1F5E07"/>
    <w:rsid w:val="1A4E703E"/>
    <w:rsid w:val="1A8B57AF"/>
    <w:rsid w:val="1AB570BD"/>
    <w:rsid w:val="1AD1087B"/>
    <w:rsid w:val="1AE6196C"/>
    <w:rsid w:val="1B4B41EA"/>
    <w:rsid w:val="1B6F1962"/>
    <w:rsid w:val="1C0E03BE"/>
    <w:rsid w:val="1C154B73"/>
    <w:rsid w:val="1C66655B"/>
    <w:rsid w:val="1C7E7ACD"/>
    <w:rsid w:val="1CDF70E4"/>
    <w:rsid w:val="1D5F1562"/>
    <w:rsid w:val="1D6F5C49"/>
    <w:rsid w:val="1D787A99"/>
    <w:rsid w:val="1DDB1FCD"/>
    <w:rsid w:val="1DDFE3EB"/>
    <w:rsid w:val="1E403142"/>
    <w:rsid w:val="1EB50DE7"/>
    <w:rsid w:val="1EC041AD"/>
    <w:rsid w:val="1ED3045A"/>
    <w:rsid w:val="1EF47852"/>
    <w:rsid w:val="1EFF8CEB"/>
    <w:rsid w:val="1F906301"/>
    <w:rsid w:val="1FC102B2"/>
    <w:rsid w:val="1FCE268A"/>
    <w:rsid w:val="1FFBE5CA"/>
    <w:rsid w:val="20230F6D"/>
    <w:rsid w:val="203E5DA7"/>
    <w:rsid w:val="203F5CB4"/>
    <w:rsid w:val="20CC5161"/>
    <w:rsid w:val="20DF4E94"/>
    <w:rsid w:val="20E2313D"/>
    <w:rsid w:val="20F12E19"/>
    <w:rsid w:val="21366C57"/>
    <w:rsid w:val="215A09BE"/>
    <w:rsid w:val="216225C1"/>
    <w:rsid w:val="21C81DCC"/>
    <w:rsid w:val="220713AE"/>
    <w:rsid w:val="22284619"/>
    <w:rsid w:val="22452F86"/>
    <w:rsid w:val="227F4143"/>
    <w:rsid w:val="22AA14D2"/>
    <w:rsid w:val="22FB1D2D"/>
    <w:rsid w:val="23595916"/>
    <w:rsid w:val="23983A20"/>
    <w:rsid w:val="244702AB"/>
    <w:rsid w:val="24605347"/>
    <w:rsid w:val="24704055"/>
    <w:rsid w:val="24B623B0"/>
    <w:rsid w:val="24BE3012"/>
    <w:rsid w:val="25FD7D1A"/>
    <w:rsid w:val="26643783"/>
    <w:rsid w:val="26881B2A"/>
    <w:rsid w:val="26B7240F"/>
    <w:rsid w:val="26CC7C68"/>
    <w:rsid w:val="27CC1EEA"/>
    <w:rsid w:val="27D019DA"/>
    <w:rsid w:val="281A2C55"/>
    <w:rsid w:val="284E60E6"/>
    <w:rsid w:val="28A6098D"/>
    <w:rsid w:val="297A37FB"/>
    <w:rsid w:val="29F413F4"/>
    <w:rsid w:val="2A375D41"/>
    <w:rsid w:val="2BAA0794"/>
    <w:rsid w:val="2BD66E93"/>
    <w:rsid w:val="2C5D2C07"/>
    <w:rsid w:val="2C7843EE"/>
    <w:rsid w:val="2CB15489"/>
    <w:rsid w:val="2CBD72B2"/>
    <w:rsid w:val="2CF772A5"/>
    <w:rsid w:val="2D1C2DA9"/>
    <w:rsid w:val="2D6B14F7"/>
    <w:rsid w:val="2DED1336"/>
    <w:rsid w:val="2DFB52D7"/>
    <w:rsid w:val="2E1E7467"/>
    <w:rsid w:val="2EA96AE1"/>
    <w:rsid w:val="2EEF6BEA"/>
    <w:rsid w:val="2F54221D"/>
    <w:rsid w:val="2F7B9897"/>
    <w:rsid w:val="2FFF10AF"/>
    <w:rsid w:val="30185CCC"/>
    <w:rsid w:val="3029612C"/>
    <w:rsid w:val="3049232A"/>
    <w:rsid w:val="305D7B83"/>
    <w:rsid w:val="31091AB9"/>
    <w:rsid w:val="31E3055C"/>
    <w:rsid w:val="320A5AE9"/>
    <w:rsid w:val="321253CF"/>
    <w:rsid w:val="32E05BBC"/>
    <w:rsid w:val="32F02F31"/>
    <w:rsid w:val="3361798A"/>
    <w:rsid w:val="336FE347"/>
    <w:rsid w:val="33A07339"/>
    <w:rsid w:val="33EB79B3"/>
    <w:rsid w:val="341D7D55"/>
    <w:rsid w:val="34412DED"/>
    <w:rsid w:val="344D7F0F"/>
    <w:rsid w:val="35061D83"/>
    <w:rsid w:val="35635C3C"/>
    <w:rsid w:val="358E5B04"/>
    <w:rsid w:val="3605498C"/>
    <w:rsid w:val="36162CAE"/>
    <w:rsid w:val="361E1B63"/>
    <w:rsid w:val="3680281D"/>
    <w:rsid w:val="36AC716F"/>
    <w:rsid w:val="36D466C5"/>
    <w:rsid w:val="36EE03B6"/>
    <w:rsid w:val="3726484E"/>
    <w:rsid w:val="37512EA0"/>
    <w:rsid w:val="375E0C0F"/>
    <w:rsid w:val="39365415"/>
    <w:rsid w:val="393916B4"/>
    <w:rsid w:val="3B4E3C09"/>
    <w:rsid w:val="3B895CD0"/>
    <w:rsid w:val="3BAC5E63"/>
    <w:rsid w:val="3C6724D3"/>
    <w:rsid w:val="3D0F61C1"/>
    <w:rsid w:val="3D290A98"/>
    <w:rsid w:val="3D3F1E33"/>
    <w:rsid w:val="3D6C3AFB"/>
    <w:rsid w:val="3D8C5F4C"/>
    <w:rsid w:val="3D9077EA"/>
    <w:rsid w:val="3E234300"/>
    <w:rsid w:val="3E371A14"/>
    <w:rsid w:val="3E4B66E4"/>
    <w:rsid w:val="3EAA355E"/>
    <w:rsid w:val="3EAA6689"/>
    <w:rsid w:val="3EBFE771"/>
    <w:rsid w:val="3EF6D905"/>
    <w:rsid w:val="3EFC2C5D"/>
    <w:rsid w:val="3F5DF340"/>
    <w:rsid w:val="3F6F0366"/>
    <w:rsid w:val="3FFB7520"/>
    <w:rsid w:val="405575AB"/>
    <w:rsid w:val="40797468"/>
    <w:rsid w:val="408021BE"/>
    <w:rsid w:val="40B15215"/>
    <w:rsid w:val="41491E78"/>
    <w:rsid w:val="41C061C4"/>
    <w:rsid w:val="420D7AF7"/>
    <w:rsid w:val="422D48EC"/>
    <w:rsid w:val="4269060A"/>
    <w:rsid w:val="42937435"/>
    <w:rsid w:val="42991D01"/>
    <w:rsid w:val="42DF6B1E"/>
    <w:rsid w:val="44527E6E"/>
    <w:rsid w:val="44655B45"/>
    <w:rsid w:val="44676DCB"/>
    <w:rsid w:val="44E1584B"/>
    <w:rsid w:val="45164B86"/>
    <w:rsid w:val="451F1453"/>
    <w:rsid w:val="45230F44"/>
    <w:rsid w:val="456C2437"/>
    <w:rsid w:val="45725A27"/>
    <w:rsid w:val="45D87F80"/>
    <w:rsid w:val="46153272"/>
    <w:rsid w:val="46362DE6"/>
    <w:rsid w:val="46BFC788"/>
    <w:rsid w:val="46DB2D69"/>
    <w:rsid w:val="46E666CD"/>
    <w:rsid w:val="46F72688"/>
    <w:rsid w:val="47535958"/>
    <w:rsid w:val="47BE31A6"/>
    <w:rsid w:val="496D4E83"/>
    <w:rsid w:val="49CE5BCF"/>
    <w:rsid w:val="49FA5FEB"/>
    <w:rsid w:val="4A054521"/>
    <w:rsid w:val="4A366469"/>
    <w:rsid w:val="4A653DAC"/>
    <w:rsid w:val="4ACF1226"/>
    <w:rsid w:val="4AE01685"/>
    <w:rsid w:val="4AE72614"/>
    <w:rsid w:val="4B3043BA"/>
    <w:rsid w:val="4B414610"/>
    <w:rsid w:val="4B8C5ED7"/>
    <w:rsid w:val="4B8E10E1"/>
    <w:rsid w:val="4C1E2465"/>
    <w:rsid w:val="4C771B75"/>
    <w:rsid w:val="4C7E73A7"/>
    <w:rsid w:val="4CDB0356"/>
    <w:rsid w:val="4CE55EBB"/>
    <w:rsid w:val="4D021D86"/>
    <w:rsid w:val="4D9E1AAF"/>
    <w:rsid w:val="4DA87492"/>
    <w:rsid w:val="4DD51249"/>
    <w:rsid w:val="4E4A5DAA"/>
    <w:rsid w:val="4E581918"/>
    <w:rsid w:val="4EC92B5C"/>
    <w:rsid w:val="4ED4505D"/>
    <w:rsid w:val="4EFF657E"/>
    <w:rsid w:val="4F0F42E7"/>
    <w:rsid w:val="4F200FDA"/>
    <w:rsid w:val="4F436254"/>
    <w:rsid w:val="4F855E52"/>
    <w:rsid w:val="4FD07F1A"/>
    <w:rsid w:val="50306C0B"/>
    <w:rsid w:val="50616DC4"/>
    <w:rsid w:val="506A3ECB"/>
    <w:rsid w:val="51515DD0"/>
    <w:rsid w:val="51694182"/>
    <w:rsid w:val="51BA49DE"/>
    <w:rsid w:val="51DF6662"/>
    <w:rsid w:val="51FF3FB2"/>
    <w:rsid w:val="52271947"/>
    <w:rsid w:val="523F504B"/>
    <w:rsid w:val="52416EAD"/>
    <w:rsid w:val="52D63131"/>
    <w:rsid w:val="533D58C6"/>
    <w:rsid w:val="53B13BBE"/>
    <w:rsid w:val="5463310B"/>
    <w:rsid w:val="54811F66"/>
    <w:rsid w:val="54815C87"/>
    <w:rsid w:val="54BE2A37"/>
    <w:rsid w:val="54FE2E33"/>
    <w:rsid w:val="54FE7A83"/>
    <w:rsid w:val="558A79B5"/>
    <w:rsid w:val="559B0682"/>
    <w:rsid w:val="55E86896"/>
    <w:rsid w:val="55FC424E"/>
    <w:rsid w:val="56245542"/>
    <w:rsid w:val="56B43F25"/>
    <w:rsid w:val="578B15E8"/>
    <w:rsid w:val="57EF4FBE"/>
    <w:rsid w:val="57F433EA"/>
    <w:rsid w:val="57FD5624"/>
    <w:rsid w:val="58026DC2"/>
    <w:rsid w:val="581C3AB9"/>
    <w:rsid w:val="582B2191"/>
    <w:rsid w:val="58A4292C"/>
    <w:rsid w:val="58C2758A"/>
    <w:rsid w:val="590429E2"/>
    <w:rsid w:val="59DE54C1"/>
    <w:rsid w:val="5A2055FA"/>
    <w:rsid w:val="5A317807"/>
    <w:rsid w:val="5B3F30C5"/>
    <w:rsid w:val="5C5C293B"/>
    <w:rsid w:val="5CBF559E"/>
    <w:rsid w:val="5D4E43A2"/>
    <w:rsid w:val="5DA52C86"/>
    <w:rsid w:val="5DDC39AF"/>
    <w:rsid w:val="5E021BE6"/>
    <w:rsid w:val="5E174F66"/>
    <w:rsid w:val="5E2F35E1"/>
    <w:rsid w:val="5E5B4885"/>
    <w:rsid w:val="5E714792"/>
    <w:rsid w:val="5EF55F98"/>
    <w:rsid w:val="5F047298"/>
    <w:rsid w:val="5FA478CE"/>
    <w:rsid w:val="5FB943BA"/>
    <w:rsid w:val="5FD2829A"/>
    <w:rsid w:val="5FEA414E"/>
    <w:rsid w:val="6096695B"/>
    <w:rsid w:val="60E17E4E"/>
    <w:rsid w:val="61782F00"/>
    <w:rsid w:val="61930DA7"/>
    <w:rsid w:val="61A47800"/>
    <w:rsid w:val="61A8200C"/>
    <w:rsid w:val="625D388F"/>
    <w:rsid w:val="62F86AF1"/>
    <w:rsid w:val="633B34A5"/>
    <w:rsid w:val="63696264"/>
    <w:rsid w:val="63DB5186"/>
    <w:rsid w:val="63E853DA"/>
    <w:rsid w:val="646627A3"/>
    <w:rsid w:val="64EC5C4C"/>
    <w:rsid w:val="64F7487E"/>
    <w:rsid w:val="650C4160"/>
    <w:rsid w:val="653FAEB2"/>
    <w:rsid w:val="662A1794"/>
    <w:rsid w:val="665D2336"/>
    <w:rsid w:val="6660394E"/>
    <w:rsid w:val="667A42E4"/>
    <w:rsid w:val="6703252B"/>
    <w:rsid w:val="674D6B27"/>
    <w:rsid w:val="67FF6033"/>
    <w:rsid w:val="680952D5"/>
    <w:rsid w:val="68336E40"/>
    <w:rsid w:val="683926A8"/>
    <w:rsid w:val="68757459"/>
    <w:rsid w:val="691A7501"/>
    <w:rsid w:val="69BA0ABF"/>
    <w:rsid w:val="6A2C1D99"/>
    <w:rsid w:val="6ABC136F"/>
    <w:rsid w:val="6AC42858"/>
    <w:rsid w:val="6AE12B83"/>
    <w:rsid w:val="6AF97441"/>
    <w:rsid w:val="6B2B638F"/>
    <w:rsid w:val="6B5567F2"/>
    <w:rsid w:val="6B655563"/>
    <w:rsid w:val="6BDB2D48"/>
    <w:rsid w:val="6C4C59CB"/>
    <w:rsid w:val="6C7C2B64"/>
    <w:rsid w:val="6C97174C"/>
    <w:rsid w:val="6CAB51F7"/>
    <w:rsid w:val="6D5C0500"/>
    <w:rsid w:val="6D631F76"/>
    <w:rsid w:val="6D851995"/>
    <w:rsid w:val="6D877A12"/>
    <w:rsid w:val="6D9DE0D8"/>
    <w:rsid w:val="6DCC7B1B"/>
    <w:rsid w:val="6E2F3C06"/>
    <w:rsid w:val="6E3B6A4F"/>
    <w:rsid w:val="6E4C0C5C"/>
    <w:rsid w:val="6EFF1E27"/>
    <w:rsid w:val="6F9D54EF"/>
    <w:rsid w:val="6FA56875"/>
    <w:rsid w:val="6FA91B78"/>
    <w:rsid w:val="6FCE1CD7"/>
    <w:rsid w:val="6FD50F12"/>
    <w:rsid w:val="70AB1C6A"/>
    <w:rsid w:val="70FF335A"/>
    <w:rsid w:val="71579014"/>
    <w:rsid w:val="720553BB"/>
    <w:rsid w:val="72086F3F"/>
    <w:rsid w:val="7222170C"/>
    <w:rsid w:val="723B0DCB"/>
    <w:rsid w:val="728A1B1B"/>
    <w:rsid w:val="72967F65"/>
    <w:rsid w:val="72B55021"/>
    <w:rsid w:val="73075440"/>
    <w:rsid w:val="7338355D"/>
    <w:rsid w:val="736F3422"/>
    <w:rsid w:val="73B574D9"/>
    <w:rsid w:val="73D03795"/>
    <w:rsid w:val="73E14C17"/>
    <w:rsid w:val="741B5358"/>
    <w:rsid w:val="746F2FAE"/>
    <w:rsid w:val="748B6945"/>
    <w:rsid w:val="75181FEE"/>
    <w:rsid w:val="760C2E49"/>
    <w:rsid w:val="76256C60"/>
    <w:rsid w:val="76613282"/>
    <w:rsid w:val="7697A51F"/>
    <w:rsid w:val="76B34F7A"/>
    <w:rsid w:val="77075720"/>
    <w:rsid w:val="77103EEA"/>
    <w:rsid w:val="77245A15"/>
    <w:rsid w:val="7731279D"/>
    <w:rsid w:val="773933F4"/>
    <w:rsid w:val="776B2153"/>
    <w:rsid w:val="780B7492"/>
    <w:rsid w:val="783B2074"/>
    <w:rsid w:val="788D434B"/>
    <w:rsid w:val="78E21FA1"/>
    <w:rsid w:val="78FE8921"/>
    <w:rsid w:val="78FF40C3"/>
    <w:rsid w:val="78FF6FF6"/>
    <w:rsid w:val="791D56CF"/>
    <w:rsid w:val="79254583"/>
    <w:rsid w:val="7957623E"/>
    <w:rsid w:val="798C198C"/>
    <w:rsid w:val="798E2128"/>
    <w:rsid w:val="799C4C42"/>
    <w:rsid w:val="7A3468AD"/>
    <w:rsid w:val="7A85352B"/>
    <w:rsid w:val="7A9509D7"/>
    <w:rsid w:val="7ADD3708"/>
    <w:rsid w:val="7AFD57B8"/>
    <w:rsid w:val="7B0363F4"/>
    <w:rsid w:val="7B047C5F"/>
    <w:rsid w:val="7B2040FF"/>
    <w:rsid w:val="7B566432"/>
    <w:rsid w:val="7B7F0D53"/>
    <w:rsid w:val="7B8D7F57"/>
    <w:rsid w:val="7BC31903"/>
    <w:rsid w:val="7BE40725"/>
    <w:rsid w:val="7BE6E08D"/>
    <w:rsid w:val="7BFA3AA5"/>
    <w:rsid w:val="7BFFE9E9"/>
    <w:rsid w:val="7C2E374F"/>
    <w:rsid w:val="7C63791E"/>
    <w:rsid w:val="7CB4684F"/>
    <w:rsid w:val="7CBF6456"/>
    <w:rsid w:val="7CCC117F"/>
    <w:rsid w:val="7D389683"/>
    <w:rsid w:val="7D583190"/>
    <w:rsid w:val="7DAA186C"/>
    <w:rsid w:val="7DFD66C0"/>
    <w:rsid w:val="7E4B654B"/>
    <w:rsid w:val="7E5EF8BB"/>
    <w:rsid w:val="7E891110"/>
    <w:rsid w:val="7EDDCAC7"/>
    <w:rsid w:val="7EDE320A"/>
    <w:rsid w:val="7F0047E7"/>
    <w:rsid w:val="7F6225F4"/>
    <w:rsid w:val="7F6B67AD"/>
    <w:rsid w:val="7F7D47B2"/>
    <w:rsid w:val="7F820039"/>
    <w:rsid w:val="7F99017D"/>
    <w:rsid w:val="7FE00D38"/>
    <w:rsid w:val="7FF39D16"/>
    <w:rsid w:val="7FF85DF0"/>
    <w:rsid w:val="7FFEA7A8"/>
    <w:rsid w:val="9FEF599D"/>
    <w:rsid w:val="A56B52C3"/>
    <w:rsid w:val="B5BC3B7D"/>
    <w:rsid w:val="B7FD42A9"/>
    <w:rsid w:val="B9FBC15E"/>
    <w:rsid w:val="BD95408F"/>
    <w:rsid w:val="BF3E62BB"/>
    <w:rsid w:val="BFDC9476"/>
    <w:rsid w:val="CD9D73FA"/>
    <w:rsid w:val="DCFFBD52"/>
    <w:rsid w:val="DF6EAB86"/>
    <w:rsid w:val="DF7B9311"/>
    <w:rsid w:val="E5F7FC94"/>
    <w:rsid w:val="E5FF5207"/>
    <w:rsid w:val="EC3B86CD"/>
    <w:rsid w:val="ECBD6BD5"/>
    <w:rsid w:val="EEF3C28A"/>
    <w:rsid w:val="EFFC7640"/>
    <w:rsid w:val="F4B82A19"/>
    <w:rsid w:val="F6BA9AB0"/>
    <w:rsid w:val="F74B1944"/>
    <w:rsid w:val="F7DB87EB"/>
    <w:rsid w:val="F7ED570E"/>
    <w:rsid w:val="F9E5F5F0"/>
    <w:rsid w:val="FB95B7E7"/>
    <w:rsid w:val="FBA99ADA"/>
    <w:rsid w:val="FCC3CB7A"/>
    <w:rsid w:val="FCE78630"/>
    <w:rsid w:val="FCF6B7C6"/>
    <w:rsid w:val="FD7BE3F5"/>
    <w:rsid w:val="FDB82AC7"/>
    <w:rsid w:val="FEFF0540"/>
    <w:rsid w:val="FFF6DAF8"/>
    <w:rsid w:val="FFF781F3"/>
    <w:rsid w:val="FFFB6AAC"/>
    <w:rsid w:val="FFFFE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2"/>
      <w:sz w:val="48"/>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4"/>
    <w:basedOn w:val="2"/>
    <w:next w:val="1"/>
    <w:qFormat/>
    <w:uiPriority w:val="0"/>
    <w:pPr>
      <w:keepNext/>
      <w:keepLines/>
      <w:spacing w:line="360" w:lineRule="auto"/>
      <w:outlineLvl w:val="3"/>
    </w:pPr>
    <w:rPr>
      <w:rFonts w:ascii="Cambria" w:hAnsi="Cambria" w:eastAsia="仿宋_GB2312"/>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rPr>
      <w:szCs w:val="20"/>
    </w:rPr>
  </w:style>
  <w:style w:type="paragraph" w:styleId="5">
    <w:name w:val="Body Text"/>
    <w:basedOn w:val="1"/>
    <w:link w:val="24"/>
    <w:qFormat/>
    <w:uiPriority w:val="0"/>
    <w:pPr>
      <w:spacing w:before="93" w:beforeLines="30"/>
    </w:pPr>
    <w:rPr>
      <w:rFonts w:ascii="仿宋_GB2312" w:eastAsia="仿宋_GB2312"/>
      <w:sz w:val="30"/>
    </w:rPr>
  </w:style>
  <w:style w:type="paragraph" w:styleId="6">
    <w:name w:val="Body Text Indent"/>
    <w:basedOn w:val="1"/>
    <w:unhideWhenUsed/>
    <w:qFormat/>
    <w:uiPriority w:val="99"/>
    <w:pPr>
      <w:spacing w:after="120"/>
      <w:ind w:left="420" w:leftChars="200"/>
    </w:pPr>
  </w:style>
  <w:style w:type="paragraph" w:styleId="7">
    <w:name w:val="Body Text Indent 2"/>
    <w:basedOn w:val="1"/>
    <w:semiHidden/>
    <w:qFormat/>
    <w:uiPriority w:val="99"/>
    <w:pPr>
      <w:spacing w:after="120" w:line="480" w:lineRule="auto"/>
      <w:ind w:left="420" w:leftChars="200" w:firstLine="880" w:firstLineChars="200"/>
    </w:pPr>
    <w:rPr>
      <w:rFonts w:eastAsia="仿宋_GB2312"/>
      <w:sz w:val="32"/>
      <w:szCs w:val="21"/>
    </w:rPr>
  </w:style>
  <w:style w:type="paragraph" w:styleId="8">
    <w:name w:val="Balloon Text"/>
    <w:basedOn w:val="1"/>
    <w:qFormat/>
    <w:uiPriority w:val="0"/>
    <w:rPr>
      <w:sz w:val="18"/>
      <w:szCs w:val="18"/>
    </w:rPr>
  </w:style>
  <w:style w:type="paragraph" w:styleId="9">
    <w:name w:val="footer"/>
    <w:basedOn w:val="1"/>
    <w:next w:val="10"/>
    <w:link w:val="23"/>
    <w:unhideWhenUsed/>
    <w:qFormat/>
    <w:uiPriority w:val="99"/>
    <w:pPr>
      <w:tabs>
        <w:tab w:val="center" w:pos="4153"/>
        <w:tab w:val="right" w:pos="8306"/>
      </w:tabs>
      <w:snapToGrid w:val="0"/>
      <w:jc w:val="left"/>
    </w:pPr>
    <w:rPr>
      <w:sz w:val="18"/>
      <w:szCs w:val="18"/>
    </w:rPr>
  </w:style>
  <w:style w:type="paragraph" w:styleId="10">
    <w:name w:val="index 9"/>
    <w:basedOn w:val="1"/>
    <w:next w:val="1"/>
    <w:qFormat/>
    <w:uiPriority w:val="0"/>
    <w:pPr>
      <w:spacing w:line="576" w:lineRule="exact"/>
      <w:ind w:left="3360" w:firstLine="200" w:firstLineChars="200"/>
      <w:jc w:val="left"/>
    </w:pPr>
    <w:rPr>
      <w:rFonts w:ascii="黑体" w:eastAsia="黑体" w:cs="Arial"/>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rPr>
  </w:style>
  <w:style w:type="paragraph" w:styleId="13">
    <w:name w:val="Body Text First Indent 2"/>
    <w:basedOn w:val="6"/>
    <w:next w:val="1"/>
    <w:unhideWhenUsed/>
    <w:qFormat/>
    <w:uiPriority w:val="99"/>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Emphasis"/>
    <w:basedOn w:val="16"/>
    <w:qFormat/>
    <w:uiPriority w:val="20"/>
  </w:style>
  <w:style w:type="paragraph" w:customStyle="1" w:styleId="19">
    <w:name w:val="章标题"/>
    <w:basedOn w:val="1"/>
    <w:next w:val="20"/>
    <w:qFormat/>
    <w:uiPriority w:val="0"/>
    <w:pPr>
      <w:widowControl/>
      <w:spacing w:before="158" w:after="153" w:line="323" w:lineRule="atLeast"/>
      <w:ind w:right="-120"/>
      <w:jc w:val="center"/>
      <w:textAlignment w:val="baseline"/>
    </w:pPr>
    <w:rPr>
      <w:rFonts w:ascii="Times New Roman" w:hAnsi="Times New Roman" w:eastAsia="宋体" w:cs="Times New Roman"/>
      <w:color w:val="FF0000"/>
      <w:sz w:val="18"/>
    </w:rPr>
  </w:style>
  <w:style w:type="paragraph" w:customStyle="1" w:styleId="20">
    <w:name w:val="节标题"/>
    <w:basedOn w:val="1"/>
    <w:next w:val="1"/>
    <w:qFormat/>
    <w:uiPriority w:val="0"/>
    <w:pPr>
      <w:widowControl/>
      <w:spacing w:line="289" w:lineRule="atLeast"/>
      <w:jc w:val="center"/>
      <w:textAlignment w:val="baseline"/>
    </w:pPr>
    <w:rPr>
      <w:rFonts w:ascii="Times New Roman" w:hAnsi="Times New Roman" w:eastAsia="宋体" w:cs="Times New Roman"/>
      <w:color w:val="000000"/>
      <w:sz w:val="28"/>
    </w:rPr>
  </w:style>
  <w:style w:type="paragraph" w:styleId="21">
    <w:name w:val="List Paragraph"/>
    <w:basedOn w:val="1"/>
    <w:qFormat/>
    <w:uiPriority w:val="34"/>
    <w:pPr>
      <w:ind w:firstLine="420" w:firstLineChars="200"/>
    </w:pPr>
  </w:style>
  <w:style w:type="character" w:customStyle="1" w:styleId="22">
    <w:name w:val="页眉 Char"/>
    <w:basedOn w:val="16"/>
    <w:link w:val="11"/>
    <w:qFormat/>
    <w:uiPriority w:val="99"/>
    <w:rPr>
      <w:rFonts w:ascii="宋体" w:hAnsi="Times New Roman" w:eastAsia="宋体" w:cs="Times New Roman"/>
      <w:sz w:val="18"/>
      <w:szCs w:val="18"/>
    </w:rPr>
  </w:style>
  <w:style w:type="character" w:customStyle="1" w:styleId="23">
    <w:name w:val="页脚 Char"/>
    <w:basedOn w:val="16"/>
    <w:link w:val="9"/>
    <w:qFormat/>
    <w:uiPriority w:val="99"/>
    <w:rPr>
      <w:rFonts w:ascii="宋体" w:hAnsi="Times New Roman" w:eastAsia="宋体" w:cs="Times New Roman"/>
      <w:sz w:val="18"/>
      <w:szCs w:val="18"/>
    </w:rPr>
  </w:style>
  <w:style w:type="character" w:customStyle="1" w:styleId="24">
    <w:name w:val="正文文本 Char"/>
    <w:basedOn w:val="16"/>
    <w:link w:val="5"/>
    <w:qFormat/>
    <w:uiPriority w:val="0"/>
    <w:rPr>
      <w:rFonts w:ascii="仿宋_GB2312" w:hAnsi="Times New Roman" w:eastAsia="仿宋_GB2312" w:cs="Times New Roman"/>
      <w:kern w:val="2"/>
      <w:sz w:val="30"/>
      <w:szCs w:val="24"/>
    </w:rPr>
  </w:style>
  <w:style w:type="character" w:customStyle="1" w:styleId="25">
    <w:name w:val="ca-2"/>
    <w:basedOn w:val="16"/>
    <w:qFormat/>
    <w:uiPriority w:val="0"/>
    <w:rPr>
      <w:rFonts w:cs="Times New Roman"/>
    </w:rPr>
  </w:style>
  <w:style w:type="paragraph" w:customStyle="1" w:styleId="26">
    <w:name w:val="BodyText1I2"/>
    <w:basedOn w:val="27"/>
    <w:qFormat/>
    <w:uiPriority w:val="0"/>
    <w:pPr>
      <w:ind w:firstLine="420" w:firstLineChars="200"/>
    </w:pPr>
  </w:style>
  <w:style w:type="paragraph" w:customStyle="1" w:styleId="27">
    <w:name w:val="BodyTextIndent"/>
    <w:basedOn w:val="1"/>
    <w:qFormat/>
    <w:uiPriority w:val="0"/>
    <w:pPr>
      <w:spacing w:after="120"/>
      <w:ind w:left="420" w:leftChars="200"/>
      <w:textAlignment w:val="baseline"/>
    </w:p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15</Pages>
  <Words>6515</Words>
  <Characters>6869</Characters>
  <Lines>37</Lines>
  <Paragraphs>10</Paragraphs>
  <TotalTime>261</TotalTime>
  <ScaleCrop>false</ScaleCrop>
  <LinksUpToDate>false</LinksUpToDate>
  <CharactersWithSpaces>6987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2017-10-20T19:21:00Z</dcterms:created>
  <dc:creator>null,null,总收发</dc:creator>
  <cp:lastModifiedBy>bogi</cp:lastModifiedBy>
  <cp:lastPrinted>2019-02-25T22:30:00Z</cp:lastPrinted>
  <dcterms:modified xsi:type="dcterms:W3CDTF">2025-01-26T06:16:49Z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7E3B86E732074E679FD808B845C60904_13</vt:lpwstr>
  </property>
  <property fmtid="{D5CDD505-2E9C-101B-9397-08002B2CF9AE}" pid="4" name="KSOTemplateDocerSaveRecord">
    <vt:lpwstr>eyJoZGlkIjoiMGQyNTRkOTU5YTI2MDhjYzEzMWEyZGI2OWJkYTNjN2IiLCJ1c2VySWQiOiIzOTQzNDg3ODgifQ==</vt:lpwstr>
  </property>
</Properties>
</file>