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EC6DD">
      <w:pPr>
        <w:pStyle w:val="8"/>
        <w:keepNext w:val="0"/>
        <w:keepLines w:val="0"/>
        <w:pageBreakBefore w:val="0"/>
        <w:widowControl w:val="0"/>
        <w:kinsoku/>
        <w:wordWrap/>
        <w:overflowPunct/>
        <w:topLinePunct/>
        <w:autoSpaceDE/>
        <w:autoSpaceDN/>
        <w:bidi w:val="0"/>
        <w:spacing w:before="93"/>
        <w:outlineLvl w:val="9"/>
      </w:pPr>
      <w:bookmarkStart w:id="173" w:name="_GoBack"/>
      <w:bookmarkEnd w:id="173"/>
      <w:bookmarkStart w:id="0" w:name="_Toc15378441"/>
      <w:bookmarkStart w:id="1" w:name="_Toc15377193"/>
      <w:bookmarkStart w:id="2" w:name="_Toc15396597"/>
      <w:bookmarkStart w:id="3" w:name="_Toc15377425"/>
      <w:bookmarkStart w:id="4" w:name="_Toc15396475"/>
      <w:bookmarkStart w:id="5" w:name="_Toc15306267"/>
    </w:p>
    <w:p w14:paraId="19240375">
      <w:pPr>
        <w:keepNext w:val="0"/>
        <w:keepLines w:val="0"/>
        <w:pageBreakBefore w:val="0"/>
        <w:widowControl w:val="0"/>
        <w:kinsoku/>
        <w:wordWrap/>
        <w:overflowPunct/>
        <w:topLinePunct/>
        <w:autoSpaceDE/>
        <w:autoSpaceDN/>
        <w:bidi w:val="0"/>
        <w:spacing w:line="600" w:lineRule="exact"/>
        <w:jc w:val="center"/>
        <w:outlineLvl w:val="9"/>
        <w:rPr>
          <w:rFonts w:ascii="方正小标宋简体" w:hAnsi="宋体" w:eastAsia="方正小标宋简体"/>
          <w:sz w:val="72"/>
          <w:szCs w:val="72"/>
        </w:rPr>
      </w:pPr>
    </w:p>
    <w:p w14:paraId="55790021">
      <w:pPr>
        <w:keepNext w:val="0"/>
        <w:keepLines w:val="0"/>
        <w:pageBreakBefore w:val="0"/>
        <w:widowControl w:val="0"/>
        <w:kinsoku/>
        <w:wordWrap/>
        <w:overflowPunct/>
        <w:topLinePunct/>
        <w:autoSpaceDE/>
        <w:autoSpaceDN/>
        <w:bidi w:val="0"/>
        <w:spacing w:line="600" w:lineRule="exact"/>
        <w:jc w:val="center"/>
        <w:outlineLvl w:val="9"/>
        <w:rPr>
          <w:rFonts w:ascii="方正小标宋简体" w:hAnsi="宋体" w:eastAsia="方正小标宋简体"/>
          <w:sz w:val="72"/>
          <w:szCs w:val="72"/>
        </w:rPr>
      </w:pPr>
    </w:p>
    <w:p w14:paraId="7595DDEB">
      <w:pPr>
        <w:keepNext w:val="0"/>
        <w:keepLines w:val="0"/>
        <w:pageBreakBefore w:val="0"/>
        <w:widowControl w:val="0"/>
        <w:kinsoku/>
        <w:wordWrap/>
        <w:overflowPunct/>
        <w:topLinePunct/>
        <w:autoSpaceDE/>
        <w:autoSpaceDN/>
        <w:bidi w:val="0"/>
        <w:adjustRightInd w:val="0"/>
        <w:snapToGrid w:val="0"/>
        <w:spacing w:line="360" w:lineRule="auto"/>
        <w:jc w:val="center"/>
        <w:outlineLvl w:val="9"/>
        <w:rPr>
          <w:rFonts w:ascii="方正小标宋简体" w:hAnsi="方正小标宋简体" w:eastAsia="方正小标宋简体" w:cs="方正小标宋简体"/>
          <w:sz w:val="72"/>
          <w:szCs w:val="72"/>
        </w:rPr>
      </w:pPr>
      <w:bookmarkStart w:id="6" w:name="_Toc2739"/>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3</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bookmarkEnd w:id="6"/>
    </w:p>
    <w:p w14:paraId="70DDC132">
      <w:pPr>
        <w:keepNext w:val="0"/>
        <w:keepLines w:val="0"/>
        <w:pageBreakBefore w:val="0"/>
        <w:widowControl w:val="0"/>
        <w:kinsoku/>
        <w:wordWrap/>
        <w:overflowPunct/>
        <w:topLinePunct/>
        <w:autoSpaceDE/>
        <w:autoSpaceDN/>
        <w:bidi w:val="0"/>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30975"/>
      <w:bookmarkStart w:id="8" w:name="_Toc15396476"/>
      <w:bookmarkStart w:id="9" w:name="_Toc15378442"/>
      <w:bookmarkStart w:id="10" w:name="_Toc29036"/>
      <w:bookmarkStart w:id="11" w:name="_Toc15396598"/>
      <w:bookmarkStart w:id="12" w:name="_Toc7549"/>
      <w:bookmarkStart w:id="13" w:name="_Toc15377426"/>
      <w:bookmarkStart w:id="14" w:name="_Toc15377194"/>
      <w:r>
        <w:rPr>
          <w:rFonts w:hint="eastAsia" w:ascii="方正小标宋简体" w:hAnsi="方正小标宋简体" w:eastAsia="方正小标宋简体" w:cs="方正小标宋简体"/>
          <w:sz w:val="72"/>
          <w:szCs w:val="72"/>
        </w:rPr>
        <w:t>四川省</w:t>
      </w:r>
      <w:bookmarkEnd w:id="5"/>
      <w:bookmarkStart w:id="15" w:name="_Toc15306268"/>
      <w:r>
        <w:rPr>
          <w:rFonts w:hint="eastAsia" w:ascii="方正小标宋简体" w:hAnsi="方正小标宋简体" w:eastAsia="方正小标宋简体" w:cs="方正小标宋简体"/>
          <w:sz w:val="72"/>
          <w:szCs w:val="72"/>
          <w:lang w:val="en-US" w:eastAsia="zh-CN"/>
        </w:rPr>
        <w:t>德阳市罗江区新盛镇人民政府</w:t>
      </w:r>
      <w:r>
        <w:rPr>
          <w:rFonts w:hint="eastAsia" w:ascii="方正小标宋简体" w:hAnsi="方正小标宋简体" w:eastAsia="方正小标宋简体" w:cs="方正小标宋简体"/>
          <w:sz w:val="72"/>
          <w:szCs w:val="72"/>
        </w:rPr>
        <w:t>部门决算</w:t>
      </w:r>
      <w:bookmarkEnd w:id="7"/>
      <w:bookmarkEnd w:id="8"/>
      <w:bookmarkEnd w:id="9"/>
      <w:bookmarkEnd w:id="10"/>
      <w:bookmarkEnd w:id="11"/>
      <w:bookmarkEnd w:id="12"/>
      <w:bookmarkEnd w:id="13"/>
      <w:bookmarkEnd w:id="14"/>
      <w:bookmarkEnd w:id="15"/>
    </w:p>
    <w:p w14:paraId="08CFDEF3">
      <w:pPr>
        <w:keepNext w:val="0"/>
        <w:keepLines w:val="0"/>
        <w:pageBreakBefore w:val="0"/>
        <w:widowControl w:val="0"/>
        <w:kinsoku/>
        <w:wordWrap/>
        <w:overflowPunct/>
        <w:topLinePunct/>
        <w:autoSpaceDE/>
        <w:autoSpaceDN/>
        <w:bidi w:val="0"/>
        <w:jc w:val="center"/>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14:paraId="529DC325">
      <w:pPr>
        <w:keepNext w:val="0"/>
        <w:keepLines w:val="0"/>
        <w:pageBreakBefore w:val="0"/>
        <w:widowControl w:val="0"/>
        <w:kinsoku/>
        <w:wordWrap/>
        <w:overflowPunct/>
        <w:topLinePunct/>
        <w:autoSpaceDE/>
        <w:autoSpaceDN/>
        <w:bidi w:val="0"/>
        <w:jc w:val="center"/>
        <w:rPr>
          <w:rFonts w:ascii="黑体" w:hAnsi="黑体" w:eastAsia="黑体"/>
          <w:sz w:val="48"/>
          <w:szCs w:val="48"/>
        </w:rPr>
      </w:pPr>
      <w:r>
        <w:rPr>
          <w:rFonts w:hint="eastAsia" w:ascii="黑体" w:hAnsi="黑体" w:eastAsia="黑体"/>
          <w:sz w:val="48"/>
          <w:szCs w:val="48"/>
        </w:rPr>
        <w:t>目</w:t>
      </w:r>
      <w:r>
        <w:rPr>
          <w:rFonts w:hint="eastAsia" w:ascii="黑体" w:hAnsi="黑体" w:eastAsia="黑体"/>
          <w:sz w:val="48"/>
          <w:szCs w:val="48"/>
          <w:lang w:val="en-US" w:eastAsia="zh-CN"/>
        </w:rPr>
        <w:t xml:space="preserve">  </w:t>
      </w:r>
      <w:r>
        <w:rPr>
          <w:rFonts w:hint="eastAsia" w:ascii="黑体" w:hAnsi="黑体" w:eastAsia="黑体"/>
          <w:sz w:val="48"/>
          <w:szCs w:val="48"/>
        </w:rPr>
        <w:t>录</w:t>
      </w:r>
    </w:p>
    <w:p w14:paraId="0AFC927C">
      <w:pPr>
        <w:pStyle w:val="13"/>
        <w:keepNext w:val="0"/>
        <w:keepLines w:val="0"/>
        <w:pageBreakBefore w:val="0"/>
        <w:widowControl w:val="0"/>
        <w:kinsoku/>
        <w:wordWrap/>
        <w:overflowPunct/>
        <w:topLinePunct/>
        <w:autoSpaceDE/>
        <w:autoSpaceDN/>
        <w:bidi w:val="0"/>
        <w:rPr>
          <w:highlight w:val="none"/>
        </w:rPr>
      </w:pPr>
      <w:r>
        <w:rPr>
          <w:rFonts w:hint="eastAsia"/>
          <w:highlight w:val="none"/>
        </w:rPr>
        <w:t>公开时间：202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28</w:t>
      </w:r>
      <w:r>
        <w:rPr>
          <w:rFonts w:hint="eastAsia"/>
          <w:highlight w:val="none"/>
        </w:rPr>
        <w:t>日</w:t>
      </w:r>
    </w:p>
    <w:sdt>
      <w:sdtPr>
        <w:rPr>
          <w:rFonts w:ascii="宋体" w:hAnsi="宋体" w:eastAsia="宋体" w:cs="Times New Roman"/>
          <w:kern w:val="2"/>
          <w:sz w:val="21"/>
          <w:szCs w:val="24"/>
          <w:lang w:val="en-US" w:eastAsia="zh-CN" w:bidi="ar-SA"/>
        </w:rPr>
        <w:id w:val="147482887"/>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694383EB">
          <w:pPr>
            <w:spacing w:before="0" w:beforeLines="0" w:after="0" w:afterLines="0" w:line="240" w:lineRule="auto"/>
            <w:ind w:left="0" w:leftChars="0" w:right="0" w:rightChars="0" w:firstLine="0" w:firstLineChars="0"/>
            <w:jc w:val="center"/>
          </w:pPr>
        </w:p>
        <w:p w14:paraId="30AFFE93">
          <w:pPr>
            <w:pStyle w:val="45"/>
            <w:tabs>
              <w:tab w:val="right" w:leader="dot" w:pos="8306"/>
            </w:tabs>
            <w:rPr>
              <w:rFonts w:hint="eastAsia" w:ascii="仿宋" w:hAnsi="仿宋" w:eastAsia="仿宋" w:cs="仿宋"/>
              <w:b/>
              <w:sz w:val="24"/>
              <w:szCs w:val="24"/>
            </w:rPr>
          </w:pPr>
          <w:r>
            <w:rPr>
              <w:b/>
            </w:rPr>
            <w:fldChar w:fldCharType="begin"/>
          </w:r>
          <w:r>
            <w:rPr>
              <w:b/>
            </w:rPr>
            <w:instrText xml:space="preserve">TOC \o "1-2" \h \u </w:instrText>
          </w:r>
          <w:r>
            <w:rPr>
              <w:b/>
            </w:rPr>
            <w:fldChar w:fldCharType="separate"/>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_Toc5732 </w:instrText>
          </w:r>
          <w:r>
            <w:rPr>
              <w:rFonts w:hint="eastAsia" w:ascii="仿宋" w:hAnsi="仿宋" w:eastAsia="仿宋" w:cs="仿宋"/>
              <w:b/>
              <w:sz w:val="24"/>
              <w:szCs w:val="24"/>
            </w:rPr>
            <w:fldChar w:fldCharType="separate"/>
          </w:r>
          <w:r>
            <w:rPr>
              <w:rFonts w:hint="eastAsia" w:ascii="仿宋" w:hAnsi="仿宋" w:eastAsia="仿宋" w:cs="仿宋"/>
              <w:b/>
              <w:sz w:val="24"/>
              <w:szCs w:val="24"/>
            </w:rPr>
            <w:t xml:space="preserve">第一部分 </w:t>
          </w:r>
          <w:r>
            <w:rPr>
              <w:rFonts w:hint="eastAsia" w:ascii="仿宋" w:hAnsi="仿宋" w:eastAsia="仿宋" w:cs="仿宋"/>
              <w:b/>
              <w:bCs w:val="0"/>
              <w:sz w:val="24"/>
              <w:szCs w:val="24"/>
            </w:rPr>
            <w:t>部门概况</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_Toc5732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1</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47C41B38">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_Toc3874 </w:instrText>
          </w:r>
          <w:r>
            <w:rPr>
              <w:rFonts w:hint="eastAsia" w:ascii="仿宋" w:hAnsi="仿宋" w:eastAsia="仿宋" w:cs="仿宋"/>
              <w:sz w:val="24"/>
              <w:szCs w:val="24"/>
            </w:rPr>
            <w:fldChar w:fldCharType="separate"/>
          </w:r>
          <w:r>
            <w:rPr>
              <w:rFonts w:hint="eastAsia" w:ascii="仿宋" w:hAnsi="仿宋" w:eastAsia="仿宋" w:cs="仿宋"/>
              <w:sz w:val="24"/>
              <w:szCs w:val="24"/>
            </w:rPr>
            <w:t>一、部门职责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_Toc3874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6561042">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_Toc2854 </w:instrText>
          </w:r>
          <w:r>
            <w:rPr>
              <w:rFonts w:hint="eastAsia" w:ascii="仿宋" w:hAnsi="仿宋" w:eastAsia="仿宋" w:cs="仿宋"/>
              <w:sz w:val="24"/>
              <w:szCs w:val="24"/>
            </w:rPr>
            <w:fldChar w:fldCharType="separate"/>
          </w:r>
          <w:r>
            <w:rPr>
              <w:rFonts w:hint="eastAsia" w:ascii="仿宋" w:hAnsi="仿宋" w:eastAsia="仿宋" w:cs="仿宋"/>
              <w:sz w:val="24"/>
              <w:szCs w:val="24"/>
            </w:rPr>
            <w:t>二、机</w:t>
          </w:r>
          <w:r>
            <w:rPr>
              <w:rFonts w:hint="eastAsia" w:ascii="仿宋" w:hAnsi="仿宋" w:eastAsia="仿宋" w:cs="仿宋"/>
              <w:bCs w:val="0"/>
              <w:sz w:val="24"/>
              <w:szCs w:val="24"/>
            </w:rPr>
            <w:t>构设置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_Toc2854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0819877">
          <w:pPr>
            <w:pStyle w:val="45"/>
            <w:tabs>
              <w:tab w:val="right" w:leader="dot" w:pos="8306"/>
            </w:tabs>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_Toc19660 </w:instrText>
          </w:r>
          <w:r>
            <w:rPr>
              <w:rFonts w:hint="eastAsia" w:ascii="仿宋" w:hAnsi="仿宋" w:eastAsia="仿宋" w:cs="仿宋"/>
              <w:b/>
              <w:sz w:val="24"/>
              <w:szCs w:val="24"/>
            </w:rPr>
            <w:fldChar w:fldCharType="separate"/>
          </w:r>
          <w:r>
            <w:rPr>
              <w:rFonts w:hint="eastAsia" w:ascii="仿宋" w:hAnsi="仿宋" w:eastAsia="仿宋" w:cs="仿宋"/>
              <w:b/>
              <w:sz w:val="24"/>
              <w:szCs w:val="24"/>
            </w:rPr>
            <w:t>第二部分 2023年度</w:t>
          </w:r>
          <w:r>
            <w:rPr>
              <w:rFonts w:hint="eastAsia" w:ascii="仿宋" w:hAnsi="仿宋" w:eastAsia="仿宋" w:cs="仿宋"/>
              <w:b/>
              <w:bCs/>
              <w:sz w:val="24"/>
              <w:szCs w:val="24"/>
            </w:rPr>
            <w:t>部门决算情况说明</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_Toc19660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5</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5E7B635E">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_Toc28021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一、 </w:t>
          </w:r>
          <w:r>
            <w:rPr>
              <w:rFonts w:hint="eastAsia" w:ascii="仿宋" w:hAnsi="仿宋" w:eastAsia="仿宋" w:cs="仿宋"/>
              <w:sz w:val="24"/>
              <w:szCs w:val="44"/>
            </w:rPr>
            <w:t>收</w:t>
          </w:r>
          <w:r>
            <w:rPr>
              <w:rFonts w:hint="eastAsia" w:ascii="仿宋" w:hAnsi="仿宋" w:eastAsia="仿宋" w:cs="仿宋"/>
              <w:sz w:val="24"/>
              <w:szCs w:val="24"/>
            </w:rPr>
            <w:t>入支出决算总体情况说明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_Toc28021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CDB4B25">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_Toc1692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二、 </w:t>
          </w:r>
          <w:r>
            <w:rPr>
              <w:rFonts w:hint="eastAsia" w:ascii="仿宋" w:hAnsi="仿宋" w:eastAsia="仿宋" w:cs="仿宋"/>
              <w:sz w:val="24"/>
              <w:szCs w:val="44"/>
            </w:rPr>
            <w:t>收</w:t>
          </w:r>
          <w:r>
            <w:rPr>
              <w:rFonts w:hint="eastAsia" w:ascii="仿宋" w:hAnsi="仿宋" w:eastAsia="仿宋" w:cs="仿宋"/>
              <w:sz w:val="24"/>
              <w:szCs w:val="24"/>
            </w:rPr>
            <w:t>入决算情况说明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_Toc1692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AE2706E">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_Toc1524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三、 </w:t>
          </w:r>
          <w:r>
            <w:rPr>
              <w:rFonts w:hint="eastAsia" w:ascii="仿宋" w:hAnsi="仿宋" w:eastAsia="仿宋" w:cs="仿宋"/>
              <w:sz w:val="24"/>
              <w:szCs w:val="44"/>
            </w:rPr>
            <w:t>支</w:t>
          </w:r>
          <w:r>
            <w:rPr>
              <w:rFonts w:hint="eastAsia" w:ascii="仿宋" w:hAnsi="仿宋" w:eastAsia="仿宋" w:cs="仿宋"/>
              <w:sz w:val="24"/>
              <w:szCs w:val="24"/>
            </w:rPr>
            <w:t>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_Toc1524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F59B332">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_Toc13047 </w:instrText>
          </w:r>
          <w:r>
            <w:rPr>
              <w:rFonts w:hint="eastAsia" w:ascii="仿宋" w:hAnsi="仿宋" w:eastAsia="仿宋" w:cs="仿宋"/>
              <w:sz w:val="24"/>
              <w:szCs w:val="24"/>
            </w:rPr>
            <w:fldChar w:fldCharType="separate"/>
          </w:r>
          <w:r>
            <w:rPr>
              <w:rFonts w:hint="eastAsia" w:ascii="仿宋" w:hAnsi="仿宋" w:eastAsia="仿宋" w:cs="仿宋"/>
              <w:sz w:val="24"/>
              <w:szCs w:val="44"/>
            </w:rPr>
            <w:t>四、财</w:t>
          </w:r>
          <w:r>
            <w:rPr>
              <w:rFonts w:hint="eastAsia" w:ascii="仿宋" w:hAnsi="仿宋" w:eastAsia="仿宋" w:cs="仿宋"/>
              <w:sz w:val="24"/>
              <w:szCs w:val="24"/>
            </w:rPr>
            <w:t>政拨款收入支出决算总体情况说明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_Toc13047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13C6486">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_Toc18554 </w:instrText>
          </w:r>
          <w:r>
            <w:rPr>
              <w:rFonts w:hint="eastAsia" w:ascii="仿宋" w:hAnsi="仿宋" w:eastAsia="仿宋" w:cs="仿宋"/>
              <w:sz w:val="24"/>
              <w:szCs w:val="24"/>
            </w:rPr>
            <w:fldChar w:fldCharType="separate"/>
          </w:r>
          <w:r>
            <w:rPr>
              <w:rFonts w:hint="eastAsia" w:ascii="仿宋" w:hAnsi="仿宋" w:eastAsia="仿宋" w:cs="仿宋"/>
              <w:sz w:val="24"/>
              <w:szCs w:val="44"/>
              <w:highlight w:val="none"/>
            </w:rPr>
            <w:t>五、一</w:t>
          </w:r>
          <w:r>
            <w:rPr>
              <w:rFonts w:hint="eastAsia" w:ascii="仿宋" w:hAnsi="仿宋" w:eastAsia="仿宋" w:cs="仿宋"/>
              <w:sz w:val="24"/>
              <w:szCs w:val="24"/>
              <w:highlight w:val="none"/>
            </w:rPr>
            <w:t>般公共预算财政拨款支出决算情况说明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_Toc18554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496B69F">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_Toc6459 </w:instrText>
          </w:r>
          <w:r>
            <w:rPr>
              <w:rFonts w:hint="eastAsia" w:ascii="仿宋" w:hAnsi="仿宋" w:eastAsia="仿宋" w:cs="仿宋"/>
              <w:sz w:val="24"/>
              <w:szCs w:val="24"/>
            </w:rPr>
            <w:fldChar w:fldCharType="separate"/>
          </w:r>
          <w:r>
            <w:rPr>
              <w:rFonts w:hint="eastAsia" w:ascii="仿宋" w:hAnsi="仿宋" w:eastAsia="仿宋" w:cs="仿宋"/>
              <w:sz w:val="24"/>
              <w:szCs w:val="44"/>
            </w:rPr>
            <w:t>六、一</w:t>
          </w:r>
          <w:r>
            <w:rPr>
              <w:rFonts w:hint="eastAsia" w:ascii="仿宋" w:hAnsi="仿宋" w:eastAsia="仿宋" w:cs="仿宋"/>
              <w:sz w:val="24"/>
              <w:szCs w:val="24"/>
            </w:rPr>
            <w:t>般公共预算财政拨款基本支出决算情况说明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_Toc6459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87805BB">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_Toc32333 </w:instrText>
          </w:r>
          <w:r>
            <w:rPr>
              <w:rFonts w:hint="eastAsia" w:ascii="仿宋" w:hAnsi="仿宋" w:eastAsia="仿宋" w:cs="仿宋"/>
              <w:sz w:val="24"/>
              <w:szCs w:val="24"/>
            </w:rPr>
            <w:fldChar w:fldCharType="separate"/>
          </w:r>
          <w:r>
            <w:rPr>
              <w:rFonts w:hint="eastAsia" w:ascii="仿宋" w:hAnsi="仿宋" w:eastAsia="仿宋" w:cs="仿宋"/>
              <w:sz w:val="24"/>
              <w:szCs w:val="44"/>
            </w:rPr>
            <w:t>七、</w:t>
          </w:r>
          <w:r>
            <w:rPr>
              <w:rFonts w:hint="eastAsia" w:ascii="仿宋" w:hAnsi="仿宋" w:eastAsia="仿宋" w:cs="仿宋"/>
              <w:sz w:val="24"/>
              <w:szCs w:val="24"/>
            </w:rPr>
            <w:t>财政拨款“三公”经费支出决算情况说明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_Toc32333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379FA13">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_Toc26503 </w:instrText>
          </w:r>
          <w:r>
            <w:rPr>
              <w:rFonts w:hint="eastAsia" w:ascii="仿宋" w:hAnsi="仿宋" w:eastAsia="仿宋" w:cs="仿宋"/>
              <w:sz w:val="24"/>
              <w:szCs w:val="24"/>
            </w:rPr>
            <w:fldChar w:fldCharType="separate"/>
          </w:r>
          <w:r>
            <w:rPr>
              <w:rFonts w:hint="eastAsia" w:ascii="仿宋" w:hAnsi="仿宋" w:eastAsia="仿宋" w:cs="仿宋"/>
              <w:sz w:val="24"/>
              <w:szCs w:val="44"/>
            </w:rPr>
            <w:t>八、</w:t>
          </w:r>
          <w:r>
            <w:rPr>
              <w:rFonts w:hint="eastAsia" w:ascii="仿宋" w:hAnsi="仿宋" w:eastAsia="仿宋" w:cs="仿宋"/>
              <w:sz w:val="24"/>
              <w:szCs w:val="24"/>
            </w:rPr>
            <w:t>政府性基金预算支出决算情况说明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_Toc26503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3F67CAE">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_Toc18231 </w:instrText>
          </w:r>
          <w:r>
            <w:rPr>
              <w:rFonts w:hint="eastAsia" w:ascii="仿宋" w:hAnsi="仿宋" w:eastAsia="仿宋" w:cs="仿宋"/>
              <w:sz w:val="24"/>
              <w:szCs w:val="24"/>
            </w:rPr>
            <w:fldChar w:fldCharType="separate"/>
          </w:r>
          <w:r>
            <w:rPr>
              <w:rFonts w:hint="eastAsia" w:ascii="仿宋" w:hAnsi="仿宋" w:eastAsia="仿宋" w:cs="仿宋"/>
              <w:sz w:val="24"/>
              <w:szCs w:val="24"/>
            </w:rPr>
            <w:t>九、 国有资本经营预算支出决算情况说明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_Toc18231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EAFC26A">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_Toc26628 </w:instrText>
          </w:r>
          <w:r>
            <w:rPr>
              <w:rFonts w:hint="eastAsia" w:ascii="仿宋" w:hAnsi="仿宋" w:eastAsia="仿宋" w:cs="仿宋"/>
              <w:sz w:val="24"/>
              <w:szCs w:val="24"/>
            </w:rPr>
            <w:fldChar w:fldCharType="separate"/>
          </w:r>
          <w:r>
            <w:rPr>
              <w:rFonts w:hint="eastAsia" w:ascii="仿宋" w:hAnsi="仿宋" w:eastAsia="仿宋" w:cs="仿宋"/>
              <w:sz w:val="24"/>
              <w:szCs w:val="24"/>
            </w:rPr>
            <w:t>十、 其他重要事项的情况说明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_Toc26628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335CA93">
          <w:pPr>
            <w:pStyle w:val="45"/>
            <w:tabs>
              <w:tab w:val="right" w:leader="dot" w:pos="8306"/>
            </w:tabs>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_Toc20534 </w:instrText>
          </w:r>
          <w:r>
            <w:rPr>
              <w:rFonts w:hint="eastAsia" w:ascii="仿宋" w:hAnsi="仿宋" w:eastAsia="仿宋" w:cs="仿宋"/>
              <w:b/>
              <w:sz w:val="24"/>
              <w:szCs w:val="24"/>
            </w:rPr>
            <w:fldChar w:fldCharType="separate"/>
          </w:r>
          <w:r>
            <w:rPr>
              <w:rFonts w:hint="eastAsia" w:ascii="仿宋" w:hAnsi="仿宋" w:eastAsia="仿宋" w:cs="仿宋"/>
              <w:b/>
              <w:sz w:val="24"/>
              <w:szCs w:val="24"/>
            </w:rPr>
            <w:t>第三部分 名词解释</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_Toc20534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16</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10359EC5">
          <w:pPr>
            <w:pStyle w:val="45"/>
            <w:tabs>
              <w:tab w:val="right" w:leader="dot" w:pos="8306"/>
            </w:tabs>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_Toc21729 </w:instrText>
          </w:r>
          <w:r>
            <w:rPr>
              <w:rFonts w:hint="eastAsia" w:ascii="仿宋" w:hAnsi="仿宋" w:eastAsia="仿宋" w:cs="仿宋"/>
              <w:b/>
              <w:sz w:val="24"/>
              <w:szCs w:val="24"/>
            </w:rPr>
            <w:fldChar w:fldCharType="separate"/>
          </w:r>
          <w:r>
            <w:rPr>
              <w:rFonts w:hint="eastAsia" w:ascii="仿宋" w:hAnsi="仿宋" w:eastAsia="仿宋" w:cs="仿宋"/>
              <w:b/>
              <w:sz w:val="24"/>
              <w:szCs w:val="24"/>
            </w:rPr>
            <w:t>第四部分 附件</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_Toc21729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19</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41D29843">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_Toc19109 </w:instrText>
          </w:r>
          <w:r>
            <w:rPr>
              <w:rFonts w:hint="eastAsia" w:ascii="仿宋" w:hAnsi="仿宋" w:eastAsia="仿宋" w:cs="仿宋"/>
              <w:sz w:val="24"/>
              <w:szCs w:val="24"/>
            </w:rPr>
            <w:fldChar w:fldCharType="separate"/>
          </w:r>
          <w:r>
            <w:rPr>
              <w:rFonts w:hint="eastAsia" w:ascii="仿宋" w:hAnsi="仿宋" w:eastAsia="仿宋" w:cs="仿宋"/>
              <w:sz w:val="24"/>
              <w:szCs w:val="44"/>
            </w:rPr>
            <w:t>附件1</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_Toc19109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58EEAC1">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_Toc11045 </w:instrText>
          </w:r>
          <w:r>
            <w:rPr>
              <w:rFonts w:hint="eastAsia" w:ascii="仿宋" w:hAnsi="仿宋" w:eastAsia="仿宋" w:cs="仿宋"/>
              <w:sz w:val="24"/>
              <w:szCs w:val="24"/>
            </w:rPr>
            <w:fldChar w:fldCharType="separate"/>
          </w:r>
          <w:r>
            <w:rPr>
              <w:rFonts w:hint="eastAsia" w:ascii="仿宋" w:hAnsi="仿宋" w:eastAsia="仿宋" w:cs="仿宋"/>
              <w:sz w:val="24"/>
              <w:szCs w:val="44"/>
            </w:rPr>
            <w:t>附件2</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_Toc11045 \h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27923F2">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_Toc13611 </w:instrText>
          </w:r>
          <w:r>
            <w:rPr>
              <w:rFonts w:hint="eastAsia" w:ascii="仿宋" w:hAnsi="仿宋" w:eastAsia="仿宋" w:cs="仿宋"/>
              <w:sz w:val="24"/>
              <w:szCs w:val="24"/>
            </w:rPr>
            <w:fldChar w:fldCharType="separate"/>
          </w:r>
          <w:r>
            <w:rPr>
              <w:rFonts w:hint="eastAsia" w:ascii="仿宋" w:hAnsi="仿宋" w:eastAsia="仿宋" w:cs="仿宋"/>
              <w:kern w:val="0"/>
              <w:sz w:val="24"/>
              <w:szCs w:val="56"/>
              <w:highlight w:val="none"/>
            </w:rPr>
            <w:t>202</w:t>
          </w:r>
          <w:r>
            <w:rPr>
              <w:rFonts w:hint="eastAsia" w:ascii="仿宋" w:hAnsi="仿宋" w:eastAsia="仿宋" w:cs="仿宋"/>
              <w:kern w:val="0"/>
              <w:sz w:val="24"/>
              <w:szCs w:val="56"/>
              <w:highlight w:val="none"/>
              <w:lang w:val="en-US" w:eastAsia="zh-CN"/>
            </w:rPr>
            <w:t>3</w:t>
          </w:r>
          <w:r>
            <w:rPr>
              <w:rFonts w:hint="eastAsia" w:ascii="仿宋" w:hAnsi="仿宋" w:eastAsia="仿宋" w:cs="仿宋"/>
              <w:kern w:val="0"/>
              <w:sz w:val="24"/>
              <w:szCs w:val="56"/>
              <w:highlight w:val="none"/>
            </w:rPr>
            <w:t>年新盛镇黄鹿水库移民后续补助资金</w:t>
          </w:r>
          <w:r>
            <w:rPr>
              <w:rFonts w:hint="eastAsia" w:ascii="仿宋" w:hAnsi="仿宋" w:eastAsia="仿宋" w:cs="仿宋"/>
              <w:kern w:val="0"/>
              <w:sz w:val="24"/>
              <w:szCs w:val="56"/>
              <w:highlight w:val="none"/>
              <w:lang w:val="en-US"/>
            </w:rPr>
            <w:t>预算项目绩效自评报告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_Toc13611 \h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65AD9FD">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_Toc1747 </w:instrText>
          </w:r>
          <w:r>
            <w:rPr>
              <w:rFonts w:hint="eastAsia" w:ascii="仿宋" w:hAnsi="仿宋" w:eastAsia="仿宋" w:cs="仿宋"/>
              <w:sz w:val="24"/>
              <w:szCs w:val="24"/>
            </w:rPr>
            <w:fldChar w:fldCharType="separate"/>
          </w:r>
          <w:r>
            <w:rPr>
              <w:rFonts w:hint="eastAsia" w:ascii="仿宋" w:hAnsi="仿宋" w:eastAsia="仿宋" w:cs="仿宋"/>
              <w:kern w:val="0"/>
              <w:sz w:val="24"/>
              <w:szCs w:val="56"/>
              <w:highlight w:val="none"/>
            </w:rPr>
            <w:t>202</w:t>
          </w:r>
          <w:r>
            <w:rPr>
              <w:rFonts w:hint="eastAsia" w:ascii="仿宋" w:hAnsi="仿宋" w:eastAsia="仿宋" w:cs="仿宋"/>
              <w:kern w:val="0"/>
              <w:sz w:val="24"/>
              <w:szCs w:val="56"/>
              <w:highlight w:val="none"/>
              <w:lang w:val="en-US" w:eastAsia="zh-CN"/>
            </w:rPr>
            <w:t>3</w:t>
          </w:r>
          <w:r>
            <w:rPr>
              <w:rFonts w:hint="eastAsia" w:ascii="仿宋" w:hAnsi="仿宋" w:eastAsia="仿宋" w:cs="仿宋"/>
              <w:kern w:val="0"/>
              <w:sz w:val="24"/>
              <w:szCs w:val="56"/>
              <w:highlight w:val="none"/>
            </w:rPr>
            <w:t>年新盛镇综合业务费</w:t>
          </w:r>
          <w:r>
            <w:rPr>
              <w:rFonts w:hint="eastAsia" w:ascii="仿宋" w:hAnsi="仿宋" w:eastAsia="仿宋" w:cs="仿宋"/>
              <w:kern w:val="0"/>
              <w:sz w:val="24"/>
              <w:szCs w:val="56"/>
              <w:highlight w:val="none"/>
              <w:lang w:val="en-US"/>
            </w:rPr>
            <w:t>预算项目绩效自评报告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_Toc1747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43E0BE0">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_Toc24915 </w:instrText>
          </w:r>
          <w:r>
            <w:rPr>
              <w:rFonts w:hint="eastAsia" w:ascii="仿宋" w:hAnsi="仿宋" w:eastAsia="仿宋" w:cs="仿宋"/>
              <w:sz w:val="24"/>
              <w:szCs w:val="24"/>
            </w:rPr>
            <w:fldChar w:fldCharType="separate"/>
          </w:r>
          <w:r>
            <w:rPr>
              <w:rFonts w:hint="eastAsia" w:ascii="仿宋" w:hAnsi="仿宋" w:eastAsia="仿宋" w:cs="仿宋"/>
              <w:sz w:val="24"/>
              <w:szCs w:val="56"/>
              <w:highlight w:val="none"/>
              <w:lang w:val="en-US" w:eastAsia="zh-CN"/>
            </w:rPr>
            <w:t>国有企业退休人员社会化管理中省补助资金项目2023年</w:t>
          </w:r>
          <w:r>
            <w:rPr>
              <w:rFonts w:hint="eastAsia" w:ascii="仿宋" w:hAnsi="仿宋" w:eastAsia="仿宋" w:cs="仿宋"/>
              <w:sz w:val="24"/>
              <w:szCs w:val="56"/>
              <w:highlight w:val="none"/>
              <w:lang w:val="zh-CN" w:eastAsia="zh-CN"/>
            </w:rPr>
            <w:t>绩效评价报告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_Toc24915 \h </w:instrText>
          </w:r>
          <w:r>
            <w:rPr>
              <w:rFonts w:hint="eastAsia" w:ascii="仿宋" w:hAnsi="仿宋" w:eastAsia="仿宋" w:cs="仿宋"/>
              <w:sz w:val="24"/>
              <w:szCs w:val="24"/>
            </w:rPr>
            <w:fldChar w:fldCharType="separate"/>
          </w:r>
          <w:r>
            <w:rPr>
              <w:rFonts w:hint="eastAsia" w:ascii="仿宋" w:hAnsi="仿宋" w:eastAsia="仿宋" w:cs="仿宋"/>
              <w:sz w:val="24"/>
              <w:szCs w:val="24"/>
            </w:rPr>
            <w:t>40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E0EEE0A">
          <w:pPr>
            <w:pStyle w:val="45"/>
            <w:tabs>
              <w:tab w:val="right" w:leader="dot" w:pos="8306"/>
            </w:tabs>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_Toc27967 </w:instrText>
          </w:r>
          <w:r>
            <w:rPr>
              <w:rFonts w:hint="eastAsia" w:ascii="仿宋" w:hAnsi="仿宋" w:eastAsia="仿宋" w:cs="仿宋"/>
              <w:b/>
              <w:sz w:val="24"/>
              <w:szCs w:val="24"/>
            </w:rPr>
            <w:fldChar w:fldCharType="separate"/>
          </w:r>
          <w:r>
            <w:rPr>
              <w:rFonts w:hint="eastAsia" w:ascii="仿宋" w:hAnsi="仿宋" w:eastAsia="仿宋" w:cs="仿宋"/>
              <w:b/>
              <w:sz w:val="24"/>
              <w:szCs w:val="24"/>
            </w:rPr>
            <w:t>第五部分 附表</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_Toc27967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45</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5181D40F">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_Toc23509 </w:instrText>
          </w:r>
          <w:r>
            <w:rPr>
              <w:rFonts w:hint="eastAsia" w:ascii="仿宋" w:hAnsi="仿宋" w:eastAsia="仿宋" w:cs="仿宋"/>
              <w:sz w:val="24"/>
              <w:szCs w:val="24"/>
            </w:rPr>
            <w:fldChar w:fldCharType="separate"/>
          </w:r>
          <w:r>
            <w:rPr>
              <w:rFonts w:hint="eastAsia" w:ascii="仿宋" w:hAnsi="仿宋" w:eastAsia="仿宋" w:cs="仿宋"/>
              <w:sz w:val="24"/>
              <w:szCs w:val="44"/>
            </w:rPr>
            <w:t>一、收入支出决算总表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_Toc23509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BE10742">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_Toc6688 </w:instrText>
          </w:r>
          <w:r>
            <w:rPr>
              <w:rFonts w:hint="eastAsia" w:ascii="仿宋" w:hAnsi="仿宋" w:eastAsia="仿宋" w:cs="仿宋"/>
              <w:sz w:val="24"/>
              <w:szCs w:val="24"/>
            </w:rPr>
            <w:fldChar w:fldCharType="separate"/>
          </w:r>
          <w:r>
            <w:rPr>
              <w:rFonts w:hint="eastAsia" w:ascii="仿宋" w:hAnsi="仿宋" w:eastAsia="仿宋" w:cs="仿宋"/>
              <w:sz w:val="24"/>
              <w:szCs w:val="44"/>
            </w:rPr>
            <w:t>二、收入决算表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_Toc6688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10F5147">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_Toc1545 </w:instrText>
          </w:r>
          <w:r>
            <w:rPr>
              <w:rFonts w:hint="eastAsia" w:ascii="仿宋" w:hAnsi="仿宋" w:eastAsia="仿宋" w:cs="仿宋"/>
              <w:sz w:val="24"/>
              <w:szCs w:val="24"/>
            </w:rPr>
            <w:fldChar w:fldCharType="separate"/>
          </w:r>
          <w:r>
            <w:rPr>
              <w:rFonts w:hint="eastAsia" w:ascii="仿宋" w:hAnsi="仿宋" w:eastAsia="仿宋" w:cs="仿宋"/>
              <w:sz w:val="24"/>
              <w:szCs w:val="44"/>
            </w:rPr>
            <w:t>三、支出决算表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_Toc1545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76D4BF7">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_Toc16159 </w:instrText>
          </w:r>
          <w:r>
            <w:rPr>
              <w:rFonts w:hint="eastAsia" w:ascii="仿宋" w:hAnsi="仿宋" w:eastAsia="仿宋" w:cs="仿宋"/>
              <w:sz w:val="24"/>
              <w:szCs w:val="24"/>
            </w:rPr>
            <w:fldChar w:fldCharType="separate"/>
          </w:r>
          <w:r>
            <w:rPr>
              <w:rFonts w:hint="eastAsia" w:ascii="仿宋" w:hAnsi="仿宋" w:eastAsia="仿宋" w:cs="仿宋"/>
              <w:sz w:val="24"/>
              <w:szCs w:val="44"/>
            </w:rPr>
            <w:t>四、财政拨款收入支出决算总表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_Toc16159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54EEF89">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_Toc2525 </w:instrText>
          </w:r>
          <w:r>
            <w:rPr>
              <w:rFonts w:hint="eastAsia" w:ascii="仿宋" w:hAnsi="仿宋" w:eastAsia="仿宋" w:cs="仿宋"/>
              <w:sz w:val="24"/>
              <w:szCs w:val="24"/>
            </w:rPr>
            <w:fldChar w:fldCharType="separate"/>
          </w:r>
          <w:r>
            <w:rPr>
              <w:rFonts w:hint="eastAsia" w:ascii="仿宋" w:hAnsi="仿宋" w:eastAsia="仿宋" w:cs="仿宋"/>
              <w:sz w:val="24"/>
              <w:szCs w:val="44"/>
            </w:rPr>
            <w:t>五、财政拨款支出决算明细表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_Toc2525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921872F">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_Toc16983 </w:instrText>
          </w:r>
          <w:r>
            <w:rPr>
              <w:rFonts w:hint="eastAsia" w:ascii="仿宋" w:hAnsi="仿宋" w:eastAsia="仿宋" w:cs="仿宋"/>
              <w:sz w:val="24"/>
              <w:szCs w:val="24"/>
            </w:rPr>
            <w:fldChar w:fldCharType="separate"/>
          </w:r>
          <w:r>
            <w:rPr>
              <w:rFonts w:hint="eastAsia" w:ascii="仿宋" w:hAnsi="仿宋" w:eastAsia="仿宋" w:cs="仿宋"/>
              <w:sz w:val="24"/>
              <w:szCs w:val="44"/>
            </w:rPr>
            <w:t>六、一般公共预算财政拨款支出决算表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_Toc16983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28171F3">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_Toc7871 </w:instrText>
          </w:r>
          <w:r>
            <w:rPr>
              <w:rFonts w:hint="eastAsia" w:ascii="仿宋" w:hAnsi="仿宋" w:eastAsia="仿宋" w:cs="仿宋"/>
              <w:sz w:val="24"/>
              <w:szCs w:val="24"/>
            </w:rPr>
            <w:fldChar w:fldCharType="separate"/>
          </w:r>
          <w:r>
            <w:rPr>
              <w:rFonts w:hint="eastAsia" w:ascii="仿宋" w:hAnsi="仿宋" w:eastAsia="仿宋" w:cs="仿宋"/>
              <w:sz w:val="24"/>
              <w:szCs w:val="44"/>
            </w:rPr>
            <w:t>七、一般公共预算财政拨款支出决算明细表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_Toc7871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2B7E44D">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_Toc18483 </w:instrText>
          </w:r>
          <w:r>
            <w:rPr>
              <w:rFonts w:hint="eastAsia" w:ascii="仿宋" w:hAnsi="仿宋" w:eastAsia="仿宋" w:cs="仿宋"/>
              <w:sz w:val="24"/>
              <w:szCs w:val="24"/>
            </w:rPr>
            <w:fldChar w:fldCharType="separate"/>
          </w:r>
          <w:r>
            <w:rPr>
              <w:rFonts w:hint="eastAsia" w:ascii="仿宋" w:hAnsi="仿宋" w:eastAsia="仿宋" w:cs="仿宋"/>
              <w:sz w:val="24"/>
              <w:szCs w:val="44"/>
            </w:rPr>
            <w:t>八、一般公共预算财政拨款基本支出决算表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_Toc18483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9075D22">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_Toc24382 </w:instrText>
          </w:r>
          <w:r>
            <w:rPr>
              <w:rFonts w:hint="eastAsia" w:ascii="仿宋" w:hAnsi="仿宋" w:eastAsia="仿宋" w:cs="仿宋"/>
              <w:sz w:val="24"/>
              <w:szCs w:val="24"/>
            </w:rPr>
            <w:fldChar w:fldCharType="separate"/>
          </w:r>
          <w:r>
            <w:rPr>
              <w:rFonts w:hint="eastAsia" w:ascii="仿宋" w:hAnsi="仿宋" w:eastAsia="仿宋" w:cs="仿宋"/>
              <w:sz w:val="24"/>
              <w:szCs w:val="44"/>
            </w:rPr>
            <w:t>九、一般公共预算财政拨款项目支出决算表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_Toc24382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E5443C1">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_Toc12691 </w:instrText>
          </w:r>
          <w:r>
            <w:rPr>
              <w:rFonts w:hint="eastAsia" w:ascii="仿宋" w:hAnsi="仿宋" w:eastAsia="仿宋" w:cs="仿宋"/>
              <w:sz w:val="24"/>
              <w:szCs w:val="24"/>
            </w:rPr>
            <w:fldChar w:fldCharType="separate"/>
          </w:r>
          <w:r>
            <w:rPr>
              <w:rFonts w:hint="eastAsia" w:ascii="仿宋" w:hAnsi="仿宋" w:eastAsia="仿宋" w:cs="仿宋"/>
              <w:sz w:val="24"/>
              <w:szCs w:val="44"/>
            </w:rPr>
            <w:t>十、政府性基金预算财政拨款收入支出决算表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_Toc12691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6789B58">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_Toc16163 </w:instrText>
          </w:r>
          <w:r>
            <w:rPr>
              <w:rFonts w:hint="eastAsia" w:ascii="仿宋" w:hAnsi="仿宋" w:eastAsia="仿宋" w:cs="仿宋"/>
              <w:sz w:val="24"/>
              <w:szCs w:val="24"/>
            </w:rPr>
            <w:fldChar w:fldCharType="separate"/>
          </w:r>
          <w:r>
            <w:rPr>
              <w:rFonts w:hint="eastAsia" w:ascii="仿宋" w:hAnsi="仿宋" w:eastAsia="仿宋" w:cs="仿宋"/>
              <w:sz w:val="24"/>
              <w:szCs w:val="44"/>
            </w:rPr>
            <w:t>十一、国有资本经营预算财政拨款收入支出决算表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_Toc16163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77938AB">
          <w:pPr>
            <w:pStyle w:val="4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_Toc26618 </w:instrText>
          </w:r>
          <w:r>
            <w:rPr>
              <w:rFonts w:hint="eastAsia" w:ascii="仿宋" w:hAnsi="仿宋" w:eastAsia="仿宋" w:cs="仿宋"/>
              <w:sz w:val="24"/>
              <w:szCs w:val="24"/>
            </w:rPr>
            <w:fldChar w:fldCharType="separate"/>
          </w:r>
          <w:r>
            <w:rPr>
              <w:rFonts w:hint="eastAsia" w:ascii="仿宋" w:hAnsi="仿宋" w:eastAsia="仿宋" w:cs="仿宋"/>
              <w:sz w:val="24"/>
              <w:szCs w:val="44"/>
            </w:rPr>
            <w:t>十二、国有资本经营预算财政拨款支出决算表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_Toc26618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6B60155">
          <w:pPr>
            <w:pStyle w:val="46"/>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_Toc6995 </w:instrText>
          </w:r>
          <w:r>
            <w:rPr>
              <w:rFonts w:hint="eastAsia" w:ascii="仿宋" w:hAnsi="仿宋" w:eastAsia="仿宋" w:cs="仿宋"/>
              <w:sz w:val="24"/>
              <w:szCs w:val="24"/>
            </w:rPr>
            <w:fldChar w:fldCharType="separate"/>
          </w:r>
          <w:r>
            <w:rPr>
              <w:rFonts w:hint="eastAsia" w:ascii="仿宋" w:hAnsi="仿宋" w:eastAsia="仿宋" w:cs="仿宋"/>
              <w:sz w:val="24"/>
              <w:szCs w:val="44"/>
            </w:rPr>
            <w:t>十三、财政拨款“三公”经费支出决算表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_Toc6995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823F28A">
          <w:pPr>
            <w:rPr>
              <w:b/>
            </w:rPr>
          </w:pPr>
          <w:r>
            <w:rPr>
              <w:b/>
            </w:rPr>
            <w:fldChar w:fldCharType="end"/>
          </w:r>
        </w:p>
      </w:sdtContent>
    </w:sdt>
    <w:p w14:paraId="20162F57">
      <w:pPr>
        <w:rPr>
          <w:b/>
        </w:rPr>
      </w:pPr>
    </w:p>
    <w:p w14:paraId="0F49733E">
      <w:pPr>
        <w:pStyle w:val="4"/>
        <w:keepNext w:val="0"/>
        <w:keepLines w:val="0"/>
        <w:pageBreakBefore w:val="0"/>
        <w:widowControl w:val="0"/>
        <w:kinsoku/>
        <w:wordWrap/>
        <w:overflowPunct/>
        <w:topLinePunct/>
        <w:autoSpaceDE/>
        <w:autoSpaceDN/>
        <w:bidi w:val="0"/>
        <w:jc w:val="center"/>
        <w:outlineLvl w:val="0"/>
        <w:rPr>
          <w:rFonts w:hint="eastAsia" w:ascii="黑体" w:hAnsi="黑体" w:eastAsia="黑体"/>
          <w:b w:val="0"/>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bookmarkStart w:id="16" w:name="_Toc5732"/>
    </w:p>
    <w:p w14:paraId="7C2F294A">
      <w:pPr>
        <w:pStyle w:val="4"/>
        <w:keepNext w:val="0"/>
        <w:keepLines w:val="0"/>
        <w:pageBreakBefore w:val="0"/>
        <w:widowControl w:val="0"/>
        <w:kinsoku/>
        <w:wordWrap/>
        <w:overflowPunct/>
        <w:topLinePunct/>
        <w:autoSpaceDE/>
        <w:autoSpaceDN/>
        <w:bidi w:val="0"/>
        <w:jc w:val="center"/>
        <w:outlineLvl w:val="0"/>
        <w:rPr>
          <w:rStyle w:val="28"/>
          <w:rFonts w:ascii="黑体" w:hAnsi="黑体" w:eastAsia="黑体"/>
          <w:b/>
          <w:bCs w:val="0"/>
        </w:rPr>
      </w:pPr>
      <w:r>
        <w:rPr>
          <w:rFonts w:hint="eastAsia" w:ascii="黑体" w:hAnsi="黑体" w:eastAsia="黑体"/>
          <w:b w:val="0"/>
        </w:rPr>
        <w:t xml:space="preserve">第一部分 </w:t>
      </w:r>
      <w:r>
        <w:rPr>
          <w:rStyle w:val="28"/>
          <w:rFonts w:hint="eastAsia" w:ascii="黑体" w:hAnsi="黑体" w:eastAsia="黑体"/>
          <w:b w:val="0"/>
          <w:bCs w:val="0"/>
        </w:rPr>
        <w:t>部门概况</w:t>
      </w:r>
      <w:bookmarkEnd w:id="16"/>
    </w:p>
    <w:p w14:paraId="778403D5">
      <w:pPr>
        <w:pStyle w:val="5"/>
        <w:keepNext w:val="0"/>
        <w:keepLines w:val="0"/>
        <w:pageBreakBefore w:val="0"/>
        <w:widowControl w:val="0"/>
        <w:numPr>
          <w:ilvl w:val="0"/>
          <w:numId w:val="1"/>
        </w:numPr>
        <w:kinsoku/>
        <w:wordWrap/>
        <w:overflowPunct/>
        <w:topLinePunct/>
        <w:autoSpaceDE/>
        <w:autoSpaceDN/>
        <w:bidi w:val="0"/>
        <w:adjustRightInd/>
        <w:snapToGrid/>
        <w:spacing w:before="0" w:after="0" w:line="560" w:lineRule="exact"/>
        <w:ind w:firstLine="640" w:firstLineChars="200"/>
        <w:textAlignment w:val="auto"/>
        <w:rPr>
          <w:rFonts w:hint="eastAsia" w:ascii="黑体" w:hAnsi="黑体" w:eastAsia="黑体"/>
          <w:b w:val="0"/>
        </w:rPr>
      </w:pPr>
      <w:bookmarkStart w:id="17" w:name="_Toc26814"/>
      <w:bookmarkStart w:id="18" w:name="_Toc3874"/>
      <w:r>
        <w:rPr>
          <w:rFonts w:hint="eastAsia" w:ascii="黑体" w:hAnsi="黑体" w:eastAsia="黑体"/>
          <w:b w:val="0"/>
        </w:rPr>
        <w:t>部门职责</w:t>
      </w:r>
      <w:bookmarkEnd w:id="17"/>
      <w:bookmarkEnd w:id="18"/>
    </w:p>
    <w:p w14:paraId="69289500">
      <w:pPr>
        <w:pStyle w:val="8"/>
        <w:keepNext w:val="0"/>
        <w:keepLines w:val="0"/>
        <w:pageBreakBefore w:val="0"/>
        <w:widowControl w:val="0"/>
        <w:kinsoku/>
        <w:wordWrap/>
        <w:overflowPunct/>
        <w:topLinePunct/>
        <w:autoSpaceDE/>
        <w:autoSpaceDN/>
        <w:bidi w:val="0"/>
        <w:adjustRightInd w:val="0"/>
        <w:snapToGrid w:val="0"/>
        <w:spacing w:beforeLines="0" w:line="560" w:lineRule="exact"/>
        <w:ind w:left="0" w:leftChars="0" w:right="0" w:firstLine="643" w:firstLineChars="200"/>
        <w:textAlignment w:val="auto"/>
        <w:outlineLvl w:val="9"/>
        <w:rPr>
          <w:rFonts w:hint="eastAsia" w:ascii="楷体" w:hAnsi="楷体" w:eastAsia="楷体" w:cs="楷体"/>
          <w:b/>
          <w:bCs w:val="0"/>
          <w:color w:val="FF0000"/>
          <w:sz w:val="32"/>
          <w:szCs w:val="32"/>
        </w:rPr>
      </w:pPr>
      <w:bookmarkStart w:id="19" w:name="_Toc15377198"/>
      <w:bookmarkStart w:id="20" w:name="_Toc15378445"/>
      <w:bookmarkStart w:id="21" w:name="_Toc15396601"/>
      <w:bookmarkStart w:id="22" w:name="_Toc15377200"/>
      <w:r>
        <w:rPr>
          <w:rFonts w:hint="eastAsia" w:ascii="楷体" w:hAnsi="楷体" w:eastAsia="楷体" w:cs="楷体"/>
          <w:b/>
          <w:bCs w:val="0"/>
          <w:color w:val="auto"/>
          <w:sz w:val="32"/>
          <w:szCs w:val="32"/>
          <w:highlight w:val="none"/>
        </w:rPr>
        <w:t>（一）主要职能</w:t>
      </w:r>
      <w:bookmarkEnd w:id="19"/>
      <w:bookmarkEnd w:id="20"/>
    </w:p>
    <w:p w14:paraId="006336D5">
      <w:pPr>
        <w:keepNext w:val="0"/>
        <w:keepLines w:val="0"/>
        <w:pageBreakBefore w:val="0"/>
        <w:widowControl w:val="0"/>
        <w:kinsoku/>
        <w:wordWrap/>
        <w:overflowPunct/>
        <w:topLinePunct/>
        <w:autoSpaceDE/>
        <w:autoSpaceDN/>
        <w:bidi w:val="0"/>
        <w:snapToGrid w:val="0"/>
        <w:spacing w:line="560" w:lineRule="exact"/>
        <w:ind w:left="0" w:leftChars="0" w:right="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en-US" w:eastAsia="zh-CN"/>
        </w:rPr>
        <w:t>.</w:t>
      </w:r>
      <w:r>
        <w:rPr>
          <w:rFonts w:hint="eastAsia" w:ascii="仿宋" w:hAnsi="仿宋" w:eastAsia="仿宋" w:cs="仿宋"/>
          <w:b/>
          <w:bCs/>
          <w:color w:val="auto"/>
          <w:sz w:val="32"/>
          <w:szCs w:val="32"/>
        </w:rPr>
        <w:t>职能配置</w:t>
      </w:r>
    </w:p>
    <w:p w14:paraId="387BE1C1">
      <w:pPr>
        <w:keepNext w:val="0"/>
        <w:keepLines w:val="0"/>
        <w:pageBreakBefore w:val="0"/>
        <w:widowControl w:val="0"/>
        <w:kinsoku/>
        <w:wordWrap/>
        <w:overflowPunct/>
        <w:topLinePunct/>
        <w:autoSpaceDE/>
        <w:autoSpaceDN/>
        <w:bidi w:val="0"/>
        <w:adjustRightInd w:val="0"/>
        <w:snapToGrid w:val="0"/>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（1）贯彻执行党和国家的路线方针政策和上级党委、政府各项决策部署，以及本级党员代表大会</w:t>
      </w:r>
      <w:r>
        <w:rPr>
          <w:rFonts w:hint="eastAsia" w:ascii="仿宋" w:hAnsi="仿宋" w:eastAsia="仿宋" w:cs="仿宋"/>
          <w:sz w:val="32"/>
          <w:szCs w:val="32"/>
          <w:lang w:eastAsia="zh-CN"/>
        </w:rPr>
        <w:t>（</w:t>
      </w:r>
      <w:r>
        <w:rPr>
          <w:rFonts w:hint="eastAsia" w:ascii="仿宋" w:hAnsi="仿宋" w:eastAsia="仿宋" w:cs="仿宋"/>
          <w:sz w:val="32"/>
          <w:szCs w:val="32"/>
        </w:rPr>
        <w:t>党员大会</w:t>
      </w:r>
      <w:r>
        <w:rPr>
          <w:rFonts w:hint="eastAsia" w:ascii="仿宋" w:hAnsi="仿宋" w:eastAsia="仿宋" w:cs="仿宋"/>
          <w:sz w:val="32"/>
          <w:szCs w:val="32"/>
          <w:lang w:eastAsia="zh-CN"/>
        </w:rPr>
        <w:t>）</w:t>
      </w:r>
      <w:r>
        <w:rPr>
          <w:rFonts w:hint="eastAsia" w:ascii="仿宋" w:hAnsi="仿宋" w:eastAsia="仿宋" w:cs="仿宋"/>
          <w:sz w:val="32"/>
          <w:szCs w:val="32"/>
        </w:rPr>
        <w:t>、人民代表大会的决议决定。讨论决定本乡镇党的建设和经济社会发展中的重大问题。</w:t>
      </w:r>
    </w:p>
    <w:p w14:paraId="15E29397">
      <w:pPr>
        <w:keepNext w:val="0"/>
        <w:keepLines w:val="0"/>
        <w:pageBreakBefore w:val="0"/>
        <w:widowControl w:val="0"/>
        <w:kinsoku/>
        <w:wordWrap/>
        <w:overflowPunct/>
        <w:topLinePunct/>
        <w:autoSpaceDE/>
        <w:autoSpaceDN/>
        <w:bidi w:val="0"/>
        <w:adjustRightInd w:val="0"/>
        <w:snapToGrid w:val="0"/>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）加强党的建设。坚持全面从严治党，落实管党治党主体责任，全面加强党的政治建设、思想建设、组织建设、作风建设、廉政建设、制度建设等工作。</w:t>
      </w:r>
    </w:p>
    <w:p w14:paraId="320237B5">
      <w:pPr>
        <w:keepNext w:val="0"/>
        <w:keepLines w:val="0"/>
        <w:pageBreakBefore w:val="0"/>
        <w:widowControl w:val="0"/>
        <w:kinsoku/>
        <w:wordWrap/>
        <w:overflowPunct/>
        <w:topLinePunct/>
        <w:autoSpaceDE/>
        <w:autoSpaceDN/>
        <w:bidi w:val="0"/>
        <w:adjustRightInd w:val="0"/>
        <w:snapToGrid w:val="0"/>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）统筹区域发展。落实关于辖区发展的重大决策，制定辖区经济和社会发展规划、公共服务设施布局，负责乡村振兴工作，推动辖区经济社会健康、有序、可持续发展。</w:t>
      </w:r>
    </w:p>
    <w:p w14:paraId="1BB03F0D">
      <w:pPr>
        <w:keepNext w:val="0"/>
        <w:keepLines w:val="0"/>
        <w:pageBreakBefore w:val="0"/>
        <w:widowControl w:val="0"/>
        <w:kinsoku/>
        <w:wordWrap/>
        <w:overflowPunct/>
        <w:topLinePunct/>
        <w:autoSpaceDE/>
        <w:autoSpaceDN/>
        <w:bidi w:val="0"/>
        <w:adjustRightInd w:val="0"/>
        <w:snapToGrid w:val="0"/>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）强化基层治理。负责本辖区社会治理，指导村</w:t>
      </w:r>
      <w:r>
        <w:rPr>
          <w:rFonts w:hint="eastAsia" w:ascii="仿宋" w:hAnsi="仿宋" w:eastAsia="仿宋" w:cs="仿宋"/>
          <w:sz w:val="32"/>
          <w:szCs w:val="32"/>
          <w:lang w:eastAsia="zh-CN"/>
        </w:rPr>
        <w:t>（</w:t>
      </w:r>
      <w:r>
        <w:rPr>
          <w:rFonts w:hint="eastAsia" w:ascii="仿宋" w:hAnsi="仿宋" w:eastAsia="仿宋" w:cs="仿宋"/>
          <w:sz w:val="32"/>
          <w:szCs w:val="32"/>
        </w:rPr>
        <w:t>居</w:t>
      </w:r>
      <w:r>
        <w:rPr>
          <w:rFonts w:hint="eastAsia" w:ascii="仿宋" w:hAnsi="仿宋" w:eastAsia="仿宋" w:cs="仿宋"/>
          <w:sz w:val="32"/>
          <w:szCs w:val="32"/>
          <w:lang w:eastAsia="zh-CN"/>
        </w:rPr>
        <w:t>）</w:t>
      </w:r>
      <w:r>
        <w:rPr>
          <w:rFonts w:hint="eastAsia" w:ascii="仿宋" w:hAnsi="仿宋" w:eastAsia="仿宋" w:cs="仿宋"/>
          <w:sz w:val="32"/>
          <w:szCs w:val="32"/>
        </w:rPr>
        <w:t>委会建设，健全自治平台，组织群众和单位参与村</w:t>
      </w:r>
      <w:r>
        <w:rPr>
          <w:rFonts w:hint="eastAsia" w:ascii="仿宋" w:hAnsi="仿宋" w:eastAsia="仿宋" w:cs="仿宋"/>
          <w:sz w:val="32"/>
          <w:szCs w:val="32"/>
          <w:lang w:eastAsia="zh-CN"/>
        </w:rPr>
        <w:t>（</w:t>
      </w:r>
      <w:r>
        <w:rPr>
          <w:rFonts w:hint="eastAsia" w:ascii="仿宋" w:hAnsi="仿宋" w:eastAsia="仿宋" w:cs="仿宋"/>
          <w:sz w:val="32"/>
          <w:szCs w:val="32"/>
        </w:rPr>
        <w:t>居</w:t>
      </w:r>
      <w:r>
        <w:rPr>
          <w:rFonts w:hint="eastAsia" w:ascii="仿宋" w:hAnsi="仿宋" w:eastAsia="仿宋" w:cs="仿宋"/>
          <w:sz w:val="32"/>
          <w:szCs w:val="32"/>
          <w:lang w:eastAsia="zh-CN"/>
        </w:rPr>
        <w:t>）</w:t>
      </w:r>
      <w:r>
        <w:rPr>
          <w:rFonts w:hint="eastAsia" w:ascii="仿宋" w:hAnsi="仿宋" w:eastAsia="仿宋" w:cs="仿宋"/>
          <w:sz w:val="32"/>
          <w:szCs w:val="32"/>
        </w:rPr>
        <w:t>委会建设和管理。负责统筹协调辖区内依法授权或委托授权的行政执法工作。</w:t>
      </w:r>
    </w:p>
    <w:p w14:paraId="18B259A1">
      <w:pPr>
        <w:keepNext w:val="0"/>
        <w:keepLines w:val="0"/>
        <w:pageBreakBefore w:val="0"/>
        <w:widowControl w:val="0"/>
        <w:kinsoku/>
        <w:wordWrap/>
        <w:overflowPunct/>
        <w:topLinePunct/>
        <w:autoSpaceDE/>
        <w:autoSpaceDN/>
        <w:bidi w:val="0"/>
        <w:adjustRightInd w:val="0"/>
        <w:snapToGrid w:val="0"/>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）优化公共服务。推进服务型政府建设，组织实施并优化教育、卫生健康、文化、民政、劳动社会保障、退役军人事务等各项公共服务。</w:t>
      </w:r>
    </w:p>
    <w:p w14:paraId="2E996DE6">
      <w:pPr>
        <w:keepNext w:val="0"/>
        <w:keepLines w:val="0"/>
        <w:pageBreakBefore w:val="0"/>
        <w:widowControl w:val="0"/>
        <w:kinsoku/>
        <w:wordWrap/>
        <w:overflowPunct/>
        <w:topLinePunct/>
        <w:autoSpaceDE/>
        <w:autoSpaceDN/>
        <w:bidi w:val="0"/>
        <w:adjustRightInd w:val="0"/>
        <w:snapToGrid w:val="0"/>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）负责辖区范围内的社会稳定、安全生产和职业健康、生态环境保护、社会信用体系建设和审批服务便民化等工作。</w:t>
      </w:r>
    </w:p>
    <w:p w14:paraId="062D8F56">
      <w:pPr>
        <w:keepNext w:val="0"/>
        <w:keepLines w:val="0"/>
        <w:pageBreakBefore w:val="0"/>
        <w:widowControl w:val="0"/>
        <w:kinsoku/>
        <w:wordWrap/>
        <w:overflowPunct/>
        <w:topLinePunct/>
        <w:autoSpaceDE/>
        <w:autoSpaceDN/>
        <w:bidi w:val="0"/>
        <w:adjustRightInd w:val="0"/>
        <w:snapToGrid w:val="0"/>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）完成区委、区政府交办的其他任务。</w:t>
      </w:r>
    </w:p>
    <w:p w14:paraId="50D235FE">
      <w:pPr>
        <w:keepNext w:val="0"/>
        <w:keepLines w:val="0"/>
        <w:pageBreakBefore w:val="0"/>
        <w:widowControl w:val="0"/>
        <w:kinsoku/>
        <w:wordWrap/>
        <w:overflowPunct/>
        <w:topLinePunct/>
        <w:autoSpaceDE/>
        <w:autoSpaceDN/>
        <w:bidi w:val="0"/>
        <w:adjustRightInd/>
        <w:spacing w:after="0" w:line="560" w:lineRule="exact"/>
        <w:ind w:left="0" w:leftChars="0"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2.新盛</w:t>
      </w:r>
      <w:r>
        <w:rPr>
          <w:rFonts w:hint="eastAsia" w:ascii="仿宋" w:hAnsi="仿宋" w:eastAsia="仿宋" w:cs="仿宋"/>
          <w:b/>
          <w:bCs/>
          <w:sz w:val="32"/>
          <w:szCs w:val="32"/>
        </w:rPr>
        <w:t>镇党委机关、镇人民政府机关共设下列综合办事机构</w:t>
      </w:r>
      <w:r>
        <w:rPr>
          <w:rFonts w:hint="eastAsia" w:ascii="仿宋" w:hAnsi="仿宋" w:eastAsia="仿宋" w:cs="仿宋"/>
          <w:b/>
          <w:bCs/>
          <w:sz w:val="32"/>
          <w:szCs w:val="32"/>
          <w:lang w:eastAsia="zh-CN"/>
        </w:rPr>
        <w:t>：</w:t>
      </w:r>
    </w:p>
    <w:p w14:paraId="162D719A">
      <w:pPr>
        <w:keepNext w:val="0"/>
        <w:keepLines w:val="0"/>
        <w:pageBreakBefore w:val="0"/>
        <w:widowControl w:val="0"/>
        <w:kinsoku/>
        <w:wordWrap/>
        <w:overflowPunct/>
        <w:topLinePunct/>
        <w:autoSpaceDE/>
        <w:autoSpaceDN/>
        <w:bidi w:val="0"/>
        <w:snapToGrid w:val="0"/>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（1）党建工作办公室</w:t>
      </w:r>
      <w:r>
        <w:rPr>
          <w:rFonts w:hint="eastAsia" w:ascii="仿宋" w:hAnsi="仿宋" w:eastAsia="仿宋" w:cs="仿宋"/>
          <w:sz w:val="32"/>
          <w:szCs w:val="32"/>
          <w:lang w:eastAsia="zh-CN"/>
        </w:rPr>
        <w:t>（</w:t>
      </w:r>
      <w:r>
        <w:rPr>
          <w:rFonts w:hint="eastAsia" w:ascii="仿宋" w:hAnsi="仿宋" w:eastAsia="仿宋" w:cs="仿宋"/>
          <w:sz w:val="32"/>
          <w:szCs w:val="32"/>
        </w:rPr>
        <w:t>挂党政办公室牌子</w:t>
      </w:r>
      <w:r>
        <w:rPr>
          <w:rFonts w:hint="eastAsia" w:ascii="仿宋" w:hAnsi="仿宋" w:eastAsia="仿宋" w:cs="仿宋"/>
          <w:sz w:val="32"/>
          <w:szCs w:val="32"/>
          <w:lang w:eastAsia="zh-CN"/>
        </w:rPr>
        <w:t>）</w:t>
      </w:r>
      <w:r>
        <w:rPr>
          <w:rFonts w:hint="eastAsia" w:ascii="仿宋" w:hAnsi="仿宋" w:eastAsia="仿宋" w:cs="仿宋"/>
          <w:sz w:val="32"/>
          <w:szCs w:val="32"/>
        </w:rPr>
        <w:t>。加强对基层党组织建设的统筹指导</w:t>
      </w:r>
      <w:r>
        <w:rPr>
          <w:rFonts w:hint="eastAsia" w:ascii="仿宋" w:hAnsi="仿宋" w:eastAsia="仿宋" w:cs="仿宋"/>
          <w:sz w:val="32"/>
          <w:szCs w:val="32"/>
          <w:lang w:eastAsia="zh-CN"/>
        </w:rPr>
        <w:t>；</w:t>
      </w:r>
      <w:r>
        <w:rPr>
          <w:rFonts w:hint="eastAsia" w:ascii="仿宋" w:hAnsi="仿宋" w:eastAsia="仿宋" w:cs="仿宋"/>
          <w:sz w:val="32"/>
          <w:szCs w:val="32"/>
        </w:rPr>
        <w:t>承担党委自身建设和下级党组织建设以及其他隶属乡镇党委的党组织建设工作</w:t>
      </w:r>
      <w:r>
        <w:rPr>
          <w:rFonts w:hint="eastAsia" w:ascii="仿宋" w:hAnsi="仿宋" w:eastAsia="仿宋" w:cs="仿宋"/>
          <w:sz w:val="32"/>
          <w:szCs w:val="32"/>
          <w:lang w:eastAsia="zh-CN"/>
        </w:rPr>
        <w:t>；</w:t>
      </w:r>
      <w:r>
        <w:rPr>
          <w:rFonts w:hint="eastAsia" w:ascii="仿宋" w:hAnsi="仿宋" w:eastAsia="仿宋" w:cs="仿宋"/>
          <w:sz w:val="32"/>
          <w:szCs w:val="32"/>
        </w:rPr>
        <w:t>负责党员发展、党员队伍建设工作</w:t>
      </w:r>
      <w:r>
        <w:rPr>
          <w:rFonts w:hint="eastAsia" w:ascii="仿宋" w:hAnsi="仿宋" w:eastAsia="仿宋" w:cs="仿宋"/>
          <w:sz w:val="32"/>
          <w:szCs w:val="32"/>
          <w:lang w:eastAsia="zh-CN"/>
        </w:rPr>
        <w:t>；</w:t>
      </w:r>
      <w:r>
        <w:rPr>
          <w:rFonts w:hint="eastAsia" w:ascii="仿宋" w:hAnsi="仿宋" w:eastAsia="仿宋" w:cs="仿宋"/>
          <w:sz w:val="32"/>
          <w:szCs w:val="32"/>
        </w:rPr>
        <w:t>负责维护和执行党的纪律，监督党员干部和其他工作人员严格遵守国家法律法规</w:t>
      </w:r>
      <w:r>
        <w:rPr>
          <w:rFonts w:hint="eastAsia" w:ascii="仿宋" w:hAnsi="仿宋" w:eastAsia="仿宋" w:cs="仿宋"/>
          <w:sz w:val="32"/>
          <w:szCs w:val="32"/>
          <w:lang w:eastAsia="zh-CN"/>
        </w:rPr>
        <w:t>；</w:t>
      </w:r>
      <w:r>
        <w:rPr>
          <w:rFonts w:hint="eastAsia" w:ascii="仿宋" w:hAnsi="仿宋" w:eastAsia="仿宋" w:cs="仿宋"/>
          <w:sz w:val="32"/>
          <w:szCs w:val="32"/>
        </w:rPr>
        <w:t>负责意识形态阵地及队伍建设</w:t>
      </w:r>
      <w:r>
        <w:rPr>
          <w:rFonts w:hint="eastAsia" w:ascii="仿宋" w:hAnsi="仿宋" w:eastAsia="仿宋" w:cs="仿宋"/>
          <w:sz w:val="32"/>
          <w:szCs w:val="32"/>
          <w:lang w:eastAsia="zh-CN"/>
        </w:rPr>
        <w:t>；</w:t>
      </w:r>
      <w:r>
        <w:rPr>
          <w:rFonts w:hint="eastAsia" w:ascii="仿宋" w:hAnsi="仿宋" w:eastAsia="仿宋" w:cs="仿宋"/>
          <w:sz w:val="32"/>
          <w:szCs w:val="32"/>
        </w:rPr>
        <w:t>负责机构编制、组织人事、党务群团、宣传、统战等工作</w:t>
      </w:r>
      <w:r>
        <w:rPr>
          <w:rFonts w:hint="eastAsia" w:ascii="仿宋" w:hAnsi="仿宋" w:eastAsia="仿宋" w:cs="仿宋"/>
          <w:sz w:val="32"/>
          <w:szCs w:val="32"/>
          <w:lang w:eastAsia="zh-CN"/>
        </w:rPr>
        <w:t>；</w:t>
      </w:r>
      <w:r>
        <w:rPr>
          <w:rFonts w:hint="eastAsia" w:ascii="仿宋" w:hAnsi="仿宋" w:eastAsia="仿宋" w:cs="仿宋"/>
          <w:sz w:val="32"/>
          <w:szCs w:val="32"/>
        </w:rPr>
        <w:t>负责对工作人员的培训、管理和考核</w:t>
      </w:r>
      <w:r>
        <w:rPr>
          <w:rFonts w:hint="eastAsia" w:ascii="仿宋" w:hAnsi="仿宋" w:eastAsia="仿宋" w:cs="仿宋"/>
          <w:sz w:val="32"/>
          <w:szCs w:val="32"/>
          <w:lang w:eastAsia="zh-CN"/>
        </w:rPr>
        <w:t>；</w:t>
      </w:r>
      <w:r>
        <w:rPr>
          <w:rFonts w:hint="eastAsia" w:ascii="仿宋" w:hAnsi="仿宋" w:eastAsia="仿宋" w:cs="仿宋"/>
          <w:sz w:val="32"/>
          <w:szCs w:val="32"/>
        </w:rPr>
        <w:t>负责党委、政府日常事务性工作</w:t>
      </w:r>
      <w:r>
        <w:rPr>
          <w:rFonts w:hint="eastAsia" w:ascii="仿宋" w:hAnsi="仿宋" w:eastAsia="仿宋" w:cs="仿宋"/>
          <w:sz w:val="32"/>
          <w:szCs w:val="32"/>
          <w:lang w:eastAsia="zh-CN"/>
        </w:rPr>
        <w:t>；</w:t>
      </w:r>
      <w:r>
        <w:rPr>
          <w:rFonts w:hint="eastAsia" w:ascii="仿宋" w:hAnsi="仿宋" w:eastAsia="仿宋" w:cs="仿宋"/>
          <w:sz w:val="32"/>
          <w:szCs w:val="32"/>
        </w:rPr>
        <w:t>负责情况综合、文秘事务，搞好上下衔接，综合协调各部门、各方面的工作，督促检查有关工作的落实</w:t>
      </w:r>
      <w:r>
        <w:rPr>
          <w:rFonts w:hint="eastAsia" w:ascii="仿宋" w:hAnsi="仿宋" w:eastAsia="仿宋" w:cs="仿宋"/>
          <w:sz w:val="32"/>
          <w:szCs w:val="32"/>
          <w:lang w:eastAsia="zh-CN"/>
        </w:rPr>
        <w:t>；</w:t>
      </w:r>
      <w:r>
        <w:rPr>
          <w:rFonts w:hint="eastAsia" w:ascii="仿宋" w:hAnsi="仿宋" w:eastAsia="仿宋" w:cs="仿宋"/>
          <w:sz w:val="32"/>
          <w:szCs w:val="32"/>
        </w:rPr>
        <w:t>负责民主法治建设和精神文明建设</w:t>
      </w:r>
      <w:r>
        <w:rPr>
          <w:rFonts w:hint="eastAsia" w:ascii="仿宋" w:hAnsi="仿宋" w:eastAsia="仿宋" w:cs="仿宋"/>
          <w:sz w:val="32"/>
          <w:szCs w:val="32"/>
          <w:lang w:eastAsia="zh-CN"/>
        </w:rPr>
        <w:t>；</w:t>
      </w:r>
      <w:r>
        <w:rPr>
          <w:rFonts w:hint="eastAsia" w:ascii="仿宋" w:hAnsi="仿宋" w:eastAsia="仿宋" w:cs="仿宋"/>
          <w:sz w:val="32"/>
          <w:szCs w:val="32"/>
        </w:rPr>
        <w:t>负责档案管理、后勤保障等工作。</w:t>
      </w:r>
    </w:p>
    <w:p w14:paraId="5D41BADB">
      <w:pPr>
        <w:keepNext w:val="0"/>
        <w:keepLines w:val="0"/>
        <w:pageBreakBefore w:val="0"/>
        <w:widowControl w:val="0"/>
        <w:kinsoku/>
        <w:wordWrap/>
        <w:overflowPunct/>
        <w:topLinePunct/>
        <w:autoSpaceDE/>
        <w:autoSpaceDN/>
        <w:bidi w:val="0"/>
        <w:snapToGrid w:val="0"/>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）社会事务办公室</w:t>
      </w:r>
      <w:r>
        <w:rPr>
          <w:rFonts w:hint="eastAsia" w:ascii="仿宋" w:hAnsi="仿宋" w:eastAsia="仿宋" w:cs="仿宋"/>
          <w:sz w:val="32"/>
          <w:szCs w:val="32"/>
          <w:lang w:eastAsia="zh-CN"/>
        </w:rPr>
        <w:t>（</w:t>
      </w:r>
      <w:r>
        <w:rPr>
          <w:rFonts w:hint="eastAsia" w:ascii="仿宋" w:hAnsi="仿宋" w:eastAsia="仿宋" w:cs="仿宋"/>
          <w:sz w:val="32"/>
          <w:szCs w:val="32"/>
        </w:rPr>
        <w:t>挂退役军人事务办公室牌子</w:t>
      </w:r>
      <w:r>
        <w:rPr>
          <w:rFonts w:hint="eastAsia" w:ascii="仿宋" w:hAnsi="仿宋" w:eastAsia="仿宋" w:cs="仿宋"/>
          <w:sz w:val="32"/>
          <w:szCs w:val="32"/>
          <w:lang w:eastAsia="zh-CN"/>
        </w:rPr>
        <w:t>）</w:t>
      </w:r>
      <w:r>
        <w:rPr>
          <w:rFonts w:hint="eastAsia" w:ascii="仿宋" w:hAnsi="仿宋" w:eastAsia="仿宋" w:cs="仿宋"/>
          <w:sz w:val="32"/>
          <w:szCs w:val="32"/>
        </w:rPr>
        <w:t>。负责劳动社会保障、民政优抚、基层政权建设、社会救助、教育、科技、文化、体育、卫生健康、慈善、民族宗教和退役军人等行政管理工作。</w:t>
      </w:r>
    </w:p>
    <w:p w14:paraId="331DCA38">
      <w:pPr>
        <w:keepNext w:val="0"/>
        <w:keepLines w:val="0"/>
        <w:pageBreakBefore w:val="0"/>
        <w:widowControl w:val="0"/>
        <w:kinsoku/>
        <w:wordWrap/>
        <w:overflowPunct/>
        <w:topLinePunct/>
        <w:autoSpaceDE/>
        <w:autoSpaceDN/>
        <w:bidi w:val="0"/>
        <w:snapToGrid w:val="0"/>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）综合行政执法办公室</w:t>
      </w:r>
      <w:r>
        <w:rPr>
          <w:rFonts w:hint="eastAsia" w:ascii="仿宋" w:hAnsi="仿宋" w:eastAsia="仿宋" w:cs="仿宋"/>
          <w:sz w:val="32"/>
          <w:szCs w:val="32"/>
          <w:lang w:eastAsia="zh-CN"/>
        </w:rPr>
        <w:t>（</w:t>
      </w:r>
      <w:r>
        <w:rPr>
          <w:rFonts w:hint="eastAsia" w:ascii="仿宋" w:hAnsi="仿宋" w:eastAsia="仿宋" w:cs="仿宋"/>
          <w:sz w:val="32"/>
          <w:szCs w:val="32"/>
        </w:rPr>
        <w:t>挂食品安全委员会办公室</w:t>
      </w:r>
      <w:r>
        <w:rPr>
          <w:rFonts w:hint="eastAsia" w:ascii="仿宋" w:hAnsi="仿宋" w:eastAsia="仿宋" w:cs="仿宋"/>
          <w:sz w:val="32"/>
          <w:szCs w:val="32"/>
          <w:lang w:eastAsia="zh-CN"/>
        </w:rPr>
        <w:t>）</w:t>
      </w:r>
      <w:r>
        <w:rPr>
          <w:rFonts w:hint="eastAsia" w:ascii="仿宋" w:hAnsi="仿宋" w:eastAsia="仿宋" w:cs="仿宋"/>
          <w:sz w:val="32"/>
          <w:szCs w:val="32"/>
        </w:rPr>
        <w:t>。统筹负责和协调辖区内涉及城市管理、市场监管、文化、交通、农业农村、乡村规划建设管理、食品安全等领域的综合行政执法工作，组织开展群众监督和社会监督。</w:t>
      </w:r>
    </w:p>
    <w:p w14:paraId="15494B4E">
      <w:pPr>
        <w:keepNext w:val="0"/>
        <w:keepLines w:val="0"/>
        <w:pageBreakBefore w:val="0"/>
        <w:widowControl w:val="0"/>
        <w:kinsoku/>
        <w:wordWrap/>
        <w:overflowPunct/>
        <w:topLinePunct/>
        <w:autoSpaceDE/>
        <w:autoSpaceDN/>
        <w:bidi w:val="0"/>
        <w:snapToGrid w:val="0"/>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）经济发展和乡村振兴办公室</w:t>
      </w:r>
      <w:r>
        <w:rPr>
          <w:rFonts w:hint="eastAsia" w:ascii="仿宋" w:hAnsi="仿宋" w:eastAsia="仿宋" w:cs="仿宋"/>
          <w:sz w:val="32"/>
          <w:szCs w:val="32"/>
          <w:lang w:eastAsia="zh-CN"/>
        </w:rPr>
        <w:t>（</w:t>
      </w:r>
      <w:r>
        <w:rPr>
          <w:rFonts w:hint="eastAsia" w:ascii="仿宋" w:hAnsi="仿宋" w:eastAsia="仿宋" w:cs="仿宋"/>
          <w:sz w:val="32"/>
          <w:szCs w:val="32"/>
        </w:rPr>
        <w:t>挂统计管理办公室牌子</w:t>
      </w:r>
      <w:r>
        <w:rPr>
          <w:rFonts w:hint="eastAsia" w:ascii="仿宋" w:hAnsi="仿宋" w:eastAsia="仿宋" w:cs="仿宋"/>
          <w:sz w:val="32"/>
          <w:szCs w:val="32"/>
          <w:lang w:eastAsia="zh-CN"/>
        </w:rPr>
        <w:t>）</w:t>
      </w:r>
      <w:r>
        <w:rPr>
          <w:rFonts w:hint="eastAsia" w:ascii="仿宋" w:hAnsi="仿宋" w:eastAsia="仿宋" w:cs="仿宋"/>
          <w:sz w:val="32"/>
          <w:szCs w:val="32"/>
        </w:rPr>
        <w:t>。统筹负责辖区经济发展，牵头负责乡村振兴战略的实施</w:t>
      </w:r>
      <w:r>
        <w:rPr>
          <w:rFonts w:hint="eastAsia" w:ascii="仿宋" w:hAnsi="仿宋" w:eastAsia="仿宋" w:cs="仿宋"/>
          <w:sz w:val="32"/>
          <w:szCs w:val="32"/>
          <w:lang w:eastAsia="zh-CN"/>
        </w:rPr>
        <w:t>；</w:t>
      </w:r>
      <w:r>
        <w:rPr>
          <w:rFonts w:hint="eastAsia" w:ascii="仿宋" w:hAnsi="仿宋" w:eastAsia="仿宋" w:cs="仿宋"/>
          <w:sz w:val="32"/>
          <w:szCs w:val="32"/>
        </w:rPr>
        <w:t>承担经济发展规划的制定和落实，一、二、三产业的指导、管理</w:t>
      </w:r>
      <w:r>
        <w:rPr>
          <w:rFonts w:hint="eastAsia" w:ascii="仿宋" w:hAnsi="仿宋" w:eastAsia="仿宋" w:cs="仿宋"/>
          <w:sz w:val="32"/>
          <w:szCs w:val="32"/>
          <w:lang w:eastAsia="zh-CN"/>
        </w:rPr>
        <w:t>；</w:t>
      </w:r>
      <w:r>
        <w:rPr>
          <w:rFonts w:hint="eastAsia" w:ascii="仿宋" w:hAnsi="仿宋" w:eastAsia="仿宋" w:cs="仿宋"/>
          <w:sz w:val="32"/>
          <w:szCs w:val="32"/>
        </w:rPr>
        <w:t>负责农村人居环境治理工作</w:t>
      </w:r>
      <w:r>
        <w:rPr>
          <w:rFonts w:hint="eastAsia" w:ascii="仿宋" w:hAnsi="仿宋" w:eastAsia="仿宋" w:cs="仿宋"/>
          <w:sz w:val="32"/>
          <w:szCs w:val="32"/>
          <w:lang w:eastAsia="zh-CN"/>
        </w:rPr>
        <w:t>；</w:t>
      </w:r>
      <w:r>
        <w:rPr>
          <w:rFonts w:hint="eastAsia" w:ascii="仿宋" w:hAnsi="仿宋" w:eastAsia="仿宋" w:cs="仿宋"/>
          <w:sz w:val="32"/>
          <w:szCs w:val="32"/>
        </w:rPr>
        <w:t>负责乡村发展、道路交通建设的相关工作</w:t>
      </w:r>
      <w:r>
        <w:rPr>
          <w:rFonts w:hint="eastAsia" w:ascii="仿宋" w:hAnsi="仿宋" w:eastAsia="仿宋" w:cs="仿宋"/>
          <w:sz w:val="32"/>
          <w:szCs w:val="32"/>
          <w:lang w:eastAsia="zh-CN"/>
        </w:rPr>
        <w:t>；</w:t>
      </w:r>
      <w:r>
        <w:rPr>
          <w:rFonts w:hint="eastAsia" w:ascii="仿宋" w:hAnsi="仿宋" w:eastAsia="仿宋" w:cs="仿宋"/>
          <w:sz w:val="32"/>
          <w:szCs w:val="32"/>
        </w:rPr>
        <w:t>负责基础设施建设与维护工作</w:t>
      </w:r>
      <w:r>
        <w:rPr>
          <w:rFonts w:hint="eastAsia" w:ascii="仿宋" w:hAnsi="仿宋" w:eastAsia="仿宋" w:cs="仿宋"/>
          <w:sz w:val="32"/>
          <w:szCs w:val="32"/>
          <w:lang w:eastAsia="zh-CN"/>
        </w:rPr>
        <w:t>；</w:t>
      </w:r>
      <w:r>
        <w:rPr>
          <w:rFonts w:hint="eastAsia" w:ascii="仿宋" w:hAnsi="仿宋" w:eastAsia="仿宋" w:cs="仿宋"/>
          <w:sz w:val="32"/>
          <w:szCs w:val="32"/>
        </w:rPr>
        <w:t>贯彻执行国有土地上房屋征收与补偿的政策法规，负责承办房屋征收、补偿和安置具体工作</w:t>
      </w:r>
      <w:r>
        <w:rPr>
          <w:rFonts w:hint="eastAsia" w:ascii="仿宋" w:hAnsi="仿宋" w:eastAsia="仿宋" w:cs="仿宋"/>
          <w:sz w:val="32"/>
          <w:szCs w:val="32"/>
          <w:lang w:eastAsia="zh-CN"/>
        </w:rPr>
        <w:t>；</w:t>
      </w:r>
      <w:r>
        <w:rPr>
          <w:rFonts w:hint="eastAsia" w:ascii="仿宋" w:hAnsi="仿宋" w:eastAsia="仿宋" w:cs="仿宋"/>
          <w:sz w:val="32"/>
          <w:szCs w:val="32"/>
        </w:rPr>
        <w:t>负责产业发展、扶贫开发、招商引资、固定资产投资、推进科技普及工作</w:t>
      </w:r>
      <w:r>
        <w:rPr>
          <w:rFonts w:hint="eastAsia" w:ascii="仿宋" w:hAnsi="仿宋" w:eastAsia="仿宋" w:cs="仿宋"/>
          <w:sz w:val="32"/>
          <w:szCs w:val="32"/>
          <w:lang w:eastAsia="zh-CN"/>
        </w:rPr>
        <w:t>；</w:t>
      </w:r>
      <w:r>
        <w:rPr>
          <w:rFonts w:hint="eastAsia" w:ascii="仿宋" w:hAnsi="仿宋" w:eastAsia="仿宋" w:cs="仿宋"/>
          <w:sz w:val="32"/>
          <w:szCs w:val="32"/>
        </w:rPr>
        <w:t>承担农村土地承包管理、农民专业合作组织指导和管理</w:t>
      </w:r>
      <w:r>
        <w:rPr>
          <w:rFonts w:hint="eastAsia" w:ascii="仿宋" w:hAnsi="仿宋" w:eastAsia="仿宋" w:cs="仿宋"/>
          <w:sz w:val="32"/>
          <w:szCs w:val="32"/>
          <w:lang w:eastAsia="zh-CN"/>
        </w:rPr>
        <w:t>；</w:t>
      </w:r>
      <w:r>
        <w:rPr>
          <w:rFonts w:hint="eastAsia" w:ascii="仿宋" w:hAnsi="仿宋" w:eastAsia="仿宋" w:cs="仿宋"/>
          <w:sz w:val="32"/>
          <w:szCs w:val="32"/>
        </w:rPr>
        <w:t>协调与发展经济相关的其他工作</w:t>
      </w:r>
      <w:r>
        <w:rPr>
          <w:rFonts w:hint="eastAsia" w:ascii="仿宋" w:hAnsi="仿宋" w:eastAsia="仿宋" w:cs="仿宋"/>
          <w:sz w:val="32"/>
          <w:szCs w:val="32"/>
          <w:lang w:eastAsia="zh-CN"/>
        </w:rPr>
        <w:t>；</w:t>
      </w:r>
      <w:r>
        <w:rPr>
          <w:rFonts w:hint="eastAsia" w:ascii="仿宋" w:hAnsi="仿宋" w:eastAsia="仿宋" w:cs="仿宋"/>
          <w:sz w:val="32"/>
          <w:szCs w:val="32"/>
        </w:rPr>
        <w:t>负责统计管理工作。</w:t>
      </w:r>
    </w:p>
    <w:p w14:paraId="314CDB6C">
      <w:pPr>
        <w:keepNext w:val="0"/>
        <w:keepLines w:val="0"/>
        <w:pageBreakBefore w:val="0"/>
        <w:widowControl w:val="0"/>
        <w:kinsoku/>
        <w:wordWrap/>
        <w:overflowPunct/>
        <w:topLinePunct/>
        <w:autoSpaceDE/>
        <w:autoSpaceDN/>
        <w:bidi w:val="0"/>
        <w:snapToGrid w:val="0"/>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）社会治理和应急管理办公室</w:t>
      </w:r>
      <w:r>
        <w:rPr>
          <w:rFonts w:hint="eastAsia" w:ascii="仿宋" w:hAnsi="仿宋" w:eastAsia="仿宋" w:cs="仿宋"/>
          <w:sz w:val="32"/>
          <w:szCs w:val="32"/>
          <w:lang w:eastAsia="zh-CN"/>
        </w:rPr>
        <w:t>（</w:t>
      </w:r>
      <w:r>
        <w:rPr>
          <w:rFonts w:hint="eastAsia" w:ascii="仿宋" w:hAnsi="仿宋" w:eastAsia="仿宋" w:cs="仿宋"/>
          <w:sz w:val="32"/>
          <w:szCs w:val="32"/>
        </w:rPr>
        <w:t>挂社会治安综合治理办公室、安全生产管理办公室牌子</w:t>
      </w:r>
      <w:r>
        <w:rPr>
          <w:rFonts w:hint="eastAsia" w:ascii="仿宋" w:hAnsi="仿宋" w:eastAsia="仿宋" w:cs="仿宋"/>
          <w:sz w:val="32"/>
          <w:szCs w:val="32"/>
          <w:lang w:eastAsia="zh-CN"/>
        </w:rPr>
        <w:t>）</w:t>
      </w:r>
      <w:r>
        <w:rPr>
          <w:rFonts w:hint="eastAsia" w:ascii="仿宋" w:hAnsi="仿宋" w:eastAsia="仿宋" w:cs="仿宋"/>
          <w:sz w:val="32"/>
          <w:szCs w:val="32"/>
        </w:rPr>
        <w:t>。负责社会治安综合治理、维护社会稳定、群众工作和应急管理工作</w:t>
      </w:r>
      <w:r>
        <w:rPr>
          <w:rFonts w:hint="eastAsia" w:ascii="仿宋" w:hAnsi="仿宋" w:eastAsia="仿宋" w:cs="仿宋"/>
          <w:sz w:val="32"/>
          <w:szCs w:val="32"/>
          <w:lang w:eastAsia="zh-CN"/>
        </w:rPr>
        <w:t>；</w:t>
      </w:r>
      <w:r>
        <w:rPr>
          <w:rFonts w:hint="eastAsia" w:ascii="仿宋" w:hAnsi="仿宋" w:eastAsia="仿宋" w:cs="仿宋"/>
          <w:sz w:val="32"/>
          <w:szCs w:val="32"/>
        </w:rPr>
        <w:t>统筹负责指导乡村治理和村民自治工作</w:t>
      </w:r>
      <w:r>
        <w:rPr>
          <w:rFonts w:hint="eastAsia" w:ascii="仿宋" w:hAnsi="仿宋" w:eastAsia="仿宋" w:cs="仿宋"/>
          <w:sz w:val="32"/>
          <w:szCs w:val="32"/>
          <w:lang w:eastAsia="zh-CN"/>
        </w:rPr>
        <w:t>；</w:t>
      </w:r>
      <w:r>
        <w:rPr>
          <w:rFonts w:hint="eastAsia" w:ascii="仿宋" w:hAnsi="仿宋" w:eastAsia="仿宋" w:cs="仿宋"/>
          <w:sz w:val="32"/>
          <w:szCs w:val="32"/>
        </w:rPr>
        <w:t>承担人民来信来访、综治维稳、司法、矛盾纠纷化解、治安联防等工作</w:t>
      </w:r>
      <w:r>
        <w:rPr>
          <w:rFonts w:hint="eastAsia" w:ascii="仿宋" w:hAnsi="仿宋" w:eastAsia="仿宋" w:cs="仿宋"/>
          <w:sz w:val="32"/>
          <w:szCs w:val="32"/>
          <w:lang w:eastAsia="zh-CN"/>
        </w:rPr>
        <w:t>；</w:t>
      </w:r>
      <w:r>
        <w:rPr>
          <w:rFonts w:hint="eastAsia" w:ascii="仿宋" w:hAnsi="仿宋" w:eastAsia="仿宋" w:cs="仿宋"/>
          <w:sz w:val="32"/>
          <w:szCs w:val="32"/>
        </w:rPr>
        <w:t>协调政法综治、群防群治、安全文明创建等工作</w:t>
      </w:r>
      <w:r>
        <w:rPr>
          <w:rFonts w:hint="eastAsia" w:ascii="仿宋" w:hAnsi="仿宋" w:eastAsia="仿宋" w:cs="仿宋"/>
          <w:sz w:val="32"/>
          <w:szCs w:val="32"/>
          <w:lang w:eastAsia="zh-CN"/>
        </w:rPr>
        <w:t>；</w:t>
      </w:r>
      <w:r>
        <w:rPr>
          <w:rFonts w:hint="eastAsia" w:ascii="仿宋" w:hAnsi="仿宋" w:eastAsia="仿宋" w:cs="仿宋"/>
          <w:sz w:val="32"/>
          <w:szCs w:val="32"/>
        </w:rPr>
        <w:t>负责突发公共事件的应急管理和处置工作</w:t>
      </w:r>
      <w:r>
        <w:rPr>
          <w:rFonts w:hint="eastAsia" w:ascii="仿宋" w:hAnsi="仿宋" w:eastAsia="仿宋" w:cs="仿宋"/>
          <w:sz w:val="32"/>
          <w:szCs w:val="32"/>
          <w:lang w:eastAsia="zh-CN"/>
        </w:rPr>
        <w:t>；</w:t>
      </w:r>
      <w:r>
        <w:rPr>
          <w:rFonts w:hint="eastAsia" w:ascii="仿宋" w:hAnsi="仿宋" w:eastAsia="仿宋" w:cs="仿宋"/>
          <w:sz w:val="32"/>
          <w:szCs w:val="32"/>
        </w:rPr>
        <w:t>负责宣传贯彻安全生产有关法律、法规、政策</w:t>
      </w:r>
      <w:r>
        <w:rPr>
          <w:rFonts w:hint="eastAsia" w:ascii="仿宋" w:hAnsi="仿宋" w:eastAsia="仿宋" w:cs="仿宋"/>
          <w:sz w:val="32"/>
          <w:szCs w:val="32"/>
          <w:lang w:eastAsia="zh-CN"/>
        </w:rPr>
        <w:t>；</w:t>
      </w:r>
      <w:r>
        <w:rPr>
          <w:rFonts w:hint="eastAsia" w:ascii="仿宋" w:hAnsi="仿宋" w:eastAsia="仿宋" w:cs="仿宋"/>
          <w:sz w:val="32"/>
          <w:szCs w:val="32"/>
        </w:rPr>
        <w:t>负责安全生产综合监管和打非治违工作。</w:t>
      </w:r>
    </w:p>
    <w:p w14:paraId="7D59A5F7">
      <w:pPr>
        <w:keepNext w:val="0"/>
        <w:keepLines w:val="0"/>
        <w:pageBreakBefore w:val="0"/>
        <w:widowControl w:val="0"/>
        <w:kinsoku/>
        <w:wordWrap/>
        <w:overflowPunct/>
        <w:topLinePunct/>
        <w:autoSpaceDE/>
        <w:autoSpaceDN/>
        <w:bidi w:val="0"/>
        <w:snapToGrid w:val="0"/>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）自然资源和建设管理办公室</w:t>
      </w:r>
      <w:r>
        <w:rPr>
          <w:rFonts w:hint="eastAsia" w:ascii="仿宋" w:hAnsi="仿宋" w:eastAsia="仿宋" w:cs="仿宋"/>
          <w:sz w:val="32"/>
          <w:szCs w:val="32"/>
          <w:lang w:eastAsia="zh-CN"/>
        </w:rPr>
        <w:t>（</w:t>
      </w:r>
      <w:r>
        <w:rPr>
          <w:rFonts w:hint="eastAsia" w:ascii="仿宋" w:hAnsi="仿宋" w:eastAsia="仿宋" w:cs="仿宋"/>
          <w:sz w:val="32"/>
          <w:szCs w:val="32"/>
        </w:rPr>
        <w:t>挂生态环境办公室牌子</w:t>
      </w:r>
      <w:r>
        <w:rPr>
          <w:rFonts w:hint="eastAsia" w:ascii="仿宋" w:hAnsi="仿宋" w:eastAsia="仿宋" w:cs="仿宋"/>
          <w:sz w:val="32"/>
          <w:szCs w:val="32"/>
          <w:lang w:eastAsia="zh-CN"/>
        </w:rPr>
        <w:t>）</w:t>
      </w:r>
      <w:r>
        <w:rPr>
          <w:rFonts w:hint="eastAsia" w:ascii="仿宋" w:hAnsi="仿宋" w:eastAsia="仿宋" w:cs="仿宋"/>
          <w:sz w:val="32"/>
          <w:szCs w:val="32"/>
        </w:rPr>
        <w:t>。统筹负责自然资源和规划、村镇建设、农房建设与管理等工作</w:t>
      </w:r>
      <w:r>
        <w:rPr>
          <w:rFonts w:hint="eastAsia" w:ascii="仿宋" w:hAnsi="仿宋" w:eastAsia="仿宋" w:cs="仿宋"/>
          <w:sz w:val="32"/>
          <w:szCs w:val="32"/>
          <w:lang w:eastAsia="zh-CN"/>
        </w:rPr>
        <w:t>；</w:t>
      </w:r>
      <w:r>
        <w:rPr>
          <w:rFonts w:hint="eastAsia" w:ascii="仿宋" w:hAnsi="仿宋" w:eastAsia="仿宋" w:cs="仿宋"/>
          <w:sz w:val="32"/>
          <w:szCs w:val="32"/>
        </w:rPr>
        <w:t>负责宣传贯彻生态环境保护有关法律法规</w:t>
      </w:r>
      <w:r>
        <w:rPr>
          <w:rFonts w:hint="eastAsia" w:ascii="仿宋" w:hAnsi="仿宋" w:eastAsia="仿宋" w:cs="仿宋"/>
          <w:sz w:val="32"/>
          <w:szCs w:val="32"/>
          <w:lang w:eastAsia="zh-CN"/>
        </w:rPr>
        <w:t>；</w:t>
      </w:r>
      <w:r>
        <w:rPr>
          <w:rFonts w:hint="eastAsia" w:ascii="仿宋" w:hAnsi="仿宋" w:eastAsia="仿宋" w:cs="仿宋"/>
          <w:sz w:val="32"/>
          <w:szCs w:val="32"/>
        </w:rPr>
        <w:t>负责生态环境建设、环境保护监督管理工作，配合有关部门查处环境违法行为，负责会同有关部门调解环境污染和生态破坏纠纷，协助处理环境突发事件。</w:t>
      </w:r>
    </w:p>
    <w:p w14:paraId="7BF5B12B">
      <w:pPr>
        <w:keepNext w:val="0"/>
        <w:keepLines w:val="0"/>
        <w:pageBreakBefore w:val="0"/>
        <w:widowControl w:val="0"/>
        <w:kinsoku/>
        <w:wordWrap/>
        <w:overflowPunct/>
        <w:topLinePunct/>
        <w:autoSpaceDE/>
        <w:autoSpaceDN/>
        <w:bidi w:val="0"/>
        <w:snapToGrid w:val="0"/>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）财政工作办公室。负责贯彻党和国家财经方针政策，严格执行财政法规和财经制度</w:t>
      </w:r>
      <w:r>
        <w:rPr>
          <w:rFonts w:hint="eastAsia" w:ascii="仿宋" w:hAnsi="仿宋" w:eastAsia="仿宋" w:cs="仿宋"/>
          <w:sz w:val="32"/>
          <w:szCs w:val="32"/>
          <w:lang w:eastAsia="zh-CN"/>
        </w:rPr>
        <w:t>；</w:t>
      </w:r>
      <w:r>
        <w:rPr>
          <w:rFonts w:hint="eastAsia" w:ascii="仿宋" w:hAnsi="仿宋" w:eastAsia="仿宋" w:cs="仿宋"/>
          <w:sz w:val="32"/>
          <w:szCs w:val="32"/>
        </w:rPr>
        <w:t>负责组织和管理乡镇财政收入和支出，编制并执行年度</w:t>
      </w:r>
      <w:r>
        <w:rPr>
          <w:rFonts w:hint="eastAsia" w:ascii="仿宋" w:hAnsi="仿宋" w:eastAsia="仿宋" w:cs="仿宋"/>
          <w:sz w:val="32"/>
          <w:szCs w:val="32"/>
          <w:lang w:eastAsia="zh-CN"/>
        </w:rPr>
        <w:t>预算</w:t>
      </w:r>
      <w:r>
        <w:rPr>
          <w:rFonts w:hint="eastAsia" w:ascii="仿宋" w:hAnsi="仿宋" w:eastAsia="仿宋" w:cs="仿宋"/>
          <w:sz w:val="32"/>
          <w:szCs w:val="32"/>
        </w:rPr>
        <w:t>、决算</w:t>
      </w:r>
      <w:r>
        <w:rPr>
          <w:rFonts w:hint="eastAsia" w:ascii="仿宋" w:hAnsi="仿宋" w:eastAsia="仿宋" w:cs="仿宋"/>
          <w:sz w:val="32"/>
          <w:szCs w:val="32"/>
          <w:lang w:eastAsia="zh-CN"/>
        </w:rPr>
        <w:t>；</w:t>
      </w:r>
      <w:r>
        <w:rPr>
          <w:rFonts w:hint="eastAsia" w:ascii="仿宋" w:hAnsi="仿宋" w:eastAsia="仿宋" w:cs="仿宋"/>
          <w:sz w:val="32"/>
          <w:szCs w:val="32"/>
        </w:rPr>
        <w:t>负责乡镇财政专项资金的管理</w:t>
      </w:r>
      <w:r>
        <w:rPr>
          <w:rFonts w:hint="eastAsia" w:ascii="仿宋" w:hAnsi="仿宋" w:eastAsia="仿宋" w:cs="仿宋"/>
          <w:sz w:val="32"/>
          <w:szCs w:val="32"/>
          <w:lang w:eastAsia="zh-CN"/>
        </w:rPr>
        <w:t>；</w:t>
      </w:r>
      <w:r>
        <w:rPr>
          <w:rFonts w:hint="eastAsia" w:ascii="仿宋" w:hAnsi="仿宋" w:eastAsia="仿宋" w:cs="仿宋"/>
          <w:sz w:val="32"/>
          <w:szCs w:val="32"/>
        </w:rPr>
        <w:t>负责农民负担监督管理</w:t>
      </w:r>
      <w:r>
        <w:rPr>
          <w:rFonts w:hint="eastAsia" w:ascii="仿宋" w:hAnsi="仿宋" w:eastAsia="仿宋" w:cs="仿宋"/>
          <w:sz w:val="32"/>
          <w:szCs w:val="32"/>
          <w:lang w:eastAsia="zh-CN"/>
        </w:rPr>
        <w:t>；</w:t>
      </w:r>
      <w:r>
        <w:rPr>
          <w:rFonts w:hint="eastAsia" w:ascii="仿宋" w:hAnsi="仿宋" w:eastAsia="仿宋" w:cs="仿宋"/>
          <w:sz w:val="32"/>
          <w:szCs w:val="32"/>
        </w:rPr>
        <w:t>负责集体资产与村级财务管理指导。</w:t>
      </w:r>
    </w:p>
    <w:p w14:paraId="34BA4AB1">
      <w:pPr>
        <w:keepNext w:val="0"/>
        <w:keepLines w:val="0"/>
        <w:pageBreakBefore w:val="0"/>
        <w:widowControl w:val="0"/>
        <w:kinsoku/>
        <w:wordWrap/>
        <w:overflowPunct/>
        <w:topLinePunct/>
        <w:autoSpaceDE/>
        <w:autoSpaceDN/>
        <w:bidi w:val="0"/>
        <w:adjustRightInd/>
        <w:spacing w:after="0" w:line="560" w:lineRule="exact"/>
        <w:ind w:left="0" w:leftChars="0" w:right="0" w:firstLine="643" w:firstLineChars="20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人员编制</w:t>
      </w:r>
    </w:p>
    <w:p w14:paraId="193CCCEF">
      <w:pPr>
        <w:keepNext w:val="0"/>
        <w:keepLines w:val="0"/>
        <w:pageBreakBefore w:val="0"/>
        <w:widowControl w:val="0"/>
        <w:kinsoku/>
        <w:wordWrap/>
        <w:overflowPunct/>
        <w:topLinePunct/>
        <w:autoSpaceDE/>
        <w:autoSpaceDN/>
        <w:bidi w:val="0"/>
        <w:adjustRightInd/>
        <w:spacing w:after="0" w:line="56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新盛镇党委</w:t>
      </w:r>
      <w:r>
        <w:rPr>
          <w:rFonts w:hint="eastAsia" w:ascii="仿宋" w:hAnsi="仿宋" w:eastAsia="仿宋" w:cs="仿宋"/>
          <w:sz w:val="32"/>
          <w:szCs w:val="32"/>
          <w:lang w:eastAsia="zh-CN"/>
        </w:rPr>
        <w:t>（</w:t>
      </w:r>
      <w:r>
        <w:rPr>
          <w:rFonts w:hint="eastAsia" w:ascii="仿宋" w:hAnsi="仿宋" w:eastAsia="仿宋" w:cs="仿宋"/>
          <w:sz w:val="32"/>
          <w:szCs w:val="32"/>
        </w:rPr>
        <w:t>新盛镇人民政府</w:t>
      </w:r>
      <w:r>
        <w:rPr>
          <w:rFonts w:hint="eastAsia" w:ascii="仿宋" w:hAnsi="仿宋" w:eastAsia="仿宋" w:cs="仿宋"/>
          <w:sz w:val="32"/>
          <w:szCs w:val="32"/>
          <w:lang w:eastAsia="zh-CN"/>
        </w:rPr>
        <w:t>）</w:t>
      </w:r>
      <w:r>
        <w:rPr>
          <w:rFonts w:hint="eastAsia" w:ascii="仿宋" w:hAnsi="仿宋" w:eastAsia="仿宋" w:cs="仿宋"/>
          <w:sz w:val="32"/>
          <w:szCs w:val="32"/>
        </w:rPr>
        <w:t>机关核定行政编制3</w:t>
      </w:r>
      <w:r>
        <w:rPr>
          <w:rFonts w:hint="eastAsia" w:ascii="仿宋" w:hAnsi="仿宋" w:eastAsia="仿宋" w:cs="仿宋"/>
          <w:sz w:val="32"/>
          <w:szCs w:val="32"/>
          <w:lang w:val="en-US" w:eastAsia="zh-CN"/>
        </w:rPr>
        <w:t>2</w:t>
      </w:r>
      <w:r>
        <w:rPr>
          <w:rFonts w:hint="eastAsia" w:ascii="仿宋" w:hAnsi="仿宋" w:eastAsia="仿宋" w:cs="仿宋"/>
          <w:sz w:val="32"/>
          <w:szCs w:val="32"/>
        </w:rPr>
        <w:t>名。其中，书记1名，副书记、镇长1名，人大主席1名</w:t>
      </w:r>
      <w:r>
        <w:rPr>
          <w:rFonts w:hint="eastAsia" w:ascii="仿宋" w:hAnsi="仿宋" w:eastAsia="仿宋" w:cs="仿宋"/>
          <w:sz w:val="32"/>
          <w:szCs w:val="32"/>
          <w:lang w:eastAsia="zh-CN"/>
        </w:rPr>
        <w:t>；</w:t>
      </w:r>
      <w:r>
        <w:rPr>
          <w:rFonts w:hint="eastAsia" w:ascii="仿宋" w:hAnsi="仿宋" w:eastAsia="仿宋" w:cs="仿宋"/>
          <w:sz w:val="32"/>
          <w:szCs w:val="32"/>
        </w:rPr>
        <w:t>副书记1名，纪委书记1名，组织委员1名，宣传统战委员兼副镇长1名，政法委员兼副镇长1名，人武部长兼副镇长1名，副镇长2名。</w:t>
      </w:r>
    </w:p>
    <w:p w14:paraId="785BD2A8">
      <w:pPr>
        <w:keepNext w:val="0"/>
        <w:keepLines w:val="0"/>
        <w:pageBreakBefore w:val="0"/>
        <w:widowControl w:val="0"/>
        <w:kinsoku/>
        <w:wordWrap/>
        <w:overflowPunct/>
        <w:topLinePunct/>
        <w:autoSpaceDE/>
        <w:autoSpaceDN/>
        <w:bidi w:val="0"/>
        <w:adjustRightInd/>
        <w:spacing w:after="0" w:line="56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核定股级职数19名。其中，正股级职数12名，副股级职数7名，镇纪委副书记、工会主席、团委书记、妇联主席、科协主席按正股级配备。</w:t>
      </w:r>
    </w:p>
    <w:p w14:paraId="036A04CA">
      <w:pPr>
        <w:pStyle w:val="5"/>
        <w:keepNext w:val="0"/>
        <w:keepLines w:val="0"/>
        <w:pageBreakBefore w:val="0"/>
        <w:widowControl w:val="0"/>
        <w:kinsoku/>
        <w:wordWrap/>
        <w:overflowPunct/>
        <w:topLinePunct/>
        <w:autoSpaceDE/>
        <w:autoSpaceDN/>
        <w:bidi w:val="0"/>
        <w:spacing w:before="0" w:after="0" w:line="560" w:lineRule="exact"/>
        <w:ind w:firstLine="640" w:firstLineChars="200"/>
        <w:textAlignment w:val="auto"/>
        <w:rPr>
          <w:rStyle w:val="29"/>
          <w:b w:val="0"/>
          <w:bCs w:val="0"/>
        </w:rPr>
      </w:pPr>
      <w:bookmarkStart w:id="23" w:name="_Toc2854"/>
      <w:bookmarkStart w:id="24" w:name="_Toc32201"/>
      <w:r>
        <w:rPr>
          <w:rFonts w:hint="eastAsia" w:ascii="黑体" w:eastAsia="黑体"/>
          <w:b w:val="0"/>
        </w:rPr>
        <w:t>二、</w:t>
      </w:r>
      <w:r>
        <w:rPr>
          <w:rFonts w:hint="eastAsia" w:ascii="黑体" w:hAnsi="黑体" w:eastAsia="黑体"/>
          <w:b w:val="0"/>
        </w:rPr>
        <w:t>机</w:t>
      </w:r>
      <w:r>
        <w:rPr>
          <w:rStyle w:val="29"/>
          <w:rFonts w:hint="eastAsia" w:ascii="黑体" w:hAnsi="黑体" w:eastAsia="黑体"/>
          <w:b w:val="0"/>
          <w:bCs w:val="0"/>
        </w:rPr>
        <w:t>构设置</w:t>
      </w:r>
      <w:bookmarkEnd w:id="21"/>
      <w:bookmarkEnd w:id="22"/>
      <w:bookmarkEnd w:id="23"/>
      <w:bookmarkEnd w:id="24"/>
    </w:p>
    <w:p w14:paraId="4681A6D0">
      <w:pPr>
        <w:keepNext w:val="0"/>
        <w:keepLines w:val="0"/>
        <w:pageBreakBefore w:val="0"/>
        <w:widowControl w:val="0"/>
        <w:kinsoku/>
        <w:wordWrap/>
        <w:overflowPunct/>
        <w:topLinePunct/>
        <w:autoSpaceDE/>
        <w:autoSpaceDN/>
        <w:bidi w:val="0"/>
        <w:adjustRightInd/>
        <w:spacing w:after="0" w:line="56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罗江区新盛镇人民政府下属二级预算单位</w:t>
      </w:r>
      <w:r>
        <w:rPr>
          <w:rFonts w:hint="eastAsia" w:ascii="仿宋" w:hAnsi="仿宋" w:eastAsia="仿宋" w:cs="仿宋"/>
          <w:sz w:val="32"/>
          <w:szCs w:val="32"/>
          <w:lang w:val="en-US" w:eastAsia="zh-CN"/>
        </w:rPr>
        <w:t>0</w:t>
      </w:r>
      <w:r>
        <w:rPr>
          <w:rFonts w:hint="eastAsia" w:ascii="仿宋" w:hAnsi="仿宋" w:eastAsia="仿宋" w:cs="仿宋"/>
          <w:sz w:val="32"/>
          <w:szCs w:val="32"/>
        </w:rPr>
        <w:t>个，其中行政单位</w:t>
      </w:r>
      <w:r>
        <w:rPr>
          <w:rFonts w:hint="eastAsia" w:ascii="仿宋" w:hAnsi="仿宋" w:eastAsia="仿宋" w:cs="仿宋"/>
          <w:sz w:val="32"/>
          <w:szCs w:val="32"/>
          <w:lang w:val="en-US" w:eastAsia="zh-CN"/>
        </w:rPr>
        <w:t>0</w:t>
      </w:r>
      <w:r>
        <w:rPr>
          <w:rFonts w:hint="eastAsia" w:ascii="仿宋" w:hAnsi="仿宋" w:eastAsia="仿宋" w:cs="仿宋"/>
          <w:sz w:val="32"/>
          <w:szCs w:val="32"/>
        </w:rPr>
        <w:t>个，参照公务员法管理的事业单位</w:t>
      </w:r>
      <w:r>
        <w:rPr>
          <w:rFonts w:hint="eastAsia" w:ascii="仿宋" w:hAnsi="仿宋" w:eastAsia="仿宋" w:cs="仿宋"/>
          <w:sz w:val="32"/>
          <w:szCs w:val="32"/>
          <w:lang w:val="en-US" w:eastAsia="zh-CN"/>
        </w:rPr>
        <w:t>0</w:t>
      </w:r>
      <w:r>
        <w:rPr>
          <w:rFonts w:hint="eastAsia" w:ascii="仿宋" w:hAnsi="仿宋" w:eastAsia="仿宋" w:cs="仿宋"/>
          <w:sz w:val="32"/>
          <w:szCs w:val="32"/>
        </w:rPr>
        <w:t>个，其他事业单位</w:t>
      </w:r>
      <w:r>
        <w:rPr>
          <w:rFonts w:hint="eastAsia" w:ascii="仿宋" w:hAnsi="仿宋" w:eastAsia="仿宋" w:cs="仿宋"/>
          <w:sz w:val="32"/>
          <w:szCs w:val="32"/>
          <w:lang w:val="en-US" w:eastAsia="zh-CN"/>
        </w:rPr>
        <w:t>0</w:t>
      </w:r>
      <w:r>
        <w:rPr>
          <w:rFonts w:hint="eastAsia" w:ascii="仿宋" w:hAnsi="仿宋" w:eastAsia="仿宋" w:cs="仿宋"/>
          <w:sz w:val="32"/>
          <w:szCs w:val="32"/>
        </w:rPr>
        <w:t>个。</w:t>
      </w:r>
      <w:r>
        <w:rPr>
          <w:rFonts w:hint="eastAsia" w:ascii="仿宋" w:hAnsi="仿宋" w:eastAsia="仿宋" w:cs="仿宋"/>
          <w:sz w:val="32"/>
          <w:szCs w:val="32"/>
        </w:rPr>
        <w:br w:type="page"/>
      </w:r>
    </w:p>
    <w:p w14:paraId="232A4FF7">
      <w:pPr>
        <w:pStyle w:val="4"/>
        <w:keepNext w:val="0"/>
        <w:keepLines w:val="0"/>
        <w:pageBreakBefore w:val="0"/>
        <w:widowControl w:val="0"/>
        <w:kinsoku/>
        <w:wordWrap/>
        <w:overflowPunct/>
        <w:topLinePunct/>
        <w:autoSpaceDE/>
        <w:autoSpaceDN/>
        <w:bidi w:val="0"/>
        <w:adjustRightInd/>
        <w:snapToGrid/>
        <w:spacing w:line="579" w:lineRule="auto"/>
        <w:ind w:right="442" w:firstLine="0" w:firstLineChars="0"/>
        <w:jc w:val="center"/>
        <w:textAlignment w:val="auto"/>
        <w:rPr>
          <w:rStyle w:val="28"/>
          <w:rFonts w:ascii="黑体" w:hAnsi="黑体" w:eastAsia="黑体"/>
          <w:b w:val="0"/>
          <w:bCs/>
        </w:rPr>
      </w:pPr>
      <w:bookmarkStart w:id="25" w:name="_Toc15396602"/>
      <w:bookmarkStart w:id="26" w:name="_Toc29471"/>
      <w:bookmarkStart w:id="27" w:name="_Toc15377204"/>
      <w:bookmarkStart w:id="28" w:name="_Toc19660"/>
      <w:r>
        <w:rPr>
          <w:rFonts w:hint="eastAsia" w:ascii="黑体" w:hAnsi="黑体" w:eastAsia="黑体"/>
          <w:b w:val="0"/>
        </w:rPr>
        <w:t>第二部分 2023年度</w:t>
      </w:r>
      <w:r>
        <w:rPr>
          <w:rStyle w:val="28"/>
          <w:rFonts w:hint="eastAsia" w:ascii="黑体" w:hAnsi="黑体" w:eastAsia="黑体"/>
          <w:b w:val="0"/>
          <w:bCs/>
        </w:rPr>
        <w:t>部门决算情况说明</w:t>
      </w:r>
      <w:bookmarkEnd w:id="25"/>
      <w:bookmarkEnd w:id="26"/>
      <w:bookmarkEnd w:id="27"/>
      <w:bookmarkEnd w:id="28"/>
    </w:p>
    <w:p w14:paraId="3910714C">
      <w:pPr>
        <w:keepNext w:val="0"/>
        <w:keepLines w:val="0"/>
        <w:pageBreakBefore w:val="0"/>
        <w:widowControl w:val="0"/>
        <w:kinsoku/>
        <w:wordWrap/>
        <w:overflowPunct/>
        <w:topLinePunct/>
        <w:autoSpaceDE/>
        <w:autoSpaceDN/>
        <w:bidi w:val="0"/>
        <w:ind w:firstLine="420" w:firstLineChars="200"/>
      </w:pPr>
    </w:p>
    <w:p w14:paraId="3DA325D8">
      <w:pPr>
        <w:pStyle w:val="27"/>
        <w:keepNext w:val="0"/>
        <w:keepLines w:val="0"/>
        <w:pageBreakBefore w:val="0"/>
        <w:widowControl w:val="0"/>
        <w:numPr>
          <w:ilvl w:val="0"/>
          <w:numId w:val="2"/>
        </w:numPr>
        <w:kinsoku/>
        <w:wordWrap/>
        <w:overflowPunct/>
        <w:topLinePunct/>
        <w:autoSpaceDE/>
        <w:autoSpaceDN/>
        <w:bidi w:val="0"/>
        <w:adjustRightInd/>
        <w:snapToGrid/>
        <w:spacing w:line="600" w:lineRule="exact"/>
        <w:ind w:left="0" w:firstLine="640" w:firstLineChars="200"/>
        <w:textAlignment w:val="auto"/>
        <w:outlineLvl w:val="1"/>
        <w:rPr>
          <w:rStyle w:val="29"/>
          <w:rFonts w:ascii="黑体" w:hAnsi="黑体" w:eastAsia="黑体"/>
          <w:b w:val="0"/>
        </w:rPr>
      </w:pPr>
      <w:bookmarkStart w:id="29" w:name="_Toc15377205"/>
      <w:bookmarkStart w:id="30" w:name="_Toc2536"/>
      <w:bookmarkStart w:id="31" w:name="_Toc15396603"/>
      <w:bookmarkStart w:id="32" w:name="_Toc28021"/>
      <w:r>
        <w:rPr>
          <w:rFonts w:hint="eastAsia" w:ascii="黑体" w:hAnsi="黑体" w:eastAsia="黑体"/>
          <w:sz w:val="32"/>
          <w:szCs w:val="32"/>
        </w:rPr>
        <w:t>收</w:t>
      </w:r>
      <w:r>
        <w:rPr>
          <w:rStyle w:val="29"/>
          <w:rFonts w:hint="eastAsia" w:ascii="黑体" w:hAnsi="黑体" w:eastAsia="黑体"/>
          <w:b w:val="0"/>
        </w:rPr>
        <w:t>入支出决算总体情况说明</w:t>
      </w:r>
      <w:bookmarkEnd w:id="29"/>
      <w:bookmarkEnd w:id="30"/>
      <w:bookmarkEnd w:id="31"/>
      <w:bookmarkEnd w:id="32"/>
    </w:p>
    <w:p w14:paraId="1720F371">
      <w:pPr>
        <w:keepNext w:val="0"/>
        <w:keepLines w:val="0"/>
        <w:pageBreakBefore w:val="0"/>
        <w:widowControl w:val="0"/>
        <w:kinsoku/>
        <w:wordWrap/>
        <w:overflowPunct/>
        <w:topLinePunct/>
        <w:autoSpaceDE/>
        <w:autoSpaceDN/>
        <w:bidi w:val="0"/>
        <w:spacing w:line="600" w:lineRule="exact"/>
        <w:ind w:firstLine="640" w:firstLineChars="200"/>
        <w:jc w:val="left"/>
        <w:rPr>
          <w:rFonts w:ascii="仿宋_GB2312" w:eastAsia="仿宋_GB2312"/>
          <w:sz w:val="32"/>
          <w:szCs w:val="32"/>
        </w:rPr>
      </w:pPr>
      <w:r>
        <w:rPr>
          <w:rFonts w:hint="eastAsia" w:ascii="仿宋" w:hAnsi="仿宋" w:eastAsia="仿宋"/>
          <w:sz w:val="32"/>
          <w:szCs w:val="32"/>
        </w:rPr>
        <w:t>2023年度收</w:t>
      </w:r>
      <w:r>
        <w:rPr>
          <w:rFonts w:hint="eastAsia" w:ascii="仿宋" w:hAnsi="仿宋" w:eastAsia="仿宋"/>
          <w:sz w:val="32"/>
          <w:szCs w:val="32"/>
          <w:lang w:val="en-US" w:eastAsia="zh-CN"/>
        </w:rPr>
        <w:t>入</w:t>
      </w:r>
      <w:r>
        <w:rPr>
          <w:rFonts w:hint="eastAsia" w:ascii="仿宋" w:hAnsi="仿宋" w:eastAsia="仿宋" w:cs="Times New Roman"/>
          <w:sz w:val="32"/>
          <w:szCs w:val="32"/>
          <w:lang w:val="en-US" w:eastAsia="zh-CN"/>
        </w:rPr>
        <w:t>1795.17万</w:t>
      </w:r>
      <w:r>
        <w:rPr>
          <w:rFonts w:hint="eastAsia" w:ascii="仿宋" w:hAnsi="仿宋" w:eastAsia="仿宋"/>
          <w:sz w:val="32"/>
          <w:szCs w:val="32"/>
        </w:rPr>
        <w:t>元</w:t>
      </w:r>
      <w:r>
        <w:rPr>
          <w:rFonts w:hint="eastAsia" w:ascii="仿宋" w:hAnsi="仿宋" w:eastAsia="仿宋"/>
          <w:sz w:val="32"/>
          <w:szCs w:val="32"/>
          <w:lang w:eastAsia="zh-CN"/>
        </w:rPr>
        <w:t>，</w:t>
      </w:r>
      <w:r>
        <w:rPr>
          <w:rFonts w:hint="eastAsia" w:ascii="仿宋" w:hAnsi="仿宋" w:eastAsia="仿宋"/>
          <w:sz w:val="32"/>
          <w:szCs w:val="32"/>
          <w:lang w:val="en-US" w:eastAsia="zh-CN"/>
        </w:rPr>
        <w:t>支出</w:t>
      </w:r>
      <w:r>
        <w:rPr>
          <w:rFonts w:hint="eastAsia" w:ascii="仿宋" w:hAnsi="仿宋" w:eastAsia="仿宋"/>
          <w:sz w:val="32"/>
          <w:szCs w:val="32"/>
        </w:rPr>
        <w:t>为</w:t>
      </w:r>
      <w:r>
        <w:rPr>
          <w:rFonts w:hint="eastAsia" w:ascii="仿宋" w:hAnsi="仿宋" w:eastAsia="仿宋" w:cs="Times New Roman"/>
          <w:sz w:val="32"/>
          <w:szCs w:val="32"/>
          <w:lang w:val="en-US" w:eastAsia="zh-CN"/>
        </w:rPr>
        <w:t>1795.17万</w:t>
      </w:r>
      <w:r>
        <w:rPr>
          <w:rFonts w:hint="eastAsia" w:ascii="仿宋" w:hAnsi="仿宋" w:eastAsia="仿宋"/>
          <w:sz w:val="32"/>
          <w:szCs w:val="32"/>
        </w:rPr>
        <w:t>元</w:t>
      </w:r>
      <w:r>
        <w:rPr>
          <w:rFonts w:hint="eastAsia"/>
          <w:sz w:val="32"/>
          <w:szCs w:val="32"/>
        </w:rPr>
        <w:t>。</w:t>
      </w:r>
      <w:r>
        <w:rPr>
          <w:rFonts w:hint="eastAsia" w:ascii="仿宋" w:hAnsi="仿宋" w:eastAsia="仿宋"/>
          <w:sz w:val="32"/>
          <w:szCs w:val="32"/>
        </w:rPr>
        <w:t>与2022年度相比，收、支总计各增加</w:t>
      </w:r>
      <w:r>
        <w:rPr>
          <w:rFonts w:hint="eastAsia" w:ascii="仿宋" w:hAnsi="仿宋" w:eastAsia="仿宋"/>
          <w:sz w:val="32"/>
          <w:szCs w:val="32"/>
          <w:lang w:val="en-US" w:eastAsia="zh-CN"/>
        </w:rPr>
        <w:t>118.46</w:t>
      </w:r>
      <w:r>
        <w:rPr>
          <w:rFonts w:hint="eastAsia" w:ascii="仿宋" w:hAnsi="仿宋" w:eastAsia="仿宋"/>
          <w:sz w:val="32"/>
          <w:szCs w:val="32"/>
        </w:rPr>
        <w:t>万元，增长</w:t>
      </w:r>
      <w:r>
        <w:rPr>
          <w:rFonts w:hint="eastAsia" w:ascii="仿宋" w:hAnsi="仿宋" w:eastAsia="仿宋"/>
          <w:sz w:val="32"/>
          <w:szCs w:val="32"/>
          <w:lang w:val="en-US" w:eastAsia="zh-CN"/>
        </w:rPr>
        <w:t>7.07</w:t>
      </w:r>
      <w:r>
        <w:rPr>
          <w:rFonts w:ascii="仿宋" w:hAnsi="仿宋" w:eastAsia="仿宋"/>
          <w:sz w:val="32"/>
          <w:szCs w:val="32"/>
        </w:rPr>
        <w:t>%</w:t>
      </w:r>
      <w:r>
        <w:rPr>
          <w:rFonts w:hint="eastAsia" w:ascii="仿宋" w:hAnsi="仿宋" w:eastAsia="仿宋"/>
          <w:sz w:val="32"/>
          <w:szCs w:val="32"/>
          <w:lang w:eastAsia="zh-CN"/>
        </w:rPr>
        <w:t>。</w:t>
      </w:r>
      <w:r>
        <w:rPr>
          <w:rFonts w:hint="eastAsia" w:ascii="仿宋_GB2312" w:hAnsi="仿宋_GB2312" w:eastAsia="仿宋_GB2312"/>
          <w:color w:val="000000"/>
          <w:kern w:val="2"/>
          <w:sz w:val="32"/>
          <w:szCs w:val="24"/>
          <w:highlight w:val="none"/>
          <w:lang w:val="zh-CN"/>
        </w:rPr>
        <w:t>主要变动原因是</w:t>
      </w:r>
      <w:r>
        <w:rPr>
          <w:rFonts w:hint="eastAsia" w:ascii="仿宋_GB2312" w:hAnsi="仿宋" w:eastAsia="仿宋_GB2312"/>
          <w:sz w:val="32"/>
          <w:szCs w:val="32"/>
          <w:highlight w:val="none"/>
          <w:lang w:val="en-US" w:eastAsia="zh-CN"/>
        </w:rPr>
        <w:t>本年度增加了新盛镇重点工作综合业务费</w:t>
      </w:r>
      <w:r>
        <w:rPr>
          <w:rFonts w:hint="eastAsia" w:ascii="仿宋_GB2312" w:hAnsi="仿宋_GB2312" w:eastAsia="仿宋_GB2312"/>
          <w:color w:val="000000"/>
          <w:kern w:val="2"/>
          <w:sz w:val="32"/>
          <w:szCs w:val="24"/>
          <w:highlight w:val="none"/>
          <w:lang w:val="zh-CN"/>
        </w:rPr>
        <w:t>。</w:t>
      </w:r>
    </w:p>
    <w:p w14:paraId="61C39E46">
      <w:pPr>
        <w:keepNext w:val="0"/>
        <w:keepLines w:val="0"/>
        <w:pageBreakBefore w:val="0"/>
        <w:widowControl w:val="0"/>
        <w:kinsoku/>
        <w:wordWrap/>
        <w:overflowPunct/>
        <w:topLinePunct/>
        <w:autoSpaceDE/>
        <w:autoSpaceDN/>
        <w:bidi w:val="0"/>
        <w:adjustRightInd w:val="0"/>
        <w:spacing w:beforeLines="0" w:afterLines="0" w:line="600" w:lineRule="exact"/>
        <w:ind w:firstLine="640" w:firstLineChars="200"/>
        <w:jc w:val="center"/>
        <w:rPr>
          <w:rFonts w:hint="eastAsia" w:ascii="仿宋" w:hAnsi="仿宋" w:eastAsia="仿宋" w:cs="Times New Roman"/>
          <w:color w:val="auto"/>
          <w:kern w:val="2"/>
          <w:sz w:val="32"/>
          <w:szCs w:val="24"/>
          <w:lang w:val="en-US"/>
        </w:rPr>
      </w:pPr>
      <w:bookmarkStart w:id="33" w:name="_Toc15377206"/>
      <w:bookmarkStart w:id="34" w:name="_Toc15396604"/>
      <w:r>
        <w:rPr>
          <w:rFonts w:hint="eastAsia" w:ascii="仿宋" w:hAnsi="仿宋" w:eastAsia="仿宋" w:cs="Times New Roman"/>
          <w:color w:val="auto"/>
          <w:kern w:val="2"/>
          <w:sz w:val="32"/>
          <w:szCs w:val="24"/>
          <w:lang w:val="en-US"/>
        </w:rPr>
        <w:drawing>
          <wp:anchor distT="0" distB="0" distL="114300" distR="114300" simplePos="0" relativeHeight="251659264" behindDoc="0" locked="0" layoutInCell="1" allowOverlap="1">
            <wp:simplePos x="0" y="0"/>
            <wp:positionH relativeFrom="column">
              <wp:posOffset>147320</wp:posOffset>
            </wp:positionH>
            <wp:positionV relativeFrom="paragraph">
              <wp:posOffset>106680</wp:posOffset>
            </wp:positionV>
            <wp:extent cx="4826000" cy="2741295"/>
            <wp:effectExtent l="0" t="0" r="0" b="0"/>
            <wp:wrapTopAndBottom/>
            <wp:docPr id="7" name="图表 6" descr="7b0a202020202263686172745265734964223a2022323034373230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s="Times New Roman"/>
          <w:color w:val="auto"/>
          <w:kern w:val="2"/>
          <w:sz w:val="32"/>
          <w:szCs w:val="24"/>
          <w:lang w:val="en-US"/>
        </w:rPr>
        <w:t>图1：收、支决算总计变动情况图（单位：万元）</w:t>
      </w:r>
    </w:p>
    <w:p w14:paraId="25E27AAF">
      <w:pPr>
        <w:pStyle w:val="27"/>
        <w:keepNext w:val="0"/>
        <w:keepLines w:val="0"/>
        <w:pageBreakBefore w:val="0"/>
        <w:widowControl w:val="0"/>
        <w:numPr>
          <w:ilvl w:val="0"/>
          <w:numId w:val="2"/>
        </w:numPr>
        <w:kinsoku/>
        <w:wordWrap/>
        <w:overflowPunct/>
        <w:topLinePunct/>
        <w:autoSpaceDE/>
        <w:autoSpaceDN/>
        <w:bidi w:val="0"/>
        <w:adjustRightInd/>
        <w:snapToGrid/>
        <w:spacing w:line="560" w:lineRule="exact"/>
        <w:ind w:left="0" w:firstLine="640" w:firstLineChars="200"/>
        <w:textAlignment w:val="auto"/>
        <w:outlineLvl w:val="1"/>
        <w:rPr>
          <w:rStyle w:val="29"/>
          <w:rFonts w:ascii="黑体" w:hAnsi="黑体" w:eastAsia="黑体"/>
          <w:b w:val="0"/>
        </w:rPr>
      </w:pPr>
      <w:bookmarkStart w:id="35" w:name="_Toc1692"/>
      <w:bookmarkStart w:id="36" w:name="_Toc25758"/>
      <w:r>
        <w:rPr>
          <w:rFonts w:hint="eastAsia" w:ascii="黑体" w:hAnsi="黑体" w:eastAsia="黑体"/>
          <w:sz w:val="32"/>
          <w:szCs w:val="32"/>
        </w:rPr>
        <w:t>收</w:t>
      </w:r>
      <w:r>
        <w:rPr>
          <w:rStyle w:val="29"/>
          <w:rFonts w:hint="eastAsia" w:ascii="黑体" w:hAnsi="黑体" w:eastAsia="黑体"/>
          <w:b w:val="0"/>
        </w:rPr>
        <w:t>入决算情况说明</w:t>
      </w:r>
      <w:bookmarkEnd w:id="33"/>
      <w:bookmarkEnd w:id="34"/>
      <w:bookmarkEnd w:id="35"/>
      <w:bookmarkEnd w:id="36"/>
    </w:p>
    <w:p w14:paraId="4945B982">
      <w:pPr>
        <w:keepNext w:val="0"/>
        <w:keepLines w:val="0"/>
        <w:pageBreakBefore w:val="0"/>
        <w:widowControl w:val="0"/>
        <w:kinsoku/>
        <w:wordWrap/>
        <w:overflowPunct/>
        <w:topLinePunct/>
        <w:autoSpaceDE/>
        <w:autoSpaceDN/>
        <w:bidi w:val="0"/>
        <w:adjustRightInd/>
        <w:snapToGrid/>
        <w:spacing w:line="560" w:lineRule="exact"/>
        <w:ind w:firstLine="640" w:firstLineChars="200"/>
        <w:jc w:val="left"/>
        <w:textAlignment w:val="auto"/>
        <w:outlineLvl w:val="9"/>
        <w:rPr>
          <w:rFonts w:hint="eastAsia" w:ascii="仿宋" w:hAnsi="仿宋" w:eastAsia="仿宋"/>
          <w:sz w:val="32"/>
          <w:szCs w:val="32"/>
        </w:rPr>
      </w:pPr>
      <w:bookmarkStart w:id="37" w:name="_Toc11512"/>
      <w:r>
        <w:rPr>
          <w:rFonts w:hint="eastAsia" w:ascii="仿宋" w:hAnsi="仿宋" w:eastAsia="仿宋"/>
          <w:sz w:val="32"/>
          <w:szCs w:val="32"/>
        </w:rPr>
        <w:t>2023年度本年收入合计</w:t>
      </w:r>
      <w:r>
        <w:rPr>
          <w:sz w:val="32"/>
          <w:szCs w:val="32"/>
        </w:rPr>
        <w:t>1795.17</w:t>
      </w:r>
      <w:r>
        <w:rPr>
          <w:rFonts w:hint="eastAsia" w:ascii="仿宋" w:hAnsi="仿宋" w:eastAsia="仿宋"/>
          <w:sz w:val="32"/>
          <w:szCs w:val="32"/>
        </w:rPr>
        <w:t>万元，其中：一般公共预算财政拨款收入</w:t>
      </w:r>
      <w:r>
        <w:rPr>
          <w:sz w:val="32"/>
          <w:szCs w:val="32"/>
        </w:rPr>
        <w:t>1709.64</w:t>
      </w:r>
      <w:r>
        <w:rPr>
          <w:rFonts w:hint="eastAsia" w:ascii="仿宋" w:hAnsi="仿宋" w:eastAsia="仿宋"/>
          <w:sz w:val="32"/>
          <w:szCs w:val="32"/>
        </w:rPr>
        <w:t>万元，占</w:t>
      </w:r>
      <w:r>
        <w:rPr>
          <w:sz w:val="32"/>
          <w:szCs w:val="32"/>
        </w:rPr>
        <w:t>95.23</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85.49</w:t>
      </w:r>
      <w:r>
        <w:rPr>
          <w:rFonts w:hint="eastAsia" w:ascii="仿宋" w:hAnsi="仿宋" w:eastAsia="仿宋"/>
          <w:sz w:val="32"/>
          <w:szCs w:val="32"/>
        </w:rPr>
        <w:t>万元，占</w:t>
      </w:r>
      <w:r>
        <w:rPr>
          <w:sz w:val="32"/>
          <w:szCs w:val="32"/>
        </w:rPr>
        <w:t>4.76</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0.04</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；上级补助收入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bookmarkEnd w:id="37"/>
    </w:p>
    <w:p w14:paraId="2D4F465F">
      <w:pPr>
        <w:keepNext w:val="0"/>
        <w:keepLines w:val="0"/>
        <w:pageBreakBefore w:val="0"/>
        <w:widowControl w:val="0"/>
        <w:kinsoku/>
        <w:wordWrap/>
        <w:overflowPunct/>
        <w:topLinePunct/>
        <w:autoSpaceDE/>
        <w:autoSpaceDN/>
        <w:bidi w:val="0"/>
        <w:adjustRightInd/>
        <w:snapToGrid/>
        <w:spacing w:line="560" w:lineRule="exact"/>
        <w:ind w:firstLine="640" w:firstLineChars="200"/>
        <w:jc w:val="left"/>
        <w:textAlignment w:val="auto"/>
        <w:outlineLvl w:val="9"/>
        <w:rPr>
          <w:rFonts w:hint="eastAsia" w:ascii="仿宋" w:hAnsi="仿宋" w:eastAsia="仿宋"/>
          <w:sz w:val="32"/>
          <w:szCs w:val="32"/>
        </w:rPr>
      </w:pPr>
    </w:p>
    <w:p w14:paraId="021C73B0">
      <w:pPr>
        <w:keepNext w:val="0"/>
        <w:keepLines w:val="0"/>
        <w:pageBreakBefore w:val="0"/>
        <w:widowControl w:val="0"/>
        <w:kinsoku/>
        <w:wordWrap/>
        <w:overflowPunct/>
        <w:topLinePunct/>
        <w:autoSpaceDE/>
        <w:autoSpaceDN/>
        <w:bidi w:val="0"/>
        <w:adjustRightInd w:val="0"/>
        <w:spacing w:beforeLines="0" w:afterLines="0" w:line="600" w:lineRule="exact"/>
        <w:ind w:firstLine="420" w:firstLineChars="200"/>
        <w:jc w:val="center"/>
        <w:rPr>
          <w:rFonts w:hint="eastAsia" w:ascii="仿宋" w:hAnsi="仿宋" w:eastAsia="仿宋" w:cs="Times New Roman"/>
          <w:color w:val="auto"/>
          <w:kern w:val="2"/>
          <w:sz w:val="32"/>
          <w:szCs w:val="24"/>
          <w:lang w:val="en-US"/>
        </w:rPr>
      </w:pPr>
      <w:r>
        <w:drawing>
          <wp:anchor distT="0" distB="0" distL="114300" distR="114300" simplePos="0" relativeHeight="251664384" behindDoc="0" locked="0" layoutInCell="1" allowOverlap="1">
            <wp:simplePos x="0" y="0"/>
            <wp:positionH relativeFrom="column">
              <wp:posOffset>309245</wp:posOffset>
            </wp:positionH>
            <wp:positionV relativeFrom="paragraph">
              <wp:posOffset>-211455</wp:posOffset>
            </wp:positionV>
            <wp:extent cx="4826000" cy="2743200"/>
            <wp:effectExtent l="4445" t="4445" r="8255" b="1460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s="Times New Roman"/>
          <w:color w:val="auto"/>
          <w:kern w:val="2"/>
          <w:sz w:val="32"/>
          <w:szCs w:val="24"/>
          <w:lang w:val="en-US"/>
        </w:rPr>
        <w:t>图2：收入决算结构图</w:t>
      </w:r>
    </w:p>
    <w:p w14:paraId="31E052E9">
      <w:pPr>
        <w:pStyle w:val="27"/>
        <w:keepNext w:val="0"/>
        <w:keepLines w:val="0"/>
        <w:pageBreakBefore w:val="0"/>
        <w:widowControl w:val="0"/>
        <w:numPr>
          <w:ilvl w:val="0"/>
          <w:numId w:val="2"/>
        </w:numPr>
        <w:kinsoku/>
        <w:wordWrap/>
        <w:overflowPunct/>
        <w:topLinePunct/>
        <w:autoSpaceDE/>
        <w:autoSpaceDN/>
        <w:bidi w:val="0"/>
        <w:adjustRightInd/>
        <w:snapToGrid/>
        <w:spacing w:line="600" w:lineRule="exact"/>
        <w:ind w:left="0" w:firstLine="640" w:firstLineChars="200"/>
        <w:textAlignment w:val="auto"/>
        <w:outlineLvl w:val="1"/>
        <w:rPr>
          <w:rStyle w:val="29"/>
          <w:rFonts w:ascii="黑体" w:hAnsi="黑体" w:eastAsia="黑体"/>
          <w:b w:val="0"/>
        </w:rPr>
      </w:pPr>
      <w:bookmarkStart w:id="38" w:name="_Toc1524"/>
      <w:bookmarkStart w:id="39" w:name="_Toc15396605"/>
      <w:bookmarkStart w:id="40" w:name="_Toc26984"/>
      <w:bookmarkStart w:id="41" w:name="_Toc15377207"/>
      <w:r>
        <w:rPr>
          <w:rFonts w:hint="eastAsia" w:ascii="黑体" w:hAnsi="黑体" w:eastAsia="黑体"/>
          <w:sz w:val="32"/>
          <w:szCs w:val="32"/>
        </w:rPr>
        <w:t>支</w:t>
      </w:r>
      <w:r>
        <w:rPr>
          <w:rStyle w:val="29"/>
          <w:rFonts w:hint="eastAsia" w:ascii="黑体" w:hAnsi="黑体" w:eastAsia="黑体"/>
          <w:b w:val="0"/>
        </w:rPr>
        <w:t>出决算情况说明</w:t>
      </w:r>
      <w:bookmarkEnd w:id="38"/>
      <w:bookmarkEnd w:id="39"/>
      <w:bookmarkEnd w:id="40"/>
      <w:bookmarkEnd w:id="41"/>
    </w:p>
    <w:p w14:paraId="205C9672">
      <w:pPr>
        <w:keepNext w:val="0"/>
        <w:keepLines w:val="0"/>
        <w:pageBreakBefore w:val="0"/>
        <w:widowControl w:val="0"/>
        <w:kinsoku/>
        <w:wordWrap/>
        <w:overflowPunct/>
        <w:topLinePunct/>
        <w:autoSpaceDE/>
        <w:autoSpaceDN/>
        <w:bidi w:val="0"/>
        <w:spacing w:line="600" w:lineRule="exact"/>
        <w:ind w:firstLine="640" w:firstLineChars="200"/>
        <w:outlineLvl w:val="9"/>
        <w:rPr>
          <w:rFonts w:ascii="仿宋" w:hAnsi="仿宋" w:eastAsia="仿宋"/>
          <w:sz w:val="32"/>
          <w:szCs w:val="32"/>
        </w:rPr>
      </w:pPr>
      <w:bookmarkStart w:id="42" w:name="_Toc22219"/>
      <w:r>
        <w:rPr>
          <w:rFonts w:hint="eastAsia" w:ascii="仿宋" w:hAnsi="仿宋" w:eastAsia="仿宋"/>
          <w:sz w:val="32"/>
          <w:szCs w:val="32"/>
        </w:rPr>
        <w:t>2023年度本年支出合计</w:t>
      </w:r>
      <w:r>
        <w:rPr>
          <w:sz w:val="32"/>
          <w:szCs w:val="32"/>
        </w:rPr>
        <w:t>1795.17</w:t>
      </w:r>
      <w:r>
        <w:rPr>
          <w:rFonts w:hint="eastAsia" w:ascii="仿宋" w:hAnsi="仿宋" w:eastAsia="仿宋"/>
          <w:sz w:val="32"/>
          <w:szCs w:val="32"/>
        </w:rPr>
        <w:t>万元，其中：基本支出</w:t>
      </w:r>
      <w:r>
        <w:rPr>
          <w:sz w:val="32"/>
          <w:szCs w:val="32"/>
        </w:rPr>
        <w:t>1709.64</w:t>
      </w:r>
      <w:r>
        <w:rPr>
          <w:rFonts w:hint="eastAsia" w:ascii="仿宋" w:hAnsi="仿宋" w:eastAsia="仿宋"/>
          <w:sz w:val="32"/>
          <w:szCs w:val="32"/>
        </w:rPr>
        <w:t>万元，占</w:t>
      </w:r>
      <w:r>
        <w:rPr>
          <w:sz w:val="32"/>
          <w:szCs w:val="32"/>
        </w:rPr>
        <w:t>95.23</w:t>
      </w:r>
      <w:r>
        <w:rPr>
          <w:rFonts w:ascii="仿宋" w:hAnsi="仿宋" w:eastAsia="仿宋"/>
          <w:sz w:val="32"/>
          <w:szCs w:val="32"/>
        </w:rPr>
        <w:t>%</w:t>
      </w:r>
      <w:r>
        <w:rPr>
          <w:rFonts w:hint="eastAsia" w:ascii="仿宋" w:hAnsi="仿宋" w:eastAsia="仿宋"/>
          <w:sz w:val="32"/>
          <w:szCs w:val="32"/>
        </w:rPr>
        <w:t>；项目支出</w:t>
      </w:r>
      <w:r>
        <w:rPr>
          <w:sz w:val="32"/>
          <w:szCs w:val="32"/>
        </w:rPr>
        <w:t>85.53</w:t>
      </w:r>
      <w:r>
        <w:rPr>
          <w:rFonts w:hint="eastAsia" w:ascii="仿宋" w:hAnsi="仿宋" w:eastAsia="仿宋"/>
          <w:sz w:val="32"/>
          <w:szCs w:val="32"/>
        </w:rPr>
        <w:t>万元，占</w:t>
      </w:r>
      <w:r>
        <w:rPr>
          <w:sz w:val="32"/>
          <w:szCs w:val="32"/>
        </w:rPr>
        <w:t>4.76</w:t>
      </w:r>
      <w:r>
        <w:rPr>
          <w:rFonts w:ascii="仿宋" w:hAnsi="仿宋" w:eastAsia="仿宋"/>
          <w:sz w:val="32"/>
          <w:szCs w:val="32"/>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bookmarkEnd w:id="42"/>
    </w:p>
    <w:p w14:paraId="0978CAD7">
      <w:pPr>
        <w:keepNext w:val="0"/>
        <w:keepLines w:val="0"/>
        <w:pageBreakBefore w:val="0"/>
        <w:widowControl w:val="0"/>
        <w:kinsoku/>
        <w:wordWrap/>
        <w:overflowPunct/>
        <w:topLinePunct/>
        <w:autoSpaceDE/>
        <w:autoSpaceDN/>
        <w:bidi w:val="0"/>
        <w:adjustRightInd w:val="0"/>
        <w:spacing w:beforeLines="0" w:afterLines="0" w:line="600" w:lineRule="exact"/>
        <w:ind w:firstLine="420" w:firstLineChars="200"/>
        <w:jc w:val="center"/>
        <w:rPr>
          <w:rFonts w:hint="default" w:ascii="仿宋" w:hAnsi="仿宋" w:eastAsia="仿宋" w:cs="Times New Roman"/>
          <w:color w:val="auto"/>
          <w:kern w:val="2"/>
          <w:sz w:val="32"/>
          <w:szCs w:val="24"/>
          <w:lang w:val="en-US" w:eastAsia="zh-CN"/>
        </w:rPr>
      </w:pPr>
      <w:r>
        <w:drawing>
          <wp:anchor distT="0" distB="0" distL="114300" distR="114300" simplePos="0" relativeHeight="251665408" behindDoc="0" locked="0" layoutInCell="1" allowOverlap="1">
            <wp:simplePos x="0" y="0"/>
            <wp:positionH relativeFrom="column">
              <wp:posOffset>175895</wp:posOffset>
            </wp:positionH>
            <wp:positionV relativeFrom="paragraph">
              <wp:posOffset>309245</wp:posOffset>
            </wp:positionV>
            <wp:extent cx="4826000" cy="2743200"/>
            <wp:effectExtent l="4445" t="4445" r="8255" b="1460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s="Times New Roman"/>
          <w:color w:val="auto"/>
          <w:kern w:val="2"/>
          <w:sz w:val="32"/>
          <w:szCs w:val="24"/>
          <w:lang w:val="en-US"/>
        </w:rPr>
        <w:t>图3：支出决算结构图</w:t>
      </w:r>
      <w:r>
        <w:rPr>
          <w:rFonts w:hint="eastAsia" w:ascii="仿宋" w:hAnsi="仿宋" w:eastAsia="仿宋" w:cs="Times New Roman"/>
          <w:color w:val="auto"/>
          <w:kern w:val="2"/>
          <w:sz w:val="32"/>
          <w:szCs w:val="24"/>
          <w:lang w:val="en-US" w:eastAsia="zh-CN"/>
        </w:rPr>
        <w:t>（单位：万元）</w:t>
      </w:r>
    </w:p>
    <w:p w14:paraId="6F950695">
      <w:pPr>
        <w:keepNext w:val="0"/>
        <w:keepLines w:val="0"/>
        <w:pageBreakBefore w:val="0"/>
        <w:widowControl w:val="0"/>
        <w:kinsoku/>
        <w:wordWrap/>
        <w:overflowPunct/>
        <w:topLinePunct/>
        <w:autoSpaceDE/>
        <w:autoSpaceDN/>
        <w:bidi w:val="0"/>
        <w:adjustRightInd/>
        <w:snapToGrid/>
        <w:spacing w:line="560" w:lineRule="exact"/>
        <w:ind w:firstLine="420" w:firstLineChars="200"/>
        <w:textAlignment w:val="auto"/>
        <w:outlineLvl w:val="1"/>
        <w:rPr>
          <w:rStyle w:val="29"/>
          <w:rFonts w:ascii="黑体" w:hAnsi="黑体" w:eastAsia="黑体"/>
          <w:b w:val="0"/>
        </w:rPr>
      </w:pPr>
      <w:bookmarkStart w:id="43" w:name="_Toc15396606"/>
      <w:bookmarkStart w:id="44" w:name="_Toc15377208"/>
      <w:bookmarkStart w:id="45" w:name="_Toc13047"/>
      <w:bookmarkStart w:id="46" w:name="_Toc15610"/>
      <w:r>
        <w:drawing>
          <wp:anchor distT="0" distB="0" distL="114300" distR="114300" simplePos="0" relativeHeight="251660288" behindDoc="0" locked="0" layoutInCell="1" allowOverlap="1">
            <wp:simplePos x="0" y="0"/>
            <wp:positionH relativeFrom="column">
              <wp:posOffset>-72390</wp:posOffset>
            </wp:positionH>
            <wp:positionV relativeFrom="paragraph">
              <wp:posOffset>1995170</wp:posOffset>
            </wp:positionV>
            <wp:extent cx="5288915" cy="2646045"/>
            <wp:effectExtent l="4445" t="4445" r="21590" b="54610"/>
            <wp:wrapTopAndBottom/>
            <wp:docPr id="1" name="图表 6" descr="7b0a202020202263686172745265734964223a2022323034373230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43"/>
      <w:bookmarkEnd w:id="44"/>
      <w:bookmarkEnd w:id="45"/>
      <w:bookmarkEnd w:id="46"/>
    </w:p>
    <w:p w14:paraId="6030204F">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2023年度财政拨款收、支总计均为</w:t>
      </w:r>
      <w:r>
        <w:rPr>
          <w:sz w:val="32"/>
          <w:szCs w:val="32"/>
        </w:rPr>
        <w:t>1795.17</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130.07</w:t>
      </w:r>
      <w:r>
        <w:rPr>
          <w:rFonts w:hint="eastAsia" w:ascii="仿宋" w:hAnsi="仿宋" w:eastAsia="仿宋"/>
          <w:sz w:val="32"/>
          <w:szCs w:val="32"/>
        </w:rPr>
        <w:t>万元，增长</w:t>
      </w:r>
      <w:r>
        <w:rPr>
          <w:rFonts w:hint="eastAsia" w:ascii="仿宋" w:hAnsi="仿宋" w:eastAsia="仿宋"/>
          <w:sz w:val="32"/>
          <w:szCs w:val="32"/>
          <w:lang w:val="en-US" w:eastAsia="zh-CN"/>
        </w:rPr>
        <w:t>7.81</w:t>
      </w:r>
      <w:r>
        <w:rPr>
          <w:rFonts w:ascii="仿宋" w:hAnsi="仿宋" w:eastAsia="仿宋"/>
          <w:sz w:val="32"/>
          <w:szCs w:val="32"/>
        </w:rPr>
        <w:t>%</w:t>
      </w:r>
      <w:r>
        <w:rPr>
          <w:rFonts w:hint="eastAsia" w:ascii="仿宋" w:hAnsi="仿宋" w:eastAsia="仿宋"/>
          <w:sz w:val="32"/>
          <w:szCs w:val="32"/>
        </w:rPr>
        <w:t>。</w:t>
      </w:r>
      <w:r>
        <w:rPr>
          <w:rFonts w:hint="eastAsia" w:ascii="仿宋_GB2312" w:hAnsi="仿宋_GB2312" w:eastAsia="仿宋_GB2312"/>
          <w:color w:val="000000"/>
          <w:kern w:val="2"/>
          <w:sz w:val="32"/>
          <w:szCs w:val="24"/>
          <w:highlight w:val="none"/>
          <w:lang w:val="zh-CN"/>
        </w:rPr>
        <w:t>主要变动原因是</w:t>
      </w:r>
      <w:r>
        <w:rPr>
          <w:rFonts w:hint="eastAsia" w:ascii="仿宋_GB2312" w:hAnsi="仿宋" w:eastAsia="仿宋_GB2312"/>
          <w:sz w:val="32"/>
          <w:szCs w:val="32"/>
          <w:highlight w:val="none"/>
          <w:lang w:val="en-US" w:eastAsia="zh-CN"/>
        </w:rPr>
        <w:t>本年度增加了新盛镇重点工作综合业务费。</w:t>
      </w:r>
    </w:p>
    <w:p w14:paraId="6121C335">
      <w:pPr>
        <w:keepNext w:val="0"/>
        <w:keepLines w:val="0"/>
        <w:pageBreakBefore w:val="0"/>
        <w:widowControl w:val="0"/>
        <w:kinsoku/>
        <w:wordWrap/>
        <w:overflowPunct/>
        <w:topLinePunct/>
        <w:autoSpaceDE/>
        <w:autoSpaceDN/>
        <w:bidi w:val="0"/>
        <w:spacing w:line="60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rPr>
        <w:t>图4：财政拨款收、支决算总计变动情况</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单位：万元）</w:t>
      </w:r>
    </w:p>
    <w:p w14:paraId="1F791C60">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outlineLvl w:val="1"/>
        <w:rPr>
          <w:rStyle w:val="29"/>
          <w:rFonts w:ascii="黑体" w:hAnsi="黑体" w:eastAsia="黑体"/>
          <w:b w:val="0"/>
          <w:highlight w:val="none"/>
        </w:rPr>
      </w:pPr>
      <w:bookmarkStart w:id="47" w:name="_Toc18554"/>
      <w:bookmarkStart w:id="48" w:name="_Toc31768"/>
      <w:bookmarkStart w:id="49" w:name="_Toc15396607"/>
      <w:bookmarkStart w:id="50" w:name="_Toc15377209"/>
      <w:r>
        <w:rPr>
          <w:rFonts w:hint="eastAsia" w:ascii="黑体" w:hAnsi="黑体" w:eastAsia="黑体"/>
          <w:sz w:val="32"/>
          <w:szCs w:val="32"/>
          <w:highlight w:val="none"/>
        </w:rPr>
        <w:t>五、</w:t>
      </w:r>
      <w:r>
        <w:rPr>
          <w:rFonts w:hint="eastAsia" w:ascii="黑体" w:hAnsi="黑体" w:eastAsia="黑体"/>
          <w:b/>
          <w:sz w:val="32"/>
          <w:szCs w:val="32"/>
          <w:highlight w:val="none"/>
        </w:rPr>
        <w:t>一</w:t>
      </w:r>
      <w:r>
        <w:rPr>
          <w:rStyle w:val="29"/>
          <w:rFonts w:hint="eastAsia" w:ascii="黑体" w:hAnsi="黑体" w:eastAsia="黑体"/>
          <w:b w:val="0"/>
          <w:highlight w:val="none"/>
        </w:rPr>
        <w:t>般公共预算财政拨款支出决算情况说明</w:t>
      </w:r>
      <w:bookmarkEnd w:id="47"/>
      <w:bookmarkEnd w:id="48"/>
      <w:bookmarkEnd w:id="49"/>
      <w:bookmarkEnd w:id="50"/>
    </w:p>
    <w:p w14:paraId="660CB8F9">
      <w:pPr>
        <w:keepNext w:val="0"/>
        <w:keepLines w:val="0"/>
        <w:pageBreakBefore w:val="0"/>
        <w:widowControl w:val="0"/>
        <w:kinsoku/>
        <w:wordWrap/>
        <w:overflowPunct/>
        <w:topLinePunct/>
        <w:autoSpaceDE/>
        <w:autoSpaceDN/>
        <w:bidi w:val="0"/>
        <w:adjustRightInd/>
        <w:snapToGrid/>
        <w:spacing w:line="600" w:lineRule="exact"/>
        <w:ind w:firstLine="643" w:firstLineChars="200"/>
        <w:textAlignment w:val="auto"/>
        <w:outlineLvl w:val="9"/>
        <w:rPr>
          <w:rFonts w:ascii="仿宋" w:hAnsi="仿宋" w:eastAsia="仿宋"/>
          <w:b/>
          <w:sz w:val="32"/>
          <w:szCs w:val="32"/>
          <w:highlight w:val="none"/>
        </w:rPr>
      </w:pPr>
      <w:bookmarkStart w:id="51" w:name="_Toc15377210"/>
      <w:r>
        <w:rPr>
          <w:rFonts w:hint="eastAsia" w:ascii="仿宋" w:hAnsi="仿宋" w:eastAsia="仿宋"/>
          <w:b/>
          <w:sz w:val="32"/>
          <w:szCs w:val="32"/>
          <w:highlight w:val="none"/>
        </w:rPr>
        <w:t>（一）一般公共预算财政拨款支出决算总体情况</w:t>
      </w:r>
      <w:bookmarkEnd w:id="51"/>
    </w:p>
    <w:p w14:paraId="32521E3E">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2023年度一般公共预算财政拨款支出</w:t>
      </w:r>
      <w:r>
        <w:rPr>
          <w:sz w:val="32"/>
          <w:szCs w:val="32"/>
          <w:highlight w:val="none"/>
        </w:rPr>
        <w:t>1709.64</w:t>
      </w:r>
      <w:r>
        <w:rPr>
          <w:rFonts w:hint="eastAsia" w:ascii="仿宋" w:hAnsi="仿宋" w:eastAsia="仿宋"/>
          <w:sz w:val="32"/>
          <w:szCs w:val="32"/>
          <w:highlight w:val="none"/>
        </w:rPr>
        <w:t>万元，占本年支出合计的</w:t>
      </w:r>
      <w:r>
        <w:rPr>
          <w:sz w:val="32"/>
          <w:szCs w:val="32"/>
          <w:highlight w:val="none"/>
        </w:rPr>
        <w:t>95.23</w:t>
      </w:r>
      <w:r>
        <w:rPr>
          <w:rFonts w:ascii="仿宋" w:hAnsi="仿宋" w:eastAsia="仿宋"/>
          <w:sz w:val="32"/>
          <w:szCs w:val="32"/>
          <w:highlight w:val="none"/>
        </w:rPr>
        <w:t>%</w:t>
      </w:r>
      <w:r>
        <w:rPr>
          <w:rFonts w:hint="eastAsia" w:ascii="仿宋" w:hAnsi="仿宋" w:eastAsia="仿宋"/>
          <w:sz w:val="32"/>
          <w:szCs w:val="32"/>
          <w:highlight w:val="none"/>
        </w:rPr>
        <w:t>。与2022年度相比，一般公共预算财政拨款支出增加</w:t>
      </w:r>
      <w:r>
        <w:rPr>
          <w:rFonts w:hint="eastAsia" w:ascii="仿宋" w:hAnsi="仿宋" w:eastAsia="仿宋"/>
          <w:sz w:val="32"/>
          <w:szCs w:val="32"/>
          <w:highlight w:val="none"/>
          <w:lang w:val="en-US" w:eastAsia="zh-CN"/>
        </w:rPr>
        <w:t>46.56</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2.74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_GB2312" w:hAnsi="仿宋_GB2312" w:eastAsia="仿宋_GB2312"/>
          <w:color w:val="000000"/>
          <w:kern w:val="2"/>
          <w:sz w:val="32"/>
          <w:szCs w:val="24"/>
          <w:highlight w:val="none"/>
          <w:lang w:val="zh-CN"/>
        </w:rPr>
        <w:t>主要变动原因是</w:t>
      </w:r>
      <w:r>
        <w:rPr>
          <w:rFonts w:hint="eastAsia" w:ascii="仿宋_GB2312" w:hAnsi="仿宋" w:eastAsia="仿宋_GB2312"/>
          <w:sz w:val="32"/>
          <w:szCs w:val="32"/>
          <w:highlight w:val="none"/>
          <w:lang w:val="en-US" w:eastAsia="zh-CN"/>
        </w:rPr>
        <w:t>本年度增加了新盛镇重点工作综合业务费</w:t>
      </w:r>
      <w:r>
        <w:rPr>
          <w:rFonts w:hint="eastAsia" w:ascii="仿宋_GB2312" w:hAnsi="仿宋_GB2312" w:eastAsia="仿宋_GB2312"/>
          <w:color w:val="000000"/>
          <w:kern w:val="2"/>
          <w:sz w:val="32"/>
          <w:szCs w:val="24"/>
          <w:highlight w:val="none"/>
          <w:lang w:val="zh-CN"/>
        </w:rPr>
        <w:t>。</w:t>
      </w:r>
    </w:p>
    <w:p w14:paraId="528A9859">
      <w:pPr>
        <w:keepNext w:val="0"/>
        <w:keepLines w:val="0"/>
        <w:pageBreakBefore w:val="0"/>
        <w:widowControl w:val="0"/>
        <w:kinsoku/>
        <w:wordWrap/>
        <w:overflowPunct/>
        <w:topLinePunct/>
        <w:autoSpaceDE/>
        <w:autoSpaceDN/>
        <w:bidi w:val="0"/>
        <w:spacing w:line="600" w:lineRule="exact"/>
        <w:ind w:firstLine="420" w:firstLineChars="200"/>
        <w:rPr>
          <w:rFonts w:hint="default" w:ascii="仿宋" w:hAnsi="仿宋" w:eastAsia="仿宋"/>
          <w:sz w:val="32"/>
          <w:szCs w:val="32"/>
          <w:highlight w:val="none"/>
          <w:lang w:val="en-US" w:eastAsia="zh-CN"/>
        </w:rPr>
      </w:pPr>
      <w:r>
        <w:rPr>
          <w:highlight w:val="none"/>
        </w:rPr>
        <w:drawing>
          <wp:anchor distT="0" distB="0" distL="114300" distR="114300" simplePos="0" relativeHeight="251661312" behindDoc="0" locked="0" layoutInCell="1" allowOverlap="1">
            <wp:simplePos x="0" y="0"/>
            <wp:positionH relativeFrom="column">
              <wp:posOffset>291465</wp:posOffset>
            </wp:positionH>
            <wp:positionV relativeFrom="page">
              <wp:posOffset>977265</wp:posOffset>
            </wp:positionV>
            <wp:extent cx="4294505" cy="2224405"/>
            <wp:effectExtent l="4445" t="4445" r="6350" b="57150"/>
            <wp:wrapTopAndBottom/>
            <wp:docPr id="5" name="图表 6" descr="7b0a202020202263686172745265734964223a2022323034373230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sz w:val="32"/>
          <w:szCs w:val="32"/>
          <w:highlight w:val="none"/>
        </w:rPr>
        <w:t>图5：一般公共预算财政拨款支出决算变动情况</w:t>
      </w:r>
      <w:r>
        <w:rPr>
          <w:rFonts w:hint="eastAsia" w:ascii="仿宋" w:hAnsi="仿宋" w:eastAsia="仿宋"/>
          <w:sz w:val="32"/>
          <w:szCs w:val="32"/>
          <w:highlight w:val="none"/>
          <w:lang w:eastAsia="zh-CN"/>
        </w:rPr>
        <w:t>（</w:t>
      </w:r>
      <w:r>
        <w:rPr>
          <w:rFonts w:hint="eastAsia" w:ascii="仿宋" w:hAnsi="仿宋" w:eastAsia="仿宋"/>
          <w:w w:val="90"/>
          <w:sz w:val="32"/>
          <w:szCs w:val="32"/>
          <w:highlight w:val="none"/>
          <w:lang w:val="en-US" w:eastAsia="zh-CN"/>
        </w:rPr>
        <w:t>单位：万元</w:t>
      </w:r>
      <w:r>
        <w:rPr>
          <w:rFonts w:hint="eastAsia" w:ascii="仿宋" w:hAnsi="仿宋" w:eastAsia="仿宋"/>
          <w:sz w:val="32"/>
          <w:szCs w:val="32"/>
          <w:highlight w:val="none"/>
          <w:lang w:val="en-US" w:eastAsia="zh-CN"/>
        </w:rPr>
        <w:t>）</w:t>
      </w:r>
    </w:p>
    <w:p w14:paraId="49B98D73">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outlineLvl w:val="9"/>
        <w:rPr>
          <w:rFonts w:ascii="仿宋" w:hAnsi="仿宋" w:eastAsia="仿宋"/>
          <w:b/>
          <w:sz w:val="32"/>
          <w:szCs w:val="32"/>
          <w:highlight w:val="none"/>
        </w:rPr>
      </w:pPr>
      <w:bookmarkStart w:id="52" w:name="_Toc15377211"/>
      <w:r>
        <w:rPr>
          <w:rFonts w:hint="eastAsia" w:ascii="仿宋" w:hAnsi="仿宋" w:eastAsia="仿宋"/>
          <w:b/>
          <w:sz w:val="32"/>
          <w:szCs w:val="32"/>
          <w:highlight w:val="none"/>
        </w:rPr>
        <w:t>（二）一般公共预算财政拨款支出决算结构情况</w:t>
      </w:r>
      <w:bookmarkEnd w:id="52"/>
    </w:p>
    <w:p w14:paraId="7CBF47D8">
      <w:pPr>
        <w:keepNext w:val="0"/>
        <w:keepLines w:val="0"/>
        <w:pageBreakBefore w:val="0"/>
        <w:widowControl w:val="0"/>
        <w:kinsoku/>
        <w:wordWrap/>
        <w:overflowPunct/>
        <w:topLinePunct/>
        <w:autoSpaceDE/>
        <w:autoSpaceDN/>
        <w:bidi w:val="0"/>
        <w:adjustRightInd/>
        <w:snapToGrid/>
        <w:spacing w:line="560" w:lineRule="exact"/>
        <w:ind w:firstLine="420" w:firstLineChars="200"/>
        <w:textAlignment w:val="auto"/>
        <w:rPr>
          <w:rFonts w:ascii="仿宋" w:hAnsi="仿宋" w:eastAsia="仿宋"/>
          <w:b/>
          <w:sz w:val="32"/>
          <w:szCs w:val="32"/>
          <w:highlight w:val="none"/>
        </w:rPr>
      </w:pPr>
      <w:r>
        <w:rPr>
          <w:highlight w:val="none"/>
        </w:rPr>
        <w:drawing>
          <wp:anchor distT="0" distB="0" distL="114300" distR="114300" simplePos="0" relativeHeight="251662336" behindDoc="0" locked="0" layoutInCell="1" allowOverlap="1">
            <wp:simplePos x="0" y="0"/>
            <wp:positionH relativeFrom="column">
              <wp:posOffset>351790</wp:posOffset>
            </wp:positionH>
            <wp:positionV relativeFrom="paragraph">
              <wp:posOffset>2626995</wp:posOffset>
            </wp:positionV>
            <wp:extent cx="4826000" cy="2743200"/>
            <wp:effectExtent l="4445" t="4445" r="8255" b="14605"/>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仿宋" w:hAnsi="仿宋" w:eastAsia="仿宋"/>
          <w:sz w:val="32"/>
          <w:szCs w:val="32"/>
          <w:highlight w:val="none"/>
        </w:rPr>
        <w:t>2023年度一般公共预算财政拨款支出</w:t>
      </w:r>
      <w:r>
        <w:rPr>
          <w:sz w:val="32"/>
          <w:szCs w:val="32"/>
          <w:highlight w:val="none"/>
        </w:rPr>
        <w:t>1709.64</w:t>
      </w:r>
      <w:r>
        <w:rPr>
          <w:rFonts w:hint="eastAsia" w:ascii="仿宋" w:hAnsi="仿宋" w:eastAsia="仿宋"/>
          <w:sz w:val="32"/>
          <w:szCs w:val="32"/>
          <w:highlight w:val="none"/>
        </w:rPr>
        <w:t>万元，主要用于以下方面</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一般公共服务支出510.71万元，占28.449%</w:t>
      </w:r>
      <w:r>
        <w:rPr>
          <w:rFonts w:hint="eastAsia" w:ascii="仿宋" w:hAnsi="仿宋" w:eastAsia="仿宋"/>
          <w:sz w:val="32"/>
          <w:szCs w:val="32"/>
          <w:highlight w:val="none"/>
          <w:lang w:eastAsia="zh-CN"/>
        </w:rPr>
        <w:t>；</w:t>
      </w:r>
      <w:r>
        <w:rPr>
          <w:rFonts w:hint="eastAsia" w:ascii="仿宋" w:hAnsi="仿宋" w:eastAsia="仿宋"/>
          <w:sz w:val="32"/>
          <w:szCs w:val="32"/>
          <w:highlight w:val="none"/>
        </w:rPr>
        <w:t>社会保障和就业支出191.29万元，占10.656%</w:t>
      </w:r>
      <w:r>
        <w:rPr>
          <w:rFonts w:hint="eastAsia" w:ascii="仿宋" w:hAnsi="仿宋" w:eastAsia="仿宋"/>
          <w:sz w:val="32"/>
          <w:szCs w:val="32"/>
          <w:highlight w:val="none"/>
          <w:lang w:eastAsia="zh-CN"/>
        </w:rPr>
        <w:t>；</w:t>
      </w:r>
      <w:r>
        <w:rPr>
          <w:rFonts w:hint="eastAsia" w:ascii="仿宋" w:hAnsi="仿宋" w:eastAsia="仿宋"/>
          <w:sz w:val="32"/>
          <w:szCs w:val="32"/>
          <w:highlight w:val="none"/>
        </w:rPr>
        <w:t>卫生健康支出26.99万元，占1.503%</w:t>
      </w:r>
      <w:r>
        <w:rPr>
          <w:rFonts w:hint="eastAsia" w:ascii="仿宋" w:hAnsi="仿宋" w:eastAsia="仿宋"/>
          <w:sz w:val="32"/>
          <w:szCs w:val="32"/>
          <w:highlight w:val="none"/>
          <w:lang w:eastAsia="zh-CN"/>
        </w:rPr>
        <w:t>；</w:t>
      </w:r>
      <w:r>
        <w:rPr>
          <w:rFonts w:hint="eastAsia" w:ascii="仿宋" w:hAnsi="仿宋" w:eastAsia="仿宋"/>
          <w:sz w:val="32"/>
          <w:szCs w:val="32"/>
          <w:highlight w:val="none"/>
        </w:rPr>
        <w:t>农林水支出912.02万元，占50.804%</w:t>
      </w:r>
      <w:r>
        <w:rPr>
          <w:rFonts w:hint="eastAsia" w:ascii="仿宋" w:hAnsi="仿宋" w:eastAsia="仿宋"/>
          <w:sz w:val="32"/>
          <w:szCs w:val="32"/>
          <w:highlight w:val="none"/>
          <w:lang w:eastAsia="zh-CN"/>
        </w:rPr>
        <w:t>；</w:t>
      </w:r>
      <w:r>
        <w:rPr>
          <w:rFonts w:hint="eastAsia" w:ascii="仿宋" w:hAnsi="仿宋" w:eastAsia="仿宋"/>
          <w:sz w:val="32"/>
          <w:szCs w:val="32"/>
          <w:highlight w:val="none"/>
        </w:rPr>
        <w:t>住房保障支出68.63万元，占3.823%</w:t>
      </w:r>
      <w:r>
        <w:rPr>
          <w:rFonts w:hint="eastAsia" w:ascii="仿宋" w:hAnsi="仿宋" w:eastAsia="仿宋"/>
          <w:sz w:val="32"/>
          <w:szCs w:val="32"/>
          <w:highlight w:val="none"/>
          <w:lang w:eastAsia="zh-CN"/>
        </w:rPr>
        <w:t>；</w:t>
      </w:r>
      <w:r>
        <w:rPr>
          <w:rFonts w:hint="eastAsia" w:ascii="仿宋" w:hAnsi="仿宋" w:eastAsia="仿宋"/>
          <w:sz w:val="32"/>
          <w:szCs w:val="32"/>
          <w:highlight w:val="none"/>
        </w:rPr>
        <w:t>国有资本经营预算支出0.04万元，占0.002%</w:t>
      </w:r>
      <w:r>
        <w:rPr>
          <w:rFonts w:hint="eastAsia" w:ascii="仿宋" w:hAnsi="仿宋" w:eastAsia="仿宋"/>
          <w:sz w:val="32"/>
          <w:szCs w:val="32"/>
          <w:highlight w:val="none"/>
          <w:lang w:eastAsia="zh-CN"/>
        </w:rPr>
        <w:t>；</w:t>
      </w:r>
      <w:r>
        <w:rPr>
          <w:rFonts w:hint="eastAsia" w:ascii="仿宋" w:hAnsi="仿宋" w:eastAsia="仿宋"/>
          <w:sz w:val="32"/>
          <w:szCs w:val="32"/>
          <w:highlight w:val="none"/>
        </w:rPr>
        <w:t>其他支出85.49万元，占4.762%</w:t>
      </w:r>
      <w:r>
        <w:rPr>
          <w:rFonts w:hint="eastAsia" w:ascii="仿宋" w:hAnsi="仿宋" w:eastAsia="仿宋"/>
          <w:sz w:val="32"/>
          <w:szCs w:val="32"/>
          <w:highlight w:val="none"/>
          <w:lang w:eastAsia="zh-CN"/>
        </w:rPr>
        <w:t>。</w:t>
      </w:r>
    </w:p>
    <w:p w14:paraId="5386799F">
      <w:pPr>
        <w:keepNext w:val="0"/>
        <w:keepLines w:val="0"/>
        <w:pageBreakBefore w:val="0"/>
        <w:widowControl w:val="0"/>
        <w:kinsoku/>
        <w:wordWrap/>
        <w:overflowPunct/>
        <w:topLinePunct/>
        <w:autoSpaceDE/>
        <w:autoSpaceDN/>
        <w:bidi w:val="0"/>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图6：一般公共预算财政拨款支出决算结构（</w:t>
      </w:r>
      <w:r>
        <w:rPr>
          <w:rFonts w:hint="eastAsia" w:ascii="仿宋" w:hAnsi="仿宋" w:eastAsia="仿宋"/>
          <w:sz w:val="32"/>
          <w:szCs w:val="32"/>
          <w:highlight w:val="none"/>
          <w:lang w:val="en-US" w:eastAsia="zh-CN"/>
        </w:rPr>
        <w:t>单位：万元</w:t>
      </w:r>
      <w:r>
        <w:rPr>
          <w:rFonts w:hint="eastAsia" w:ascii="仿宋" w:hAnsi="仿宋" w:eastAsia="仿宋"/>
          <w:sz w:val="32"/>
          <w:szCs w:val="32"/>
          <w:highlight w:val="none"/>
        </w:rPr>
        <w:t>）</w:t>
      </w:r>
    </w:p>
    <w:p w14:paraId="34635F02">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outlineLvl w:val="9"/>
        <w:rPr>
          <w:rFonts w:ascii="仿宋" w:hAnsi="仿宋" w:eastAsia="仿宋"/>
          <w:b/>
          <w:sz w:val="32"/>
          <w:szCs w:val="32"/>
          <w:highlight w:val="none"/>
        </w:rPr>
      </w:pPr>
      <w:bookmarkStart w:id="53" w:name="_Toc15377212"/>
      <w:r>
        <w:rPr>
          <w:rFonts w:hint="eastAsia" w:ascii="仿宋" w:hAnsi="仿宋" w:eastAsia="仿宋"/>
          <w:b/>
          <w:sz w:val="32"/>
          <w:szCs w:val="32"/>
          <w:highlight w:val="none"/>
        </w:rPr>
        <w:t>（三）一般公共预算财政拨款支出决算具体情况</w:t>
      </w:r>
      <w:bookmarkEnd w:id="53"/>
    </w:p>
    <w:p w14:paraId="3B470BCC">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9"/>
        <w:rPr>
          <w:rFonts w:ascii="仿宋" w:hAnsi="仿宋" w:eastAsia="仿宋"/>
          <w:b w:val="0"/>
          <w:bCs/>
          <w:sz w:val="32"/>
          <w:szCs w:val="32"/>
          <w:highlight w:val="none"/>
        </w:rPr>
      </w:pPr>
      <w:bookmarkStart w:id="54" w:name="_Toc15378460"/>
      <w:bookmarkStart w:id="55" w:name="_Toc15377444"/>
      <w:bookmarkStart w:id="56" w:name="_Toc15377213"/>
      <w:r>
        <w:rPr>
          <w:rFonts w:hint="eastAsia" w:ascii="仿宋" w:hAnsi="仿宋" w:eastAsia="仿宋"/>
          <w:b w:val="0"/>
          <w:bCs/>
          <w:sz w:val="32"/>
          <w:szCs w:val="32"/>
          <w:highlight w:val="none"/>
        </w:rPr>
        <w:t>2023年度一般公共预算支出决算数为</w:t>
      </w:r>
      <w:r>
        <w:rPr>
          <w:b w:val="0"/>
          <w:bCs/>
          <w:sz w:val="32"/>
          <w:szCs w:val="32"/>
          <w:highlight w:val="none"/>
        </w:rPr>
        <w:t>1709.64</w:t>
      </w:r>
      <w:r>
        <w:rPr>
          <w:rFonts w:hint="eastAsia"/>
          <w:b w:val="0"/>
          <w:bCs/>
          <w:sz w:val="32"/>
          <w:szCs w:val="32"/>
          <w:highlight w:val="none"/>
          <w:lang w:val="en-US" w:eastAsia="zh-CN"/>
        </w:rPr>
        <w:t>万元</w:t>
      </w:r>
      <w:r>
        <w:rPr>
          <w:rFonts w:hint="eastAsia" w:ascii="仿宋" w:hAnsi="仿宋" w:eastAsia="仿宋"/>
          <w:b w:val="0"/>
          <w:bCs/>
          <w:sz w:val="32"/>
          <w:szCs w:val="32"/>
          <w:highlight w:val="none"/>
        </w:rPr>
        <w:t>，</w:t>
      </w:r>
      <w:r>
        <w:rPr>
          <w:rStyle w:val="17"/>
          <w:rFonts w:hint="eastAsia" w:ascii="仿宋" w:hAnsi="仿宋" w:eastAsia="仿宋"/>
          <w:b w:val="0"/>
          <w:bCs/>
          <w:sz w:val="32"/>
          <w:szCs w:val="32"/>
          <w:highlight w:val="none"/>
        </w:rPr>
        <w:t>完成预算</w:t>
      </w:r>
      <w:r>
        <w:rPr>
          <w:rStyle w:val="17"/>
          <w:rFonts w:hint="eastAsia" w:ascii="仿宋" w:hAnsi="仿宋" w:eastAsia="仿宋"/>
          <w:b w:val="0"/>
          <w:bCs/>
          <w:sz w:val="32"/>
          <w:szCs w:val="32"/>
          <w:highlight w:val="none"/>
          <w:lang w:val="en-US" w:eastAsia="zh-CN"/>
        </w:rPr>
        <w:t>100.00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。其中：</w:t>
      </w:r>
      <w:bookmarkEnd w:id="54"/>
      <w:bookmarkEnd w:id="55"/>
      <w:bookmarkEnd w:id="56"/>
    </w:p>
    <w:p w14:paraId="2E782825">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仿宋" w:hAnsi="仿宋" w:eastAsia="仿宋"/>
          <w:b w:val="0"/>
          <w:bCs/>
          <w:color w:val="auto"/>
          <w:kern w:val="2"/>
          <w:sz w:val="32"/>
          <w:szCs w:val="24"/>
          <w:highlight w:val="none"/>
          <w:lang w:val="en-US"/>
        </w:rPr>
      </w:pPr>
      <w:r>
        <w:rPr>
          <w:rStyle w:val="17"/>
          <w:rFonts w:hint="eastAsia" w:ascii="仿宋" w:hAnsi="仿宋" w:eastAsia="仿宋" w:cstheme="minorBidi"/>
          <w:b w:val="0"/>
          <w:bCs/>
          <w:sz w:val="32"/>
          <w:szCs w:val="32"/>
          <w:highlight w:val="none"/>
          <w:lang w:val="en-US" w:eastAsia="zh-CN"/>
        </w:rPr>
        <w:t>1.一般公共服务支出（类）政府办公厅（室）及相关机构事务（款）行政运行（项）：</w:t>
      </w:r>
      <w:r>
        <w:rPr>
          <w:rFonts w:hint="eastAsia" w:ascii="仿宋_GB2312" w:hAnsi="仿宋_GB2312" w:eastAsia="仿宋_GB2312"/>
          <w:b w:val="0"/>
          <w:bCs/>
          <w:color w:val="000000"/>
          <w:kern w:val="2"/>
          <w:sz w:val="32"/>
          <w:szCs w:val="24"/>
          <w:highlight w:val="none"/>
          <w:lang w:val="en-US"/>
        </w:rPr>
        <w:t xml:space="preserve"> </w:t>
      </w:r>
      <w:r>
        <w:rPr>
          <w:rFonts w:hint="eastAsia" w:ascii="仿宋" w:hAnsi="仿宋" w:eastAsia="仿宋"/>
          <w:b w:val="0"/>
          <w:bCs/>
          <w:color w:val="auto"/>
          <w:kern w:val="2"/>
          <w:sz w:val="32"/>
          <w:szCs w:val="24"/>
          <w:highlight w:val="none"/>
          <w:lang w:val="en-US"/>
        </w:rPr>
        <w:t>支出决算为510</w:t>
      </w:r>
      <w:r>
        <w:rPr>
          <w:rFonts w:hint="eastAsia" w:ascii="仿宋" w:hAnsi="仿宋" w:eastAsia="仿宋"/>
          <w:b w:val="0"/>
          <w:bCs/>
          <w:color w:val="auto"/>
          <w:kern w:val="2"/>
          <w:sz w:val="32"/>
          <w:szCs w:val="24"/>
          <w:highlight w:val="none"/>
          <w:lang w:val="en-US" w:eastAsia="zh-CN"/>
        </w:rPr>
        <w:t>.</w:t>
      </w:r>
      <w:r>
        <w:rPr>
          <w:rFonts w:hint="eastAsia" w:ascii="仿宋" w:hAnsi="仿宋" w:eastAsia="仿宋"/>
          <w:b w:val="0"/>
          <w:bCs/>
          <w:color w:val="auto"/>
          <w:kern w:val="2"/>
          <w:sz w:val="32"/>
          <w:szCs w:val="24"/>
          <w:highlight w:val="none"/>
          <w:lang w:val="en-US"/>
        </w:rPr>
        <w:t>7</w:t>
      </w:r>
      <w:r>
        <w:rPr>
          <w:rFonts w:hint="eastAsia" w:ascii="仿宋" w:hAnsi="仿宋" w:eastAsia="仿宋"/>
          <w:b w:val="0"/>
          <w:bCs/>
          <w:color w:val="auto"/>
          <w:kern w:val="2"/>
          <w:sz w:val="32"/>
          <w:szCs w:val="24"/>
          <w:highlight w:val="none"/>
          <w:lang w:val="en-US" w:eastAsia="zh-CN"/>
        </w:rPr>
        <w:t>1</w:t>
      </w:r>
      <w:r>
        <w:rPr>
          <w:rFonts w:hint="eastAsia" w:ascii="仿宋" w:hAnsi="仿宋" w:eastAsia="仿宋"/>
          <w:b w:val="0"/>
          <w:bCs/>
          <w:color w:val="auto"/>
          <w:kern w:val="2"/>
          <w:sz w:val="32"/>
          <w:szCs w:val="24"/>
          <w:highlight w:val="none"/>
          <w:lang w:val="en-US"/>
        </w:rPr>
        <w:t>万元，完成预算</w:t>
      </w:r>
      <w:r>
        <w:rPr>
          <w:rFonts w:hint="eastAsia" w:ascii="仿宋" w:hAnsi="仿宋" w:eastAsia="仿宋"/>
          <w:b w:val="0"/>
          <w:bCs/>
          <w:color w:val="auto"/>
          <w:kern w:val="2"/>
          <w:sz w:val="32"/>
          <w:szCs w:val="24"/>
          <w:highlight w:val="none"/>
          <w:lang w:val="en-US" w:eastAsia="zh-CN"/>
        </w:rPr>
        <w:t>100</w:t>
      </w:r>
      <w:r>
        <w:rPr>
          <w:rFonts w:hint="eastAsia" w:ascii="仿宋" w:hAnsi="仿宋" w:eastAsia="仿宋"/>
          <w:b w:val="0"/>
          <w:bCs/>
          <w:color w:val="auto"/>
          <w:kern w:val="2"/>
          <w:sz w:val="32"/>
          <w:szCs w:val="24"/>
          <w:highlight w:val="none"/>
          <w:lang w:val="en-US"/>
        </w:rPr>
        <w:t>%，决算数等于预算数。</w:t>
      </w:r>
    </w:p>
    <w:p w14:paraId="6FEFD165">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Style w:val="17"/>
          <w:rFonts w:hint="eastAsia" w:ascii="仿宋" w:hAnsi="仿宋" w:eastAsia="仿宋"/>
          <w:b w:val="0"/>
          <w:bCs/>
          <w:sz w:val="32"/>
          <w:szCs w:val="32"/>
          <w:highlight w:val="none"/>
        </w:rPr>
      </w:pPr>
      <w:r>
        <w:rPr>
          <w:rStyle w:val="17"/>
          <w:rFonts w:hint="eastAsia" w:ascii="仿宋" w:hAnsi="仿宋" w:eastAsia="仿宋" w:cstheme="minorBidi"/>
          <w:b w:val="0"/>
          <w:bCs/>
          <w:sz w:val="32"/>
          <w:szCs w:val="32"/>
          <w:highlight w:val="none"/>
          <w:lang w:val="en-US" w:eastAsia="zh-CN"/>
        </w:rPr>
        <w:t xml:space="preserve">2.社会保障和就业（类）行政事业单位养老（款）机关事业单位基本养老保险缴费（项）： </w:t>
      </w:r>
      <w:r>
        <w:rPr>
          <w:rStyle w:val="17"/>
          <w:rFonts w:hint="eastAsia" w:ascii="仿宋" w:hAnsi="仿宋" w:eastAsia="仿宋"/>
          <w:b w:val="0"/>
          <w:bCs/>
          <w:sz w:val="32"/>
          <w:szCs w:val="32"/>
          <w:highlight w:val="none"/>
        </w:rPr>
        <w:t>支出决算为</w:t>
      </w:r>
      <w:r>
        <w:rPr>
          <w:rFonts w:hint="eastAsia" w:ascii="仿宋" w:hAnsi="仿宋" w:eastAsia="仿宋"/>
          <w:b w:val="0"/>
          <w:bCs/>
          <w:color w:val="auto"/>
          <w:kern w:val="2"/>
          <w:sz w:val="32"/>
          <w:szCs w:val="24"/>
          <w:highlight w:val="none"/>
          <w:lang w:val="en-US" w:eastAsia="zh-CN"/>
        </w:rPr>
        <w:t>65.76</w:t>
      </w:r>
      <w:r>
        <w:rPr>
          <w:rStyle w:val="17"/>
          <w:rFonts w:hint="eastAsia" w:ascii="仿宋" w:hAnsi="仿宋" w:eastAsia="仿宋"/>
          <w:b w:val="0"/>
          <w:bCs/>
          <w:sz w:val="32"/>
          <w:szCs w:val="32"/>
          <w:highlight w:val="none"/>
        </w:rPr>
        <w:t>万元，完成预算</w:t>
      </w:r>
      <w:r>
        <w:rPr>
          <w:rStyle w:val="17"/>
          <w:rFonts w:hint="eastAsia" w:ascii="仿宋" w:hAnsi="仿宋" w:eastAsia="仿宋"/>
          <w:b w:val="0"/>
          <w:bCs/>
          <w:sz w:val="32"/>
          <w:szCs w:val="32"/>
          <w:highlight w:val="none"/>
          <w:lang w:val="en-US" w:eastAsia="zh-CN"/>
        </w:rPr>
        <w:t>100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，决算数等于预算数。</w:t>
      </w:r>
    </w:p>
    <w:p w14:paraId="72885E1B">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Style w:val="17"/>
          <w:rFonts w:hint="eastAsia" w:ascii="仿宋" w:hAnsi="仿宋" w:eastAsia="仿宋"/>
          <w:b w:val="0"/>
          <w:bCs/>
          <w:sz w:val="32"/>
          <w:szCs w:val="32"/>
          <w:highlight w:val="none"/>
        </w:rPr>
      </w:pPr>
      <w:r>
        <w:rPr>
          <w:rStyle w:val="17"/>
          <w:rFonts w:hint="eastAsia" w:ascii="仿宋" w:hAnsi="仿宋" w:eastAsia="仿宋"/>
          <w:b w:val="0"/>
          <w:bCs/>
          <w:sz w:val="32"/>
          <w:szCs w:val="32"/>
          <w:highlight w:val="none"/>
          <w:lang w:val="en-US" w:eastAsia="zh-CN"/>
        </w:rPr>
        <w:t>3.</w:t>
      </w:r>
      <w:r>
        <w:rPr>
          <w:rStyle w:val="17"/>
          <w:rFonts w:hint="eastAsia" w:ascii="仿宋" w:hAnsi="仿宋" w:eastAsia="仿宋"/>
          <w:b w:val="0"/>
          <w:bCs/>
          <w:sz w:val="32"/>
          <w:szCs w:val="32"/>
          <w:highlight w:val="none"/>
        </w:rPr>
        <w:t>社</w:t>
      </w:r>
      <w:r>
        <w:rPr>
          <w:rStyle w:val="17"/>
          <w:rFonts w:hint="eastAsia" w:ascii="仿宋" w:hAnsi="仿宋" w:eastAsia="仿宋" w:cstheme="minorBidi"/>
          <w:b w:val="0"/>
          <w:bCs/>
          <w:sz w:val="32"/>
          <w:szCs w:val="32"/>
          <w:highlight w:val="none"/>
          <w:lang w:val="en-US" w:eastAsia="zh-CN"/>
        </w:rPr>
        <w:t>会保障和就业（类）行政事业单位养老（款）机关事业单位职业年金缴费（项）：</w:t>
      </w:r>
      <w:r>
        <w:rPr>
          <w:rStyle w:val="17"/>
          <w:rFonts w:ascii="仿宋" w:hAnsi="仿宋" w:eastAsia="仿宋"/>
          <w:b w:val="0"/>
          <w:bCs/>
          <w:sz w:val="32"/>
          <w:szCs w:val="32"/>
          <w:highlight w:val="none"/>
        </w:rPr>
        <w:t xml:space="preserve"> </w:t>
      </w:r>
      <w:r>
        <w:rPr>
          <w:rStyle w:val="17"/>
          <w:rFonts w:hint="eastAsia" w:ascii="仿宋" w:hAnsi="仿宋" w:eastAsia="仿宋"/>
          <w:b w:val="0"/>
          <w:bCs/>
          <w:sz w:val="32"/>
          <w:szCs w:val="32"/>
          <w:highlight w:val="none"/>
        </w:rPr>
        <w:t>支出决算为</w:t>
      </w:r>
      <w:r>
        <w:rPr>
          <w:rFonts w:hint="eastAsia" w:ascii="仿宋" w:hAnsi="仿宋" w:eastAsia="仿宋"/>
          <w:b w:val="0"/>
          <w:bCs/>
          <w:color w:val="auto"/>
          <w:kern w:val="2"/>
          <w:sz w:val="32"/>
          <w:szCs w:val="24"/>
          <w:highlight w:val="none"/>
          <w:lang w:val="en-US" w:eastAsia="zh-CN"/>
        </w:rPr>
        <w:t>31.83</w:t>
      </w:r>
      <w:r>
        <w:rPr>
          <w:rStyle w:val="17"/>
          <w:rFonts w:hint="eastAsia" w:ascii="仿宋" w:hAnsi="仿宋" w:eastAsia="仿宋"/>
          <w:b w:val="0"/>
          <w:bCs/>
          <w:sz w:val="32"/>
          <w:szCs w:val="32"/>
          <w:highlight w:val="none"/>
        </w:rPr>
        <w:t>万元，完成预算</w:t>
      </w:r>
      <w:r>
        <w:rPr>
          <w:rStyle w:val="17"/>
          <w:rFonts w:hint="eastAsia" w:ascii="仿宋" w:hAnsi="仿宋" w:eastAsia="仿宋"/>
          <w:b w:val="0"/>
          <w:bCs/>
          <w:sz w:val="32"/>
          <w:szCs w:val="32"/>
          <w:highlight w:val="none"/>
          <w:lang w:val="en-US" w:eastAsia="zh-CN"/>
        </w:rPr>
        <w:t>100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，决算数等于预算数。</w:t>
      </w:r>
    </w:p>
    <w:p w14:paraId="2837DF71">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Style w:val="17"/>
          <w:rFonts w:hint="eastAsia" w:ascii="仿宋" w:hAnsi="仿宋" w:eastAsia="仿宋"/>
          <w:b w:val="0"/>
          <w:bCs/>
          <w:sz w:val="32"/>
          <w:szCs w:val="32"/>
          <w:highlight w:val="none"/>
        </w:rPr>
      </w:pPr>
      <w:r>
        <w:rPr>
          <w:rStyle w:val="17"/>
          <w:rFonts w:hint="eastAsia" w:ascii="仿宋" w:hAnsi="仿宋" w:eastAsia="仿宋"/>
          <w:b w:val="0"/>
          <w:bCs/>
          <w:sz w:val="32"/>
          <w:szCs w:val="32"/>
          <w:highlight w:val="none"/>
          <w:lang w:val="en-US" w:eastAsia="zh-CN"/>
        </w:rPr>
        <w:t>4.</w:t>
      </w:r>
      <w:r>
        <w:rPr>
          <w:rStyle w:val="17"/>
          <w:rFonts w:hint="eastAsia" w:ascii="仿宋" w:hAnsi="仿宋" w:eastAsia="仿宋"/>
          <w:b w:val="0"/>
          <w:bCs/>
          <w:sz w:val="32"/>
          <w:szCs w:val="32"/>
          <w:highlight w:val="none"/>
        </w:rPr>
        <w:t>社</w:t>
      </w:r>
      <w:r>
        <w:rPr>
          <w:rStyle w:val="17"/>
          <w:rFonts w:hint="eastAsia" w:ascii="仿宋" w:hAnsi="仿宋" w:eastAsia="仿宋" w:cstheme="minorBidi"/>
          <w:b w:val="0"/>
          <w:bCs/>
          <w:sz w:val="32"/>
          <w:szCs w:val="32"/>
          <w:highlight w:val="none"/>
          <w:lang w:val="en-US" w:eastAsia="zh-CN"/>
        </w:rPr>
        <w:t xml:space="preserve">会保障和就业（类）行政事业单位养老（款）其他行政事业单位（项）： </w:t>
      </w:r>
      <w:r>
        <w:rPr>
          <w:rStyle w:val="17"/>
          <w:rFonts w:hint="eastAsia" w:ascii="仿宋" w:hAnsi="仿宋" w:eastAsia="仿宋"/>
          <w:b w:val="0"/>
          <w:bCs/>
          <w:sz w:val="32"/>
          <w:szCs w:val="32"/>
          <w:highlight w:val="none"/>
        </w:rPr>
        <w:t>支出决算为</w:t>
      </w:r>
      <w:r>
        <w:rPr>
          <w:rFonts w:hint="eastAsia" w:ascii="仿宋" w:hAnsi="仿宋" w:eastAsia="仿宋"/>
          <w:b w:val="0"/>
          <w:bCs/>
          <w:color w:val="auto"/>
          <w:kern w:val="2"/>
          <w:sz w:val="32"/>
          <w:szCs w:val="24"/>
          <w:highlight w:val="none"/>
          <w:lang w:val="en-US" w:eastAsia="zh-CN"/>
        </w:rPr>
        <w:t>92.49</w:t>
      </w:r>
      <w:r>
        <w:rPr>
          <w:rStyle w:val="17"/>
          <w:rFonts w:hint="eastAsia" w:ascii="仿宋" w:hAnsi="仿宋" w:eastAsia="仿宋"/>
          <w:b w:val="0"/>
          <w:bCs/>
          <w:sz w:val="32"/>
          <w:szCs w:val="32"/>
          <w:highlight w:val="none"/>
        </w:rPr>
        <w:t>万元，完成预算</w:t>
      </w:r>
      <w:r>
        <w:rPr>
          <w:rStyle w:val="17"/>
          <w:rFonts w:hint="eastAsia" w:ascii="仿宋" w:hAnsi="仿宋" w:eastAsia="仿宋"/>
          <w:b w:val="0"/>
          <w:bCs/>
          <w:sz w:val="32"/>
          <w:szCs w:val="32"/>
          <w:highlight w:val="none"/>
          <w:lang w:val="en-US" w:eastAsia="zh-CN"/>
        </w:rPr>
        <w:t>100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，决算数等于预算数。</w:t>
      </w:r>
    </w:p>
    <w:p w14:paraId="655785EF">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Style w:val="17"/>
          <w:rFonts w:hint="eastAsia" w:ascii="仿宋" w:hAnsi="仿宋" w:eastAsia="仿宋"/>
          <w:b w:val="0"/>
          <w:bCs/>
          <w:sz w:val="32"/>
          <w:szCs w:val="32"/>
          <w:highlight w:val="none"/>
        </w:rPr>
      </w:pPr>
      <w:r>
        <w:rPr>
          <w:rStyle w:val="17"/>
          <w:rFonts w:hint="eastAsia" w:ascii="仿宋" w:hAnsi="仿宋" w:eastAsia="仿宋"/>
          <w:b w:val="0"/>
          <w:bCs/>
          <w:sz w:val="32"/>
          <w:szCs w:val="32"/>
          <w:highlight w:val="none"/>
          <w:lang w:val="en-US" w:eastAsia="zh-CN"/>
        </w:rPr>
        <w:t>5.</w:t>
      </w:r>
      <w:r>
        <w:rPr>
          <w:rStyle w:val="17"/>
          <w:rFonts w:hint="eastAsia" w:ascii="仿宋" w:hAnsi="仿宋" w:eastAsia="仿宋" w:cstheme="minorBidi"/>
          <w:b w:val="0"/>
          <w:bCs/>
          <w:sz w:val="32"/>
          <w:szCs w:val="32"/>
          <w:highlight w:val="none"/>
          <w:lang w:val="en-US" w:eastAsia="zh-CN"/>
        </w:rPr>
        <w:t xml:space="preserve">社会保障和就业（类）其他社会保障和就业（款）其他社会保障和就业（项）： </w:t>
      </w:r>
      <w:r>
        <w:rPr>
          <w:rStyle w:val="17"/>
          <w:rFonts w:hint="eastAsia" w:ascii="仿宋" w:hAnsi="仿宋" w:eastAsia="仿宋"/>
          <w:b w:val="0"/>
          <w:bCs/>
          <w:sz w:val="32"/>
          <w:szCs w:val="32"/>
          <w:highlight w:val="none"/>
        </w:rPr>
        <w:t>支出决算为</w:t>
      </w:r>
      <w:r>
        <w:rPr>
          <w:rFonts w:hint="eastAsia" w:ascii="仿宋" w:hAnsi="仿宋" w:eastAsia="仿宋"/>
          <w:b w:val="0"/>
          <w:bCs/>
          <w:color w:val="auto"/>
          <w:kern w:val="2"/>
          <w:sz w:val="32"/>
          <w:szCs w:val="24"/>
          <w:highlight w:val="none"/>
          <w:lang w:val="en-US" w:eastAsia="zh-CN"/>
        </w:rPr>
        <w:t>1.22</w:t>
      </w:r>
      <w:r>
        <w:rPr>
          <w:rStyle w:val="17"/>
          <w:rFonts w:hint="eastAsia" w:ascii="仿宋" w:hAnsi="仿宋" w:eastAsia="仿宋"/>
          <w:b w:val="0"/>
          <w:bCs/>
          <w:sz w:val="32"/>
          <w:szCs w:val="32"/>
          <w:highlight w:val="none"/>
        </w:rPr>
        <w:t>万元，完成预算</w:t>
      </w:r>
      <w:r>
        <w:rPr>
          <w:rStyle w:val="17"/>
          <w:rFonts w:hint="eastAsia" w:ascii="仿宋" w:hAnsi="仿宋" w:eastAsia="仿宋"/>
          <w:b w:val="0"/>
          <w:bCs/>
          <w:sz w:val="32"/>
          <w:szCs w:val="32"/>
          <w:highlight w:val="none"/>
          <w:lang w:val="en-US" w:eastAsia="zh-CN"/>
        </w:rPr>
        <w:t>100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，决算数等于预算数。</w:t>
      </w:r>
    </w:p>
    <w:p w14:paraId="3914CFE9">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b w:val="0"/>
          <w:bCs/>
          <w:sz w:val="32"/>
          <w:szCs w:val="32"/>
          <w:highlight w:val="none"/>
        </w:rPr>
      </w:pPr>
      <w:r>
        <w:rPr>
          <w:rStyle w:val="17"/>
          <w:rFonts w:ascii="仿宋" w:hAnsi="仿宋" w:eastAsia="仿宋"/>
          <w:b w:val="0"/>
          <w:bCs/>
          <w:sz w:val="32"/>
          <w:szCs w:val="32"/>
          <w:highlight w:val="none"/>
        </w:rPr>
        <w:t>6.</w:t>
      </w:r>
      <w:r>
        <w:rPr>
          <w:rFonts w:hint="eastAsia" w:ascii="仿宋" w:hAnsi="仿宋" w:eastAsia="仿宋"/>
          <w:b w:val="0"/>
          <w:bCs/>
          <w:sz w:val="32"/>
          <w:szCs w:val="32"/>
          <w:highlight w:val="none"/>
        </w:rPr>
        <w:t>卫生健康</w:t>
      </w:r>
      <w:r>
        <w:rPr>
          <w:rStyle w:val="17"/>
          <w:rFonts w:hint="eastAsia" w:ascii="仿宋" w:hAnsi="仿宋" w:eastAsia="仿宋"/>
          <w:b w:val="0"/>
          <w:bCs/>
          <w:sz w:val="32"/>
          <w:szCs w:val="32"/>
          <w:highlight w:val="none"/>
        </w:rPr>
        <w:t>（类）</w:t>
      </w:r>
      <w:r>
        <w:rPr>
          <w:rStyle w:val="17"/>
          <w:rFonts w:hint="eastAsia" w:ascii="仿宋" w:hAnsi="仿宋" w:eastAsia="仿宋"/>
          <w:b w:val="0"/>
          <w:bCs/>
          <w:sz w:val="32"/>
          <w:szCs w:val="32"/>
          <w:highlight w:val="none"/>
          <w:lang w:val="en-US" w:eastAsia="zh-CN"/>
        </w:rPr>
        <w:t>行政事业单位医疗</w:t>
      </w:r>
      <w:r>
        <w:rPr>
          <w:rStyle w:val="17"/>
          <w:rFonts w:hint="eastAsia" w:ascii="仿宋" w:hAnsi="仿宋" w:eastAsia="仿宋"/>
          <w:b w:val="0"/>
          <w:bCs/>
          <w:sz w:val="32"/>
          <w:szCs w:val="32"/>
          <w:highlight w:val="none"/>
        </w:rPr>
        <w:t>（款）</w:t>
      </w:r>
      <w:r>
        <w:rPr>
          <w:rStyle w:val="17"/>
          <w:rFonts w:hint="eastAsia" w:ascii="仿宋" w:hAnsi="仿宋" w:eastAsia="仿宋"/>
          <w:b w:val="0"/>
          <w:bCs/>
          <w:sz w:val="32"/>
          <w:szCs w:val="32"/>
          <w:highlight w:val="none"/>
          <w:lang w:val="en-US" w:eastAsia="zh-CN"/>
        </w:rPr>
        <w:t>行政单位医疗</w:t>
      </w:r>
      <w:r>
        <w:rPr>
          <w:rStyle w:val="17"/>
          <w:rFonts w:hint="eastAsia" w:ascii="仿宋" w:hAnsi="仿宋" w:eastAsia="仿宋"/>
          <w:b w:val="0"/>
          <w:bCs/>
          <w:sz w:val="32"/>
          <w:szCs w:val="32"/>
          <w:highlight w:val="none"/>
        </w:rPr>
        <w:t>（项）</w:t>
      </w:r>
      <w:r>
        <w:rPr>
          <w:rStyle w:val="17"/>
          <w:rFonts w:hint="eastAsia" w:ascii="仿宋" w:hAnsi="仿宋" w:eastAsia="仿宋"/>
          <w:b w:val="0"/>
          <w:bCs/>
          <w:sz w:val="32"/>
          <w:szCs w:val="32"/>
          <w:highlight w:val="none"/>
          <w:lang w:eastAsia="zh-CN"/>
        </w:rPr>
        <w:t>：</w:t>
      </w:r>
      <w:r>
        <w:rPr>
          <w:rStyle w:val="17"/>
          <w:rFonts w:hint="eastAsia" w:ascii="仿宋" w:hAnsi="仿宋" w:eastAsia="仿宋"/>
          <w:b w:val="0"/>
          <w:bCs/>
          <w:sz w:val="32"/>
          <w:szCs w:val="32"/>
          <w:highlight w:val="none"/>
        </w:rPr>
        <w:t>支出决算为</w:t>
      </w:r>
      <w:r>
        <w:rPr>
          <w:rStyle w:val="17"/>
          <w:rFonts w:hint="eastAsia" w:ascii="仿宋" w:hAnsi="仿宋" w:eastAsia="仿宋"/>
          <w:b w:val="0"/>
          <w:bCs/>
          <w:sz w:val="32"/>
          <w:szCs w:val="32"/>
          <w:highlight w:val="none"/>
          <w:lang w:val="en-US" w:eastAsia="zh-CN"/>
        </w:rPr>
        <w:t>20.71</w:t>
      </w:r>
      <w:r>
        <w:rPr>
          <w:rStyle w:val="17"/>
          <w:rFonts w:hint="eastAsia" w:ascii="仿宋" w:hAnsi="仿宋" w:eastAsia="仿宋"/>
          <w:b w:val="0"/>
          <w:bCs/>
          <w:sz w:val="32"/>
          <w:szCs w:val="32"/>
          <w:highlight w:val="none"/>
        </w:rPr>
        <w:t>万元，完成预算</w:t>
      </w:r>
      <w:r>
        <w:rPr>
          <w:rStyle w:val="17"/>
          <w:rFonts w:hint="eastAsia" w:ascii="仿宋" w:hAnsi="仿宋" w:eastAsia="仿宋"/>
          <w:b w:val="0"/>
          <w:bCs/>
          <w:sz w:val="32"/>
          <w:szCs w:val="32"/>
          <w:highlight w:val="none"/>
          <w:lang w:val="en-US" w:eastAsia="zh-CN"/>
        </w:rPr>
        <w:t>100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，决算数等于预算数。</w:t>
      </w:r>
    </w:p>
    <w:p w14:paraId="3E19971E">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Style w:val="17"/>
          <w:rFonts w:hint="eastAsia" w:ascii="仿宋" w:hAnsi="仿宋" w:eastAsia="仿宋"/>
          <w:b w:val="0"/>
          <w:bCs/>
          <w:sz w:val="32"/>
          <w:szCs w:val="32"/>
          <w:highlight w:val="none"/>
        </w:rPr>
      </w:pPr>
      <w:r>
        <w:rPr>
          <w:rStyle w:val="17"/>
          <w:rFonts w:hint="eastAsia" w:ascii="仿宋" w:hAnsi="仿宋" w:eastAsia="仿宋"/>
          <w:b w:val="0"/>
          <w:bCs/>
          <w:sz w:val="32"/>
          <w:szCs w:val="32"/>
          <w:highlight w:val="none"/>
          <w:lang w:val="en-US" w:eastAsia="zh-CN"/>
        </w:rPr>
        <w:t>7</w:t>
      </w:r>
      <w:r>
        <w:rPr>
          <w:rStyle w:val="17"/>
          <w:rFonts w:ascii="仿宋" w:hAnsi="仿宋" w:eastAsia="仿宋"/>
          <w:b w:val="0"/>
          <w:bCs/>
          <w:sz w:val="32"/>
          <w:szCs w:val="32"/>
          <w:highlight w:val="none"/>
        </w:rPr>
        <w:t>.</w:t>
      </w:r>
      <w:r>
        <w:rPr>
          <w:rFonts w:hint="eastAsia" w:ascii="仿宋" w:hAnsi="仿宋" w:eastAsia="仿宋"/>
          <w:b w:val="0"/>
          <w:bCs/>
          <w:sz w:val="32"/>
          <w:szCs w:val="32"/>
          <w:highlight w:val="none"/>
        </w:rPr>
        <w:t>卫生健康</w:t>
      </w:r>
      <w:r>
        <w:rPr>
          <w:rStyle w:val="17"/>
          <w:rFonts w:hint="eastAsia" w:ascii="仿宋" w:hAnsi="仿宋" w:eastAsia="仿宋"/>
          <w:b w:val="0"/>
          <w:bCs/>
          <w:sz w:val="32"/>
          <w:szCs w:val="32"/>
          <w:highlight w:val="none"/>
        </w:rPr>
        <w:t>（类）</w:t>
      </w:r>
      <w:r>
        <w:rPr>
          <w:rStyle w:val="17"/>
          <w:rFonts w:hint="eastAsia" w:ascii="仿宋" w:hAnsi="仿宋" w:eastAsia="仿宋"/>
          <w:b w:val="0"/>
          <w:bCs/>
          <w:sz w:val="32"/>
          <w:szCs w:val="32"/>
          <w:highlight w:val="none"/>
          <w:lang w:val="en-US" w:eastAsia="zh-CN"/>
        </w:rPr>
        <w:t>行政事业单位医疗</w:t>
      </w:r>
      <w:r>
        <w:rPr>
          <w:rStyle w:val="17"/>
          <w:rFonts w:hint="eastAsia" w:ascii="仿宋" w:hAnsi="仿宋" w:eastAsia="仿宋"/>
          <w:b w:val="0"/>
          <w:bCs/>
          <w:sz w:val="32"/>
          <w:szCs w:val="32"/>
          <w:highlight w:val="none"/>
        </w:rPr>
        <w:t>（款）</w:t>
      </w:r>
      <w:r>
        <w:rPr>
          <w:rStyle w:val="17"/>
          <w:rFonts w:hint="eastAsia" w:ascii="仿宋" w:hAnsi="仿宋" w:eastAsia="仿宋"/>
          <w:b w:val="0"/>
          <w:bCs/>
          <w:sz w:val="32"/>
          <w:szCs w:val="32"/>
          <w:highlight w:val="none"/>
          <w:lang w:val="en-US" w:eastAsia="zh-CN"/>
        </w:rPr>
        <w:t>事业单位医疗</w:t>
      </w:r>
      <w:r>
        <w:rPr>
          <w:rStyle w:val="17"/>
          <w:rFonts w:hint="eastAsia" w:ascii="仿宋" w:hAnsi="仿宋" w:eastAsia="仿宋"/>
          <w:b w:val="0"/>
          <w:bCs/>
          <w:sz w:val="32"/>
          <w:szCs w:val="32"/>
          <w:highlight w:val="none"/>
        </w:rPr>
        <w:t>（项）</w:t>
      </w:r>
      <w:r>
        <w:rPr>
          <w:rStyle w:val="17"/>
          <w:rFonts w:hint="eastAsia" w:ascii="仿宋" w:hAnsi="仿宋" w:eastAsia="仿宋"/>
          <w:b w:val="0"/>
          <w:bCs/>
          <w:sz w:val="32"/>
          <w:szCs w:val="32"/>
          <w:highlight w:val="none"/>
          <w:lang w:eastAsia="zh-CN"/>
        </w:rPr>
        <w:t>：</w:t>
      </w:r>
      <w:r>
        <w:rPr>
          <w:rStyle w:val="17"/>
          <w:rFonts w:hint="eastAsia" w:ascii="仿宋" w:hAnsi="仿宋" w:eastAsia="仿宋"/>
          <w:b w:val="0"/>
          <w:bCs/>
          <w:sz w:val="32"/>
          <w:szCs w:val="32"/>
          <w:highlight w:val="none"/>
        </w:rPr>
        <w:t>支出决算为</w:t>
      </w:r>
      <w:r>
        <w:rPr>
          <w:rStyle w:val="17"/>
          <w:rFonts w:hint="eastAsia" w:ascii="仿宋" w:hAnsi="仿宋" w:eastAsia="仿宋"/>
          <w:b w:val="0"/>
          <w:bCs/>
          <w:sz w:val="32"/>
          <w:szCs w:val="32"/>
          <w:highlight w:val="none"/>
          <w:lang w:val="en-US" w:eastAsia="zh-CN"/>
        </w:rPr>
        <w:t>6.28</w:t>
      </w:r>
      <w:r>
        <w:rPr>
          <w:rStyle w:val="17"/>
          <w:rFonts w:hint="eastAsia" w:ascii="仿宋" w:hAnsi="仿宋" w:eastAsia="仿宋"/>
          <w:b w:val="0"/>
          <w:bCs/>
          <w:sz w:val="32"/>
          <w:szCs w:val="32"/>
          <w:highlight w:val="none"/>
        </w:rPr>
        <w:t>万元，完成预算</w:t>
      </w:r>
      <w:r>
        <w:rPr>
          <w:rStyle w:val="17"/>
          <w:rFonts w:hint="eastAsia" w:ascii="仿宋" w:hAnsi="仿宋" w:eastAsia="仿宋"/>
          <w:b w:val="0"/>
          <w:bCs/>
          <w:sz w:val="32"/>
          <w:szCs w:val="32"/>
          <w:highlight w:val="none"/>
          <w:lang w:val="en-US" w:eastAsia="zh-CN"/>
        </w:rPr>
        <w:t>100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，决算数等于预算数。</w:t>
      </w:r>
    </w:p>
    <w:p w14:paraId="4D86E356">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 w:hAnsi="仿宋" w:eastAsia="仿宋"/>
          <w:b w:val="0"/>
          <w:bCs/>
          <w:color w:val="auto"/>
          <w:kern w:val="2"/>
          <w:sz w:val="32"/>
          <w:szCs w:val="24"/>
          <w:lang w:val="en-US"/>
        </w:rPr>
      </w:pPr>
      <w:r>
        <w:rPr>
          <w:rFonts w:hint="eastAsia" w:ascii="仿宋_GB2312" w:hAnsi="仿宋_GB2312" w:eastAsia="仿宋_GB2312"/>
          <w:b w:val="0"/>
          <w:bCs/>
          <w:color w:val="000000"/>
          <w:kern w:val="2"/>
          <w:sz w:val="32"/>
          <w:szCs w:val="24"/>
          <w:highlight w:val="none"/>
          <w:lang w:val="en-US" w:eastAsia="zh-CN"/>
        </w:rPr>
        <w:t>8</w:t>
      </w:r>
      <w:r>
        <w:rPr>
          <w:rFonts w:hint="eastAsia" w:ascii="仿宋_GB2312" w:hAnsi="仿宋_GB2312" w:eastAsia="仿宋_GB2312"/>
          <w:b w:val="0"/>
          <w:bCs/>
          <w:color w:val="000000"/>
          <w:kern w:val="2"/>
          <w:sz w:val="32"/>
          <w:szCs w:val="24"/>
          <w:highlight w:val="none"/>
          <w:lang w:val="en-US"/>
        </w:rPr>
        <w:t>.农林水（类）农业农村（款）事业运行（项）</w:t>
      </w:r>
      <w:r>
        <w:rPr>
          <w:rFonts w:hint="eastAsia" w:ascii="仿宋_GB2312" w:hAnsi="仿宋_GB2312" w:eastAsia="仿宋_GB2312"/>
          <w:b w:val="0"/>
          <w:bCs/>
          <w:color w:val="000000"/>
          <w:kern w:val="2"/>
          <w:sz w:val="32"/>
          <w:szCs w:val="24"/>
          <w:highlight w:val="none"/>
          <w:lang w:val="en-US" w:eastAsia="zh-CN"/>
        </w:rPr>
        <w:t>：</w:t>
      </w:r>
      <w:r>
        <w:rPr>
          <w:rFonts w:hint="eastAsia" w:ascii="仿宋" w:hAnsi="仿宋" w:eastAsia="仿宋"/>
          <w:b w:val="0"/>
          <w:bCs/>
          <w:color w:val="auto"/>
          <w:kern w:val="2"/>
          <w:sz w:val="32"/>
          <w:szCs w:val="24"/>
          <w:highlight w:val="none"/>
          <w:lang w:val="en-US"/>
        </w:rPr>
        <w:t>支出决算为</w:t>
      </w:r>
      <w:r>
        <w:rPr>
          <w:rFonts w:hint="eastAsia" w:ascii="仿宋" w:hAnsi="仿宋" w:eastAsia="仿宋"/>
          <w:b w:val="0"/>
          <w:bCs/>
          <w:color w:val="auto"/>
          <w:kern w:val="2"/>
          <w:sz w:val="32"/>
          <w:szCs w:val="24"/>
          <w:highlight w:val="none"/>
          <w:lang w:val="en-US" w:eastAsia="zh-CN"/>
        </w:rPr>
        <w:t>455.92</w:t>
      </w:r>
      <w:r>
        <w:rPr>
          <w:rFonts w:hint="eastAsia" w:ascii="仿宋" w:hAnsi="仿宋" w:eastAsia="仿宋"/>
          <w:b w:val="0"/>
          <w:bCs/>
          <w:color w:val="auto"/>
          <w:kern w:val="2"/>
          <w:sz w:val="32"/>
          <w:szCs w:val="24"/>
          <w:highlight w:val="none"/>
          <w:lang w:val="en-US"/>
        </w:rPr>
        <w:t>万元，完成预算</w:t>
      </w:r>
      <w:r>
        <w:rPr>
          <w:rFonts w:hint="eastAsia" w:ascii="仿宋" w:hAnsi="仿宋" w:eastAsia="仿宋"/>
          <w:b w:val="0"/>
          <w:bCs/>
          <w:color w:val="auto"/>
          <w:kern w:val="2"/>
          <w:sz w:val="32"/>
          <w:szCs w:val="24"/>
          <w:highlight w:val="none"/>
          <w:lang w:val="en-US" w:eastAsia="zh-CN"/>
        </w:rPr>
        <w:t>10</w:t>
      </w:r>
      <w:r>
        <w:rPr>
          <w:rFonts w:hint="eastAsia" w:ascii="仿宋" w:hAnsi="仿宋" w:eastAsia="仿宋"/>
          <w:b w:val="0"/>
          <w:bCs/>
          <w:color w:val="auto"/>
          <w:kern w:val="2"/>
          <w:sz w:val="32"/>
          <w:szCs w:val="24"/>
          <w:lang w:val="en-US" w:eastAsia="zh-CN"/>
        </w:rPr>
        <w:t>0</w:t>
      </w:r>
      <w:r>
        <w:rPr>
          <w:rFonts w:hint="eastAsia" w:ascii="仿宋" w:hAnsi="仿宋" w:eastAsia="仿宋"/>
          <w:b w:val="0"/>
          <w:bCs/>
          <w:color w:val="auto"/>
          <w:kern w:val="2"/>
          <w:sz w:val="32"/>
          <w:szCs w:val="24"/>
          <w:lang w:val="en-US"/>
        </w:rPr>
        <w:t>%，决算数等于预算数。</w:t>
      </w:r>
    </w:p>
    <w:p w14:paraId="51F8097A">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 w:hAnsi="仿宋" w:eastAsia="仿宋"/>
          <w:b w:val="0"/>
          <w:bCs/>
          <w:color w:val="auto"/>
          <w:kern w:val="2"/>
          <w:sz w:val="32"/>
          <w:szCs w:val="24"/>
          <w:lang w:val="en-US"/>
        </w:rPr>
      </w:pPr>
      <w:r>
        <w:rPr>
          <w:rFonts w:hint="eastAsia" w:ascii="仿宋_GB2312" w:hAnsi="仿宋_GB2312" w:eastAsia="仿宋_GB2312"/>
          <w:b w:val="0"/>
          <w:bCs/>
          <w:color w:val="000000"/>
          <w:kern w:val="2"/>
          <w:sz w:val="32"/>
          <w:szCs w:val="24"/>
          <w:lang w:val="en-US" w:eastAsia="zh-CN"/>
        </w:rPr>
        <w:t>9</w:t>
      </w:r>
      <w:r>
        <w:rPr>
          <w:rFonts w:hint="eastAsia" w:ascii="仿宋_GB2312" w:hAnsi="仿宋_GB2312" w:eastAsia="仿宋_GB2312"/>
          <w:b w:val="0"/>
          <w:bCs/>
          <w:color w:val="000000"/>
          <w:kern w:val="2"/>
          <w:sz w:val="32"/>
          <w:szCs w:val="24"/>
          <w:lang w:val="en-US"/>
        </w:rPr>
        <w:t>.农林水（类）农村综合改革（款）对村民委员会和村党支部的补助（项）</w:t>
      </w:r>
      <w:r>
        <w:rPr>
          <w:rFonts w:hint="eastAsia" w:ascii="仿宋_GB2312" w:hAnsi="仿宋_GB2312" w:eastAsia="仿宋_GB2312"/>
          <w:b w:val="0"/>
          <w:bCs/>
          <w:color w:val="000000"/>
          <w:kern w:val="2"/>
          <w:sz w:val="32"/>
          <w:szCs w:val="24"/>
          <w:lang w:val="en-US" w:eastAsia="zh-CN"/>
        </w:rPr>
        <w:t>：</w:t>
      </w:r>
      <w:r>
        <w:rPr>
          <w:rFonts w:hint="eastAsia" w:ascii="仿宋" w:hAnsi="仿宋" w:eastAsia="仿宋"/>
          <w:b w:val="0"/>
          <w:bCs/>
          <w:color w:val="auto"/>
          <w:kern w:val="2"/>
          <w:sz w:val="32"/>
          <w:szCs w:val="24"/>
          <w:lang w:val="en-US"/>
        </w:rPr>
        <w:t>支出决算为</w:t>
      </w:r>
      <w:r>
        <w:rPr>
          <w:rFonts w:hint="eastAsia" w:ascii="仿宋" w:hAnsi="仿宋" w:eastAsia="仿宋"/>
          <w:b w:val="0"/>
          <w:bCs/>
          <w:color w:val="auto"/>
          <w:kern w:val="2"/>
          <w:sz w:val="32"/>
          <w:szCs w:val="24"/>
          <w:lang w:val="en-US" w:eastAsia="zh-CN"/>
        </w:rPr>
        <w:t>456.10</w:t>
      </w:r>
      <w:r>
        <w:rPr>
          <w:rFonts w:hint="eastAsia" w:ascii="仿宋" w:hAnsi="仿宋" w:eastAsia="仿宋"/>
          <w:b w:val="0"/>
          <w:bCs/>
          <w:color w:val="auto"/>
          <w:kern w:val="2"/>
          <w:sz w:val="32"/>
          <w:szCs w:val="24"/>
          <w:lang w:val="en-US"/>
        </w:rPr>
        <w:t>万元，完成预算</w:t>
      </w:r>
      <w:r>
        <w:rPr>
          <w:rFonts w:hint="eastAsia" w:ascii="仿宋" w:hAnsi="仿宋" w:eastAsia="仿宋"/>
          <w:b w:val="0"/>
          <w:bCs/>
          <w:color w:val="auto"/>
          <w:kern w:val="2"/>
          <w:sz w:val="32"/>
          <w:szCs w:val="24"/>
          <w:lang w:val="en-US" w:eastAsia="zh-CN"/>
        </w:rPr>
        <w:t>100</w:t>
      </w:r>
      <w:r>
        <w:rPr>
          <w:rFonts w:hint="eastAsia" w:ascii="仿宋" w:hAnsi="仿宋" w:eastAsia="仿宋"/>
          <w:b w:val="0"/>
          <w:bCs/>
          <w:color w:val="auto"/>
          <w:kern w:val="2"/>
          <w:sz w:val="32"/>
          <w:szCs w:val="24"/>
          <w:lang w:val="en-US"/>
        </w:rPr>
        <w:t>%，决算数等于预算数。</w:t>
      </w:r>
    </w:p>
    <w:p w14:paraId="0F1E85DE">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 w:hAnsi="仿宋" w:eastAsia="仿宋"/>
          <w:b w:val="0"/>
          <w:bCs/>
          <w:color w:val="auto"/>
          <w:kern w:val="2"/>
          <w:sz w:val="32"/>
          <w:szCs w:val="24"/>
          <w:lang w:val="en-US"/>
        </w:rPr>
      </w:pPr>
      <w:r>
        <w:rPr>
          <w:rFonts w:hint="eastAsia" w:ascii="仿宋_GB2312" w:hAnsi="仿宋_GB2312" w:eastAsia="仿宋_GB2312"/>
          <w:b w:val="0"/>
          <w:bCs/>
          <w:color w:val="000000"/>
          <w:kern w:val="2"/>
          <w:sz w:val="32"/>
          <w:szCs w:val="24"/>
          <w:lang w:val="en-US" w:eastAsia="zh-CN"/>
        </w:rPr>
        <w:t>10</w:t>
      </w:r>
      <w:r>
        <w:rPr>
          <w:rFonts w:hint="eastAsia" w:ascii="仿宋_GB2312" w:hAnsi="仿宋_GB2312" w:eastAsia="仿宋_GB2312"/>
          <w:b w:val="0"/>
          <w:bCs/>
          <w:color w:val="000000"/>
          <w:kern w:val="2"/>
          <w:sz w:val="32"/>
          <w:szCs w:val="24"/>
          <w:lang w:val="en-US"/>
        </w:rPr>
        <w:t>.住房保障（类）住房改革（款）住房公积金（项）</w:t>
      </w:r>
      <w:r>
        <w:rPr>
          <w:rFonts w:hint="eastAsia" w:ascii="仿宋_GB2312" w:hAnsi="仿宋_GB2312" w:eastAsia="仿宋_GB2312"/>
          <w:b w:val="0"/>
          <w:bCs/>
          <w:color w:val="000000"/>
          <w:kern w:val="2"/>
          <w:sz w:val="32"/>
          <w:szCs w:val="24"/>
          <w:lang w:val="en-US" w:eastAsia="zh-CN"/>
        </w:rPr>
        <w:t>：</w:t>
      </w:r>
      <w:r>
        <w:rPr>
          <w:rFonts w:hint="eastAsia" w:ascii="仿宋" w:hAnsi="仿宋" w:eastAsia="仿宋"/>
          <w:b w:val="0"/>
          <w:bCs/>
          <w:color w:val="auto"/>
          <w:kern w:val="2"/>
          <w:sz w:val="32"/>
          <w:szCs w:val="24"/>
          <w:lang w:val="en-US"/>
        </w:rPr>
        <w:t>支出决算为</w:t>
      </w:r>
      <w:r>
        <w:rPr>
          <w:rFonts w:hint="eastAsia" w:ascii="仿宋" w:hAnsi="仿宋" w:eastAsia="仿宋"/>
          <w:b w:val="0"/>
          <w:bCs/>
          <w:color w:val="auto"/>
          <w:kern w:val="2"/>
          <w:sz w:val="32"/>
          <w:szCs w:val="24"/>
          <w:lang w:val="en-US" w:eastAsia="zh-CN"/>
        </w:rPr>
        <w:t>68.63</w:t>
      </w:r>
      <w:r>
        <w:rPr>
          <w:rFonts w:hint="eastAsia" w:ascii="仿宋" w:hAnsi="仿宋" w:eastAsia="仿宋"/>
          <w:b w:val="0"/>
          <w:bCs/>
          <w:color w:val="auto"/>
          <w:kern w:val="2"/>
          <w:sz w:val="32"/>
          <w:szCs w:val="24"/>
          <w:lang w:val="en-US"/>
        </w:rPr>
        <w:t>万元，完成预算</w:t>
      </w:r>
      <w:r>
        <w:rPr>
          <w:rFonts w:hint="eastAsia" w:ascii="仿宋" w:hAnsi="仿宋" w:eastAsia="仿宋"/>
          <w:b w:val="0"/>
          <w:bCs/>
          <w:color w:val="auto"/>
          <w:kern w:val="2"/>
          <w:sz w:val="32"/>
          <w:szCs w:val="24"/>
          <w:lang w:val="en-US" w:eastAsia="zh-CN"/>
        </w:rPr>
        <w:t>100</w:t>
      </w:r>
      <w:r>
        <w:rPr>
          <w:rFonts w:hint="eastAsia" w:ascii="仿宋" w:hAnsi="仿宋" w:eastAsia="仿宋"/>
          <w:b w:val="0"/>
          <w:bCs/>
          <w:color w:val="auto"/>
          <w:kern w:val="2"/>
          <w:sz w:val="32"/>
          <w:szCs w:val="24"/>
          <w:lang w:val="en-US"/>
        </w:rPr>
        <w:t>%，决算数等于预算数。</w:t>
      </w:r>
    </w:p>
    <w:p w14:paraId="142D39FC">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 w:hAnsi="仿宋" w:eastAsia="仿宋"/>
          <w:b w:val="0"/>
          <w:bCs/>
          <w:color w:val="auto"/>
          <w:kern w:val="2"/>
          <w:sz w:val="32"/>
          <w:szCs w:val="24"/>
          <w:lang w:val="en-US"/>
        </w:rPr>
      </w:pPr>
      <w:r>
        <w:rPr>
          <w:rStyle w:val="17"/>
          <w:rFonts w:hint="eastAsia" w:ascii="仿宋" w:hAnsi="仿宋" w:eastAsia="仿宋" w:cstheme="minorBidi"/>
          <w:b w:val="0"/>
          <w:bCs/>
          <w:sz w:val="32"/>
          <w:szCs w:val="32"/>
          <w:highlight w:val="none"/>
          <w:lang w:val="en-US" w:eastAsia="zh-CN"/>
        </w:rPr>
        <w:t>11.国有资本经营预算（类）解决历史遗留问题及改革成本（款）国有企业退休人员社会化管理补助（项）：</w:t>
      </w:r>
      <w:r>
        <w:rPr>
          <w:rFonts w:hint="eastAsia" w:ascii="仿宋" w:hAnsi="仿宋" w:eastAsia="仿宋"/>
          <w:b w:val="0"/>
          <w:bCs/>
          <w:color w:val="auto"/>
          <w:kern w:val="2"/>
          <w:sz w:val="32"/>
          <w:szCs w:val="24"/>
          <w:lang w:val="en-US"/>
        </w:rPr>
        <w:t>支出决算为</w:t>
      </w:r>
      <w:r>
        <w:rPr>
          <w:rFonts w:hint="eastAsia" w:ascii="仿宋" w:hAnsi="仿宋" w:eastAsia="仿宋"/>
          <w:b w:val="0"/>
          <w:bCs/>
          <w:color w:val="auto"/>
          <w:kern w:val="2"/>
          <w:sz w:val="32"/>
          <w:szCs w:val="24"/>
          <w:lang w:val="en-US" w:eastAsia="zh-CN"/>
        </w:rPr>
        <w:t>0.04</w:t>
      </w:r>
      <w:r>
        <w:rPr>
          <w:rFonts w:hint="eastAsia" w:ascii="仿宋" w:hAnsi="仿宋" w:eastAsia="仿宋"/>
          <w:b w:val="0"/>
          <w:bCs/>
          <w:color w:val="auto"/>
          <w:kern w:val="2"/>
          <w:sz w:val="32"/>
          <w:szCs w:val="24"/>
          <w:lang w:val="en-US"/>
        </w:rPr>
        <w:t>万元，完成预算</w:t>
      </w:r>
      <w:r>
        <w:rPr>
          <w:rFonts w:hint="eastAsia" w:ascii="仿宋" w:hAnsi="仿宋" w:eastAsia="仿宋"/>
          <w:b w:val="0"/>
          <w:bCs/>
          <w:color w:val="auto"/>
          <w:kern w:val="2"/>
          <w:sz w:val="32"/>
          <w:szCs w:val="24"/>
          <w:lang w:val="en-US" w:eastAsia="zh-CN"/>
        </w:rPr>
        <w:t>100</w:t>
      </w:r>
      <w:r>
        <w:rPr>
          <w:rFonts w:hint="eastAsia" w:ascii="仿宋" w:hAnsi="仿宋" w:eastAsia="仿宋"/>
          <w:b w:val="0"/>
          <w:bCs/>
          <w:color w:val="auto"/>
          <w:kern w:val="2"/>
          <w:sz w:val="32"/>
          <w:szCs w:val="24"/>
          <w:lang w:val="en-US"/>
        </w:rPr>
        <w:t>%，决算数等于预算数。</w:t>
      </w:r>
    </w:p>
    <w:p w14:paraId="2D9B1A89">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 w:hAnsi="仿宋" w:eastAsia="仿宋"/>
          <w:b w:val="0"/>
          <w:bCs/>
          <w:color w:val="auto"/>
          <w:kern w:val="2"/>
          <w:sz w:val="32"/>
          <w:szCs w:val="24"/>
          <w:lang w:val="en-US"/>
        </w:rPr>
      </w:pPr>
      <w:r>
        <w:rPr>
          <w:rStyle w:val="17"/>
          <w:rFonts w:hint="eastAsia" w:ascii="仿宋" w:hAnsi="仿宋" w:eastAsia="仿宋" w:cstheme="minorBidi"/>
          <w:b w:val="0"/>
          <w:bCs/>
          <w:sz w:val="32"/>
          <w:szCs w:val="32"/>
          <w:highlight w:val="none"/>
          <w:lang w:val="en-US" w:eastAsia="zh-CN"/>
        </w:rPr>
        <w:t>12.其他支出（类）彩票公益金安排（款）用于社会福利的彩票公益金（项）：</w:t>
      </w:r>
      <w:r>
        <w:rPr>
          <w:rFonts w:hint="eastAsia" w:ascii="仿宋" w:hAnsi="仿宋" w:eastAsia="仿宋"/>
          <w:b w:val="0"/>
          <w:bCs/>
          <w:color w:val="auto"/>
          <w:kern w:val="2"/>
          <w:sz w:val="32"/>
          <w:szCs w:val="24"/>
          <w:lang w:val="en-US"/>
        </w:rPr>
        <w:t>支出决算为</w:t>
      </w:r>
      <w:r>
        <w:rPr>
          <w:rFonts w:hint="eastAsia" w:ascii="仿宋" w:hAnsi="仿宋" w:eastAsia="仿宋"/>
          <w:b w:val="0"/>
          <w:bCs/>
          <w:color w:val="auto"/>
          <w:kern w:val="2"/>
          <w:sz w:val="32"/>
          <w:szCs w:val="24"/>
          <w:lang w:val="en-US" w:eastAsia="zh-CN"/>
        </w:rPr>
        <w:t>85.49</w:t>
      </w:r>
      <w:r>
        <w:rPr>
          <w:rFonts w:hint="eastAsia" w:ascii="仿宋" w:hAnsi="仿宋" w:eastAsia="仿宋"/>
          <w:b w:val="0"/>
          <w:bCs/>
          <w:color w:val="auto"/>
          <w:kern w:val="2"/>
          <w:sz w:val="32"/>
          <w:szCs w:val="24"/>
          <w:lang w:val="en-US"/>
        </w:rPr>
        <w:t>万元，完成预算</w:t>
      </w:r>
      <w:r>
        <w:rPr>
          <w:rFonts w:hint="eastAsia" w:ascii="仿宋" w:hAnsi="仿宋" w:eastAsia="仿宋"/>
          <w:b w:val="0"/>
          <w:bCs/>
          <w:color w:val="auto"/>
          <w:kern w:val="2"/>
          <w:sz w:val="32"/>
          <w:szCs w:val="24"/>
          <w:lang w:val="en-US" w:eastAsia="zh-CN"/>
        </w:rPr>
        <w:t>100</w:t>
      </w:r>
      <w:r>
        <w:rPr>
          <w:rFonts w:hint="eastAsia" w:ascii="仿宋" w:hAnsi="仿宋" w:eastAsia="仿宋"/>
          <w:b w:val="0"/>
          <w:bCs/>
          <w:color w:val="auto"/>
          <w:kern w:val="2"/>
          <w:sz w:val="32"/>
          <w:szCs w:val="24"/>
          <w:lang w:val="en-US"/>
        </w:rPr>
        <w:t>%，决算数等于预算数。</w:t>
      </w:r>
    </w:p>
    <w:p w14:paraId="4E517542">
      <w:pPr>
        <w:keepNext w:val="0"/>
        <w:keepLines w:val="0"/>
        <w:pageBreakBefore w:val="0"/>
        <w:widowControl w:val="0"/>
        <w:tabs>
          <w:tab w:val="right" w:pos="8306"/>
        </w:tabs>
        <w:kinsoku/>
        <w:wordWrap/>
        <w:overflowPunct/>
        <w:topLinePunct/>
        <w:autoSpaceDE/>
        <w:autoSpaceDN/>
        <w:bidi w:val="0"/>
        <w:adjustRightInd/>
        <w:snapToGrid/>
        <w:spacing w:line="560" w:lineRule="exact"/>
        <w:ind w:firstLine="640" w:firstLineChars="200"/>
        <w:textAlignment w:val="auto"/>
        <w:outlineLvl w:val="1"/>
        <w:rPr>
          <w:rStyle w:val="29"/>
        </w:rPr>
      </w:pPr>
      <w:bookmarkStart w:id="57" w:name="_Toc6459"/>
      <w:bookmarkStart w:id="58" w:name="_Toc15377214"/>
      <w:bookmarkStart w:id="59" w:name="_Toc15396608"/>
      <w:bookmarkStart w:id="60" w:name="_Toc13232"/>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57"/>
      <w:bookmarkEnd w:id="58"/>
      <w:bookmarkEnd w:id="59"/>
      <w:bookmarkEnd w:id="60"/>
      <w:r>
        <w:rPr>
          <w:rStyle w:val="29"/>
          <w:rFonts w:ascii="黑体" w:hAnsi="黑体" w:eastAsia="黑体"/>
          <w:b w:val="0"/>
        </w:rPr>
        <w:tab/>
      </w:r>
    </w:p>
    <w:p w14:paraId="3086658D">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2023年度一般公共预算财政拨款基本支出</w:t>
      </w:r>
      <w:r>
        <w:rPr>
          <w:sz w:val="32"/>
          <w:szCs w:val="32"/>
        </w:rPr>
        <w:t>1709.64</w:t>
      </w:r>
      <w:r>
        <w:rPr>
          <w:rFonts w:hint="eastAsia" w:ascii="仿宋" w:hAnsi="仿宋" w:eastAsia="仿宋"/>
          <w:sz w:val="32"/>
          <w:szCs w:val="32"/>
        </w:rPr>
        <w:t>万元，其中：</w:t>
      </w:r>
    </w:p>
    <w:p w14:paraId="3A0E2E84">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人员经费</w:t>
      </w:r>
      <w:r>
        <w:rPr>
          <w:sz w:val="32"/>
          <w:szCs w:val="32"/>
        </w:rPr>
        <w:t>1218.73</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sz w:val="32"/>
          <w:szCs w:val="32"/>
        </w:rPr>
        <w:t>490.91</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6E2981BE">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Style w:val="29"/>
          <w:rFonts w:ascii="黑体" w:hAnsi="黑体" w:eastAsia="黑体"/>
          <w:b w:val="0"/>
        </w:rPr>
      </w:pPr>
      <w:bookmarkStart w:id="61" w:name="_Toc32333"/>
      <w:bookmarkStart w:id="62" w:name="_Toc15377215"/>
      <w:bookmarkStart w:id="63" w:name="_Toc4159"/>
      <w:bookmarkStart w:id="64"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61"/>
      <w:bookmarkEnd w:id="62"/>
      <w:bookmarkEnd w:id="63"/>
      <w:bookmarkEnd w:id="64"/>
    </w:p>
    <w:p w14:paraId="555BC237">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outlineLvl w:val="9"/>
        <w:rPr>
          <w:rFonts w:ascii="仿宋" w:hAnsi="仿宋" w:eastAsia="仿宋"/>
          <w:b/>
          <w:sz w:val="32"/>
          <w:szCs w:val="32"/>
        </w:rPr>
      </w:pPr>
      <w:bookmarkStart w:id="65" w:name="_Toc15377216"/>
      <w:r>
        <w:rPr>
          <w:rFonts w:hint="eastAsia" w:ascii="仿宋" w:hAnsi="仿宋" w:eastAsia="仿宋"/>
          <w:b/>
          <w:sz w:val="32"/>
          <w:szCs w:val="32"/>
        </w:rPr>
        <w:t>（一）“三公”经费财政拨款支出决算总体情况说明</w:t>
      </w:r>
      <w:bookmarkEnd w:id="65"/>
    </w:p>
    <w:p w14:paraId="22453210">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2023年度“三公”经费财政拨款支出决算为</w:t>
      </w:r>
      <w:r>
        <w:rPr>
          <w:sz w:val="32"/>
          <w:szCs w:val="32"/>
        </w:rPr>
        <w:t>3</w:t>
      </w:r>
      <w:r>
        <w:rPr>
          <w:rFonts w:hint="eastAsia" w:ascii="仿宋" w:hAnsi="仿宋" w:eastAsia="仿宋"/>
          <w:sz w:val="32"/>
          <w:szCs w:val="32"/>
        </w:rPr>
        <w:t>万元，完成预算</w:t>
      </w:r>
      <w:r>
        <w:rPr>
          <w:sz w:val="32"/>
          <w:szCs w:val="32"/>
        </w:rPr>
        <w:t>100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0.09</w:t>
      </w:r>
      <w:r>
        <w:rPr>
          <w:rFonts w:hint="eastAsia" w:ascii="仿宋" w:hAnsi="仿宋" w:eastAsia="仿宋"/>
          <w:sz w:val="32"/>
          <w:szCs w:val="32"/>
        </w:rPr>
        <w:t>万元，增长</w:t>
      </w:r>
      <w:r>
        <w:rPr>
          <w:rFonts w:hint="eastAsia" w:ascii="仿宋" w:hAnsi="仿宋" w:eastAsia="仿宋"/>
          <w:sz w:val="32"/>
          <w:szCs w:val="32"/>
          <w:lang w:val="en-US" w:eastAsia="zh-CN"/>
        </w:rPr>
        <w:t>3.09</w:t>
      </w:r>
      <w:r>
        <w:rPr>
          <w:rFonts w:hint="eastAsia" w:ascii="仿宋" w:hAnsi="仿宋" w:eastAsia="仿宋"/>
          <w:sz w:val="32"/>
          <w:szCs w:val="32"/>
        </w:rPr>
        <w:t>%。</w:t>
      </w:r>
      <w:r>
        <w:rPr>
          <w:rFonts w:hint="eastAsia" w:ascii="仿宋" w:hAnsi="仿宋" w:eastAsia="仿宋"/>
          <w:color w:val="auto"/>
          <w:kern w:val="2"/>
          <w:sz w:val="32"/>
          <w:szCs w:val="24"/>
          <w:lang w:val="en-US"/>
        </w:rPr>
        <w:t>决算数等于预算数</w:t>
      </w:r>
      <w:r>
        <w:rPr>
          <w:rFonts w:hint="eastAsia" w:ascii="仿宋" w:hAnsi="仿宋" w:eastAsia="仿宋"/>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公务车维修成本增加。</w:t>
      </w:r>
    </w:p>
    <w:p w14:paraId="3DCF4064">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outlineLvl w:val="9"/>
        <w:rPr>
          <w:rFonts w:ascii="仿宋" w:hAnsi="仿宋" w:eastAsia="仿宋"/>
          <w:b/>
          <w:sz w:val="32"/>
          <w:szCs w:val="32"/>
        </w:rPr>
      </w:pPr>
      <w:bookmarkStart w:id="66" w:name="_Toc15377217"/>
      <w:r>
        <w:rPr>
          <w:rFonts w:hint="eastAsia" w:ascii="仿宋" w:hAnsi="仿宋" w:eastAsia="仿宋"/>
          <w:b/>
          <w:sz w:val="32"/>
          <w:szCs w:val="32"/>
        </w:rPr>
        <w:t>（二）“三公”经费财政拨款支出决算具体情况说明</w:t>
      </w:r>
      <w:bookmarkEnd w:id="66"/>
    </w:p>
    <w:p w14:paraId="5B0DF3D9">
      <w:pPr>
        <w:keepNext w:val="0"/>
        <w:keepLines w:val="0"/>
        <w:pageBreakBefore w:val="0"/>
        <w:widowControl w:val="0"/>
        <w:kinsoku/>
        <w:wordWrap/>
        <w:overflowPunct/>
        <w:topLinePunct/>
        <w:autoSpaceDE/>
        <w:autoSpaceDN/>
        <w:bidi w:val="0"/>
        <w:adjustRightInd/>
        <w:snapToGrid/>
        <w:spacing w:line="560" w:lineRule="exact"/>
        <w:ind w:firstLine="420" w:firstLineChars="200"/>
        <w:textAlignment w:val="auto"/>
        <w:outlineLvl w:val="9"/>
        <w:rPr>
          <w:rFonts w:ascii="仿宋" w:hAnsi="仿宋" w:eastAsia="仿宋"/>
          <w:sz w:val="32"/>
          <w:szCs w:val="32"/>
        </w:rPr>
      </w:pPr>
      <w:r>
        <w:drawing>
          <wp:anchor distT="0" distB="0" distL="114300" distR="114300" simplePos="0" relativeHeight="251663360" behindDoc="0" locked="0" layoutInCell="1" allowOverlap="1">
            <wp:simplePos x="0" y="0"/>
            <wp:positionH relativeFrom="column">
              <wp:posOffset>474345</wp:posOffset>
            </wp:positionH>
            <wp:positionV relativeFrom="paragraph">
              <wp:posOffset>1701800</wp:posOffset>
            </wp:positionV>
            <wp:extent cx="4190365" cy="2157095"/>
            <wp:effectExtent l="4445" t="4445" r="15240" b="48260"/>
            <wp:wrapTopAndBottom/>
            <wp:docPr id="6" name="图表 1" descr="7b0a202020202263686172745265734964223a202232303437363436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3</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；公务接待费支出决算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。具体情况如下：</w:t>
      </w:r>
    </w:p>
    <w:p w14:paraId="547A9A01">
      <w:pPr>
        <w:keepNext w:val="0"/>
        <w:keepLines w:val="0"/>
        <w:pageBreakBefore w:val="0"/>
        <w:widowControl w:val="0"/>
        <w:kinsoku/>
        <w:wordWrap/>
        <w:overflowPunct/>
        <w:topLinePunct/>
        <w:autoSpaceDE/>
        <w:autoSpaceDN/>
        <w:bidi w:val="0"/>
        <w:spacing w:line="600" w:lineRule="exact"/>
        <w:ind w:firstLine="640" w:firstLineChars="200"/>
        <w:jc w:val="center"/>
        <w:rPr>
          <w:rFonts w:hint="default" w:ascii="仿宋" w:hAnsi="仿宋" w:eastAsia="仿宋"/>
          <w:sz w:val="32"/>
          <w:szCs w:val="32"/>
          <w:lang w:val="en-US" w:eastAsia="zh-CN"/>
        </w:rPr>
      </w:pPr>
      <w:r>
        <w:rPr>
          <w:rFonts w:hint="eastAsia" w:ascii="仿宋" w:hAnsi="仿宋" w:eastAsia="仿宋"/>
          <w:sz w:val="32"/>
          <w:szCs w:val="32"/>
        </w:rPr>
        <w:t>图7：“三公”经费财政拨款支出结构</w:t>
      </w:r>
      <w:r>
        <w:rPr>
          <w:rFonts w:hint="eastAsia" w:ascii="仿宋" w:hAnsi="仿宋" w:eastAsia="仿宋"/>
          <w:sz w:val="32"/>
          <w:szCs w:val="32"/>
          <w:lang w:eastAsia="zh-CN"/>
        </w:rPr>
        <w:t>（</w:t>
      </w:r>
      <w:r>
        <w:rPr>
          <w:rFonts w:hint="eastAsia" w:ascii="仿宋" w:hAnsi="仿宋" w:eastAsia="仿宋"/>
          <w:sz w:val="32"/>
          <w:szCs w:val="32"/>
          <w:lang w:val="en-US" w:eastAsia="zh-CN"/>
        </w:rPr>
        <w:t>单位：万元）</w:t>
      </w:r>
    </w:p>
    <w:p w14:paraId="4D0746EB">
      <w:pPr>
        <w:keepNext w:val="0"/>
        <w:keepLines w:val="0"/>
        <w:pageBreakBefore w:val="0"/>
        <w:widowControl w:val="0"/>
        <w:kinsoku/>
        <w:wordWrap/>
        <w:overflowPunct/>
        <w:topLinePunct/>
        <w:autoSpaceDE/>
        <w:autoSpaceDN/>
        <w:bidi w:val="0"/>
        <w:snapToGrid/>
        <w:spacing w:line="560" w:lineRule="exact"/>
        <w:ind w:firstLine="643" w:firstLineChars="200"/>
        <w:textAlignment w:val="auto"/>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w:t>
      </w:r>
      <w:r>
        <w:rPr>
          <w:rFonts w:hint="eastAsia" w:ascii="仿宋_GB2312" w:eastAsia="仿宋_GB2312"/>
          <w:sz w:val="32"/>
          <w:szCs w:val="32"/>
          <w:lang w:val="en-US" w:eastAsia="zh-CN"/>
        </w:rPr>
        <w:t>与</w:t>
      </w:r>
      <w:r>
        <w:rPr>
          <w:rFonts w:hint="eastAsia" w:ascii="仿宋_GB2312" w:eastAsia="仿宋_GB2312"/>
          <w:sz w:val="32"/>
          <w:szCs w:val="32"/>
        </w:rPr>
        <w:t>2022年</w:t>
      </w:r>
      <w:r>
        <w:rPr>
          <w:rFonts w:hint="eastAsia" w:ascii="仿宋_GB2312" w:eastAsia="仿宋_GB2312"/>
          <w:sz w:val="32"/>
          <w:szCs w:val="32"/>
          <w:lang w:val="en-US" w:eastAsia="zh-CN"/>
        </w:rPr>
        <w:t>持平无增长</w:t>
      </w:r>
      <w:r>
        <w:rPr>
          <w:rFonts w:hint="eastAsia" w:ascii="仿宋_GB2312" w:eastAsia="仿宋_GB2312"/>
          <w:sz w:val="32"/>
          <w:szCs w:val="32"/>
        </w:rPr>
        <w:t>。</w:t>
      </w:r>
    </w:p>
    <w:p w14:paraId="3660D1BC">
      <w:pPr>
        <w:keepNext w:val="0"/>
        <w:keepLines w:val="0"/>
        <w:pageBreakBefore w:val="0"/>
        <w:widowControl w:val="0"/>
        <w:kinsoku/>
        <w:wordWrap/>
        <w:overflowPunct/>
        <w:topLinePunct/>
        <w:autoSpaceDE/>
        <w:autoSpaceDN/>
        <w:bidi w:val="0"/>
        <w:snapToGrid/>
        <w:spacing w:line="560" w:lineRule="exact"/>
        <w:ind w:firstLine="643" w:firstLineChars="200"/>
        <w:textAlignment w:val="auto"/>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sz w:val="32"/>
          <w:szCs w:val="32"/>
        </w:rPr>
        <w:t>3</w:t>
      </w:r>
      <w:r>
        <w:rPr>
          <w:rFonts w:hint="eastAsia" w:ascii="仿宋_GB2312" w:eastAsia="仿宋_GB2312"/>
          <w:sz w:val="32"/>
          <w:szCs w:val="32"/>
        </w:rPr>
        <w:t>万元</w:t>
      </w:r>
      <w:r>
        <w:rPr>
          <w:rFonts w:hint="eastAsia" w:ascii="仿宋_GB2312" w:eastAsia="仿宋_GB2312"/>
          <w:sz w:val="32"/>
          <w:szCs w:val="32"/>
          <w:lang w:eastAsia="zh-CN"/>
        </w:rPr>
        <w:t>，</w:t>
      </w:r>
      <w:r>
        <w:rPr>
          <w:rStyle w:val="17"/>
          <w:rFonts w:hint="eastAsia" w:ascii="仿宋" w:hAnsi="仿宋" w:eastAsia="仿宋"/>
          <w:b w:val="0"/>
          <w:bCs/>
          <w:sz w:val="32"/>
          <w:szCs w:val="32"/>
        </w:rPr>
        <w:t>完成预算</w:t>
      </w:r>
      <w:r>
        <w:rPr>
          <w:sz w:val="32"/>
          <w:szCs w:val="32"/>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0.09</w:t>
      </w:r>
      <w:r>
        <w:rPr>
          <w:rFonts w:hint="eastAsia" w:ascii="仿宋_GB2312" w:eastAsia="仿宋_GB2312"/>
          <w:sz w:val="32"/>
          <w:szCs w:val="32"/>
        </w:rPr>
        <w:t>万元，增长</w:t>
      </w:r>
      <w:r>
        <w:rPr>
          <w:rFonts w:hint="eastAsia" w:ascii="仿宋_GB2312" w:eastAsia="仿宋_GB2312"/>
          <w:sz w:val="32"/>
          <w:szCs w:val="32"/>
          <w:lang w:val="en-US" w:eastAsia="zh-CN"/>
        </w:rPr>
        <w:t>3.09</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公务车维修成本增加。</w:t>
      </w:r>
    </w:p>
    <w:p w14:paraId="77E231B3">
      <w:pPr>
        <w:keepNext w:val="0"/>
        <w:keepLines w:val="0"/>
        <w:pageBreakBefore w:val="0"/>
        <w:widowControl w:val="0"/>
        <w:kinsoku/>
        <w:wordWrap/>
        <w:overflowPunct/>
        <w:topLinePunct/>
        <w:autoSpaceDE/>
        <w:autoSpaceDN/>
        <w:bidi w:val="0"/>
        <w:snapToGri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1</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1</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1F0A231C">
      <w:pPr>
        <w:keepNext w:val="0"/>
        <w:keepLines w:val="0"/>
        <w:pageBreakBefore w:val="0"/>
        <w:widowControl w:val="0"/>
        <w:kinsoku/>
        <w:wordWrap/>
        <w:overflowPunct/>
        <w:topLinePunct/>
        <w:autoSpaceDE/>
        <w:autoSpaceDN/>
        <w:bidi w:val="0"/>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highlight w:val="none"/>
        </w:rPr>
        <w:t>公务用车运行维护费支出</w:t>
      </w:r>
      <w:r>
        <w:rPr>
          <w:sz w:val="32"/>
          <w:szCs w:val="32"/>
          <w:highlight w:val="none"/>
        </w:rPr>
        <w:t>3</w:t>
      </w:r>
      <w:r>
        <w:rPr>
          <w:rFonts w:hint="eastAsia" w:ascii="仿宋_GB2312" w:eastAsia="仿宋_GB2312"/>
          <w:sz w:val="32"/>
          <w:szCs w:val="32"/>
          <w:highlight w:val="none"/>
        </w:rPr>
        <w:t>万元。主要用于</w:t>
      </w:r>
      <w:r>
        <w:rPr>
          <w:rFonts w:hint="eastAsia" w:ascii="仿宋_GB2312" w:eastAsia="仿宋_GB2312"/>
          <w:sz w:val="32"/>
          <w:szCs w:val="32"/>
          <w:highlight w:val="none"/>
          <w:lang w:val="en-US" w:eastAsia="zh-CN"/>
        </w:rPr>
        <w:t>出行参加四大班子重大活动、重要会议、抢险救灾、办理涉密公务、重要调研、干部考察</w:t>
      </w:r>
      <w:r>
        <w:rPr>
          <w:rFonts w:hint="eastAsia" w:ascii="仿宋_GB2312" w:eastAsia="仿宋_GB2312"/>
          <w:sz w:val="32"/>
          <w:szCs w:val="32"/>
          <w:highlight w:val="none"/>
        </w:rPr>
        <w:t>等所需的公务用车燃料费、维修费、过路</w:t>
      </w:r>
      <w:r>
        <w:rPr>
          <w:rFonts w:hint="eastAsia" w:ascii="仿宋_GB2312" w:eastAsia="仿宋_GB2312"/>
          <w:sz w:val="32"/>
          <w:szCs w:val="32"/>
        </w:rPr>
        <w:t>过桥费、保险费等支出。</w:t>
      </w:r>
    </w:p>
    <w:p w14:paraId="70A1C7E6">
      <w:pPr>
        <w:keepNext w:val="0"/>
        <w:keepLines w:val="0"/>
        <w:pageBreakBefore w:val="0"/>
        <w:widowControl w:val="0"/>
        <w:kinsoku/>
        <w:wordWrap/>
        <w:overflowPunct/>
        <w:topLinePunct/>
        <w:autoSpaceDE/>
        <w:autoSpaceDN/>
        <w:bidi w:val="0"/>
        <w:snapToGrid/>
        <w:spacing w:line="560" w:lineRule="exact"/>
        <w:ind w:firstLine="643" w:firstLineChars="200"/>
        <w:textAlignment w:val="auto"/>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0%</w:t>
      </w:r>
      <w:r>
        <w:rPr>
          <w:rStyle w:val="17"/>
          <w:rFonts w:hint="eastAsia" w:ascii="仿宋" w:hAnsi="仿宋" w:eastAsia="仿宋"/>
          <w:b w:val="0"/>
          <w:bCs/>
          <w:sz w:val="32"/>
          <w:szCs w:val="32"/>
        </w:rPr>
        <w:t>。</w:t>
      </w:r>
      <w:r>
        <w:rPr>
          <w:rFonts w:hint="eastAsia" w:ascii="仿宋_GB2312" w:hAnsi="仿宋_GB2312" w:eastAsia="仿宋_GB2312"/>
          <w:color w:val="000000"/>
          <w:kern w:val="2"/>
          <w:sz w:val="32"/>
          <w:szCs w:val="24"/>
          <w:lang w:val="zh-CN"/>
        </w:rPr>
        <w:t>公务接待费支出决算</w:t>
      </w:r>
      <w:r>
        <w:rPr>
          <w:rFonts w:hint="eastAsia" w:ascii="仿宋_GB2312" w:hAnsi="仿宋_GB2312" w:eastAsia="仿宋_GB2312"/>
          <w:color w:val="000000"/>
          <w:kern w:val="2"/>
          <w:sz w:val="32"/>
          <w:szCs w:val="24"/>
          <w:lang w:val="en-US" w:eastAsia="zh-CN"/>
        </w:rPr>
        <w:t>与</w:t>
      </w:r>
      <w:r>
        <w:rPr>
          <w:rFonts w:hint="eastAsia" w:ascii="仿宋_GB2312" w:hAnsi="仿宋_GB2312" w:eastAsia="仿宋_GB2312"/>
          <w:color w:val="000000"/>
          <w:kern w:val="2"/>
          <w:sz w:val="32"/>
          <w:szCs w:val="24"/>
          <w:lang w:val="zh-CN"/>
        </w:rPr>
        <w:t>202</w:t>
      </w:r>
      <w:r>
        <w:rPr>
          <w:rFonts w:hint="eastAsia" w:ascii="仿宋_GB2312" w:hAnsi="仿宋_GB2312" w:eastAsia="仿宋_GB2312"/>
          <w:color w:val="000000"/>
          <w:kern w:val="2"/>
          <w:sz w:val="32"/>
          <w:szCs w:val="24"/>
          <w:lang w:val="en-US" w:eastAsia="zh-CN"/>
        </w:rPr>
        <w:t>2</w:t>
      </w:r>
      <w:r>
        <w:rPr>
          <w:rFonts w:hint="eastAsia" w:ascii="仿宋_GB2312" w:hAnsi="仿宋_GB2312" w:eastAsia="仿宋_GB2312"/>
          <w:color w:val="000000"/>
          <w:kern w:val="2"/>
          <w:sz w:val="32"/>
          <w:szCs w:val="24"/>
          <w:lang w:val="zh-CN"/>
        </w:rPr>
        <w:t>年</w:t>
      </w:r>
      <w:r>
        <w:rPr>
          <w:rFonts w:hint="eastAsia" w:ascii="仿宋_GB2312" w:hAnsi="仿宋_GB2312" w:eastAsia="仿宋_GB2312"/>
          <w:color w:val="000000"/>
          <w:kern w:val="2"/>
          <w:sz w:val="32"/>
          <w:szCs w:val="24"/>
          <w:highlight w:val="white"/>
          <w:lang w:val="en-US"/>
        </w:rPr>
        <w:t>持平</w:t>
      </w:r>
      <w:r>
        <w:rPr>
          <w:rFonts w:hint="eastAsia" w:ascii="仿宋_GB2312" w:hAnsi="仿宋_GB2312" w:eastAsia="仿宋_GB2312"/>
          <w:color w:val="000000"/>
          <w:kern w:val="2"/>
          <w:sz w:val="32"/>
          <w:szCs w:val="24"/>
          <w:lang w:val="zh-CN"/>
        </w:rPr>
        <w:t>。主要原因是</w:t>
      </w:r>
      <w:r>
        <w:rPr>
          <w:rFonts w:hint="eastAsia" w:ascii="仿宋_GB2312" w:hAnsi="仿宋_GB2312" w:eastAsia="仿宋_GB2312"/>
          <w:color w:val="000000"/>
          <w:kern w:val="2"/>
          <w:sz w:val="32"/>
          <w:szCs w:val="24"/>
          <w:lang w:val="en-US" w:eastAsia="zh-CN"/>
        </w:rPr>
        <w:t>本年度未收到公务接待的函</w:t>
      </w:r>
      <w:r>
        <w:rPr>
          <w:rFonts w:hint="eastAsia" w:ascii="仿宋_GB2312" w:hAnsi="仿宋_GB2312" w:eastAsia="仿宋_GB2312"/>
          <w:color w:val="000000"/>
          <w:kern w:val="2"/>
          <w:sz w:val="32"/>
          <w:szCs w:val="24"/>
          <w:lang w:val="zh-CN"/>
        </w:rPr>
        <w:t>。</w:t>
      </w:r>
      <w:r>
        <w:rPr>
          <w:rFonts w:hint="eastAsia" w:ascii="仿宋_GB2312" w:eastAsia="仿宋_GB2312"/>
          <w:sz w:val="32"/>
          <w:szCs w:val="32"/>
        </w:rPr>
        <w:t>其中：</w:t>
      </w:r>
    </w:p>
    <w:p w14:paraId="4F954C9F">
      <w:pPr>
        <w:keepNext w:val="0"/>
        <w:keepLines w:val="0"/>
        <w:pageBreakBefore w:val="0"/>
        <w:widowControl w:val="0"/>
        <w:kinsoku/>
        <w:wordWrap/>
        <w:overflowPunct/>
        <w:topLinePunct/>
        <w:autoSpaceDE/>
        <w:autoSpaceDN/>
        <w:bidi w:val="0"/>
        <w:snapToGrid/>
        <w:spacing w:line="560" w:lineRule="exact"/>
        <w:ind w:firstLine="643" w:firstLineChars="200"/>
        <w:textAlignment w:val="auto"/>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b/>
          <w:sz w:val="32"/>
          <w:szCs w:val="32"/>
          <w:lang w:val="en-US" w:eastAsia="zh-CN"/>
        </w:rPr>
        <w:t>0</w:t>
      </w:r>
      <w:r>
        <w:rPr>
          <w:rFonts w:hint="eastAsia" w:ascii="仿宋_GB2312" w:eastAsia="仿宋_GB2312"/>
          <w:sz w:val="32"/>
          <w:szCs w:val="32"/>
        </w:rPr>
        <w:t>万元。国内公务接待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65AE3B36">
      <w:pPr>
        <w:keepNext w:val="0"/>
        <w:keepLines w:val="0"/>
        <w:pageBreakBefore w:val="0"/>
        <w:widowControl w:val="0"/>
        <w:kinsoku/>
        <w:wordWrap/>
        <w:overflowPunct/>
        <w:topLinePunct/>
        <w:autoSpaceDE/>
        <w:autoSpaceDN/>
        <w:bidi w:val="0"/>
        <w:snapToGrid/>
        <w:spacing w:line="560" w:lineRule="exact"/>
        <w:ind w:firstLine="643" w:firstLineChars="200"/>
        <w:textAlignment w:val="auto"/>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b/>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6EE522CD">
      <w:pPr>
        <w:keepNext w:val="0"/>
        <w:keepLines w:val="0"/>
        <w:pageBreakBefore w:val="0"/>
        <w:widowControl w:val="0"/>
        <w:kinsoku/>
        <w:wordWrap/>
        <w:overflowPunct/>
        <w:topLinePunct/>
        <w:autoSpaceDE/>
        <w:autoSpaceDN/>
        <w:bidi w:val="0"/>
        <w:snapToGrid/>
        <w:spacing w:line="560" w:lineRule="exact"/>
        <w:ind w:firstLine="640" w:firstLineChars="200"/>
        <w:textAlignment w:val="auto"/>
        <w:outlineLvl w:val="1"/>
        <w:rPr>
          <w:rStyle w:val="29"/>
          <w:rFonts w:ascii="黑体" w:hAnsi="黑体" w:eastAsia="黑体"/>
        </w:rPr>
      </w:pPr>
      <w:bookmarkStart w:id="67" w:name="_Toc15396610"/>
      <w:bookmarkStart w:id="68" w:name="_Toc15377218"/>
      <w:bookmarkStart w:id="69" w:name="_Toc2556"/>
      <w:bookmarkStart w:id="70" w:name="_Toc26503"/>
      <w:r>
        <w:rPr>
          <w:rFonts w:hint="eastAsia" w:ascii="黑体" w:eastAsia="黑体"/>
          <w:sz w:val="32"/>
          <w:szCs w:val="32"/>
        </w:rPr>
        <w:t>八、</w:t>
      </w:r>
      <w:r>
        <w:rPr>
          <w:rStyle w:val="29"/>
          <w:rFonts w:hint="eastAsia" w:ascii="黑体" w:hAnsi="黑体" w:eastAsia="黑体"/>
          <w:b w:val="0"/>
        </w:rPr>
        <w:t>政府性基金预算支出决算情况说明</w:t>
      </w:r>
      <w:bookmarkEnd w:id="67"/>
      <w:bookmarkEnd w:id="68"/>
      <w:bookmarkEnd w:id="69"/>
      <w:bookmarkEnd w:id="70"/>
    </w:p>
    <w:p w14:paraId="6E89FD67">
      <w:pPr>
        <w:keepNext w:val="0"/>
        <w:keepLines w:val="0"/>
        <w:pageBreakBefore w:val="0"/>
        <w:widowControl w:val="0"/>
        <w:kinsoku/>
        <w:wordWrap/>
        <w:overflowPunct/>
        <w:topLinePunct/>
        <w:autoSpaceDE/>
        <w:autoSpaceDN/>
        <w:bidi w:val="0"/>
        <w:snapToGrid/>
        <w:spacing w:line="560" w:lineRule="exact"/>
        <w:ind w:firstLine="640" w:firstLineChars="200"/>
        <w:textAlignment w:val="auto"/>
        <w:rPr>
          <w:rFonts w:hint="default"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2023年度政府性基金预算财政拨款支出85.49万元。主要是用社会福利的彩票公益金支出新盛镇敬老院相关费用。</w:t>
      </w:r>
    </w:p>
    <w:p w14:paraId="171496A4">
      <w:pPr>
        <w:keepNext w:val="0"/>
        <w:keepLines w:val="0"/>
        <w:pageBreakBefore w:val="0"/>
        <w:widowControl w:val="0"/>
        <w:numPr>
          <w:ilvl w:val="0"/>
          <w:numId w:val="3"/>
        </w:numPr>
        <w:kinsoku/>
        <w:wordWrap/>
        <w:overflowPunct/>
        <w:topLinePunct/>
        <w:autoSpaceDE/>
        <w:autoSpaceDN/>
        <w:bidi w:val="0"/>
        <w:snapToGrid/>
        <w:spacing w:line="560" w:lineRule="exact"/>
        <w:ind w:firstLine="640" w:firstLineChars="200"/>
        <w:textAlignment w:val="auto"/>
        <w:outlineLvl w:val="1"/>
        <w:rPr>
          <w:rStyle w:val="29"/>
          <w:rFonts w:ascii="黑体" w:hAnsi="黑体" w:eastAsia="黑体"/>
          <w:b w:val="0"/>
        </w:rPr>
      </w:pPr>
      <w:bookmarkStart w:id="71" w:name="_Toc15377219"/>
      <w:bookmarkStart w:id="72" w:name="_Toc25144"/>
      <w:bookmarkStart w:id="73" w:name="_Toc15396611"/>
      <w:bookmarkStart w:id="74" w:name="_Toc18231"/>
      <w:r>
        <w:rPr>
          <w:rStyle w:val="29"/>
          <w:rFonts w:hint="eastAsia" w:ascii="黑体" w:hAnsi="黑体" w:eastAsia="黑体"/>
          <w:b w:val="0"/>
        </w:rPr>
        <w:t>国有资本经营预算支出决算情况说明</w:t>
      </w:r>
      <w:bookmarkEnd w:id="71"/>
      <w:bookmarkEnd w:id="72"/>
      <w:bookmarkEnd w:id="73"/>
      <w:bookmarkEnd w:id="74"/>
    </w:p>
    <w:p w14:paraId="24C1999F">
      <w:pPr>
        <w:keepNext w:val="0"/>
        <w:keepLines w:val="0"/>
        <w:pageBreakBefore w:val="0"/>
        <w:widowControl w:val="0"/>
        <w:kinsoku/>
        <w:wordWrap/>
        <w:overflowPunct/>
        <w:topLinePunct/>
        <w:autoSpaceDE/>
        <w:autoSpaceDN/>
        <w:bidi w:val="0"/>
        <w:snapToGrid/>
        <w:spacing w:line="560" w:lineRule="exact"/>
        <w:ind w:firstLine="640" w:firstLineChars="200"/>
        <w:textAlignment w:val="auto"/>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sz w:val="32"/>
          <w:szCs w:val="32"/>
        </w:rPr>
        <w:t>0.04</w:t>
      </w:r>
      <w:r>
        <w:rPr>
          <w:rFonts w:hint="eastAsia" w:ascii="仿宋_GB2312" w:eastAsia="仿宋_GB2312"/>
          <w:sz w:val="32"/>
          <w:szCs w:val="32"/>
        </w:rPr>
        <w:t>万元</w:t>
      </w:r>
      <w:r>
        <w:rPr>
          <w:rFonts w:hint="eastAsia"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en-US" w:eastAsia="zh-CN"/>
        </w:rPr>
        <w:t>主要用于国有企业退休人员社会化管理</w:t>
      </w:r>
      <w:r>
        <w:rPr>
          <w:rFonts w:hint="eastAsia" w:ascii="仿宋_GB2312" w:eastAsia="仿宋_GB2312"/>
          <w:sz w:val="32"/>
          <w:szCs w:val="32"/>
        </w:rPr>
        <w:t>。</w:t>
      </w:r>
    </w:p>
    <w:p w14:paraId="5AE2BA28">
      <w:pPr>
        <w:keepNext w:val="0"/>
        <w:keepLines w:val="0"/>
        <w:pageBreakBefore w:val="0"/>
        <w:widowControl w:val="0"/>
        <w:numPr>
          <w:ilvl w:val="0"/>
          <w:numId w:val="3"/>
        </w:numPr>
        <w:kinsoku/>
        <w:wordWrap/>
        <w:overflowPunct/>
        <w:topLinePunct/>
        <w:autoSpaceDE/>
        <w:autoSpaceDN/>
        <w:bidi w:val="0"/>
        <w:snapToGrid/>
        <w:spacing w:line="560" w:lineRule="exact"/>
        <w:ind w:firstLine="640" w:firstLineChars="200"/>
        <w:textAlignment w:val="auto"/>
        <w:outlineLvl w:val="1"/>
        <w:rPr>
          <w:rStyle w:val="29"/>
          <w:rFonts w:ascii="黑体" w:hAnsi="黑体" w:eastAsia="黑体"/>
          <w:b w:val="0"/>
        </w:rPr>
      </w:pPr>
      <w:bookmarkStart w:id="75" w:name="_Toc28183"/>
      <w:bookmarkStart w:id="76" w:name="_Toc15377221"/>
      <w:bookmarkStart w:id="77" w:name="_Toc15396612"/>
      <w:bookmarkStart w:id="78" w:name="_Toc26628"/>
      <w:r>
        <w:rPr>
          <w:rStyle w:val="29"/>
          <w:rFonts w:hint="eastAsia" w:ascii="黑体" w:hAnsi="黑体" w:eastAsia="黑体"/>
          <w:b w:val="0"/>
        </w:rPr>
        <w:t>其他重要事项的情况说明</w:t>
      </w:r>
      <w:bookmarkEnd w:id="75"/>
      <w:bookmarkEnd w:id="76"/>
      <w:bookmarkEnd w:id="77"/>
      <w:bookmarkEnd w:id="78"/>
    </w:p>
    <w:p w14:paraId="1873F3A2">
      <w:pPr>
        <w:keepNext w:val="0"/>
        <w:keepLines w:val="0"/>
        <w:pageBreakBefore w:val="0"/>
        <w:widowControl w:val="0"/>
        <w:kinsoku/>
        <w:wordWrap/>
        <w:overflowPunct/>
        <w:topLinePunct/>
        <w:autoSpaceDE/>
        <w:autoSpaceDN/>
        <w:bidi w:val="0"/>
        <w:snapToGrid/>
        <w:spacing w:line="560" w:lineRule="exact"/>
        <w:ind w:firstLine="643" w:firstLineChars="200"/>
        <w:textAlignment w:val="auto"/>
        <w:outlineLvl w:val="9"/>
        <w:rPr>
          <w:rFonts w:ascii="仿宋" w:hAnsi="仿宋" w:eastAsia="仿宋"/>
          <w:sz w:val="32"/>
          <w:szCs w:val="32"/>
        </w:rPr>
      </w:pPr>
      <w:bookmarkStart w:id="79" w:name="_Toc15377222"/>
      <w:r>
        <w:rPr>
          <w:rFonts w:hint="eastAsia" w:ascii="仿宋" w:hAnsi="仿宋" w:eastAsia="仿宋"/>
          <w:b/>
          <w:sz w:val="32"/>
          <w:szCs w:val="32"/>
        </w:rPr>
        <w:t>（一）机关运行经费支出情况</w:t>
      </w:r>
      <w:bookmarkEnd w:id="79"/>
    </w:p>
    <w:p w14:paraId="58972C0E">
      <w:pPr>
        <w:keepNext w:val="0"/>
        <w:keepLines w:val="0"/>
        <w:pageBreakBefore w:val="0"/>
        <w:widowControl w:val="0"/>
        <w:kinsoku/>
        <w:wordWrap/>
        <w:overflowPunct/>
        <w:topLinePunct/>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2023年度</w:t>
      </w:r>
      <w:r>
        <w:rPr>
          <w:rFonts w:hint="eastAsia" w:ascii="仿宋_GB2312" w:hAnsi="仿宋_GB2312" w:eastAsia="仿宋_GB2312"/>
          <w:color w:val="000000"/>
          <w:kern w:val="2"/>
          <w:sz w:val="32"/>
          <w:szCs w:val="24"/>
          <w:lang w:val="en-US" w:eastAsia="zh-CN"/>
        </w:rPr>
        <w:t>，罗江区新盛镇人民政府机关运行经费支出490.91万元，比2022年度增加11.40万元，增</w:t>
      </w:r>
      <w:r>
        <w:rPr>
          <w:rFonts w:hint="eastAsia" w:ascii="仿宋_GB2312" w:eastAsia="仿宋_GB2312"/>
          <w:sz w:val="32"/>
          <w:szCs w:val="32"/>
        </w:rPr>
        <w:t>长</w:t>
      </w:r>
      <w:r>
        <w:rPr>
          <w:rFonts w:hint="eastAsia" w:ascii="仿宋_GB2312" w:eastAsia="仿宋_GB2312"/>
          <w:sz w:val="32"/>
          <w:szCs w:val="32"/>
          <w:lang w:val="en-US" w:eastAsia="zh-CN"/>
        </w:rPr>
        <w:t>2.38</w:t>
      </w:r>
      <w:r>
        <w:rPr>
          <w:rFonts w:ascii="仿宋_GB2312" w:eastAsia="仿宋_GB2312"/>
          <w:sz w:val="32"/>
          <w:szCs w:val="32"/>
        </w:rPr>
        <w:t>%</w:t>
      </w:r>
      <w:r>
        <w:rPr>
          <w:rFonts w:hint="eastAsia" w:ascii="仿宋_GB2312" w:eastAsia="仿宋_GB2312"/>
          <w:sz w:val="32"/>
          <w:szCs w:val="32"/>
        </w:rPr>
        <w:t>。主要原因是</w:t>
      </w:r>
      <w:r>
        <w:rPr>
          <w:rFonts w:hint="eastAsia" w:ascii="仿宋_GB2312" w:hAnsi="仿宋_GB2312" w:eastAsia="仿宋_GB2312"/>
          <w:color w:val="000000"/>
          <w:kern w:val="2"/>
          <w:sz w:val="32"/>
          <w:szCs w:val="24"/>
          <w:lang w:val="en-US" w:eastAsia="zh-CN"/>
        </w:rPr>
        <w:t>增加了新盛镇重点工作综合业务费。</w:t>
      </w:r>
    </w:p>
    <w:p w14:paraId="341CA6BF">
      <w:pPr>
        <w:keepNext w:val="0"/>
        <w:keepLines w:val="0"/>
        <w:pageBreakBefore w:val="0"/>
        <w:widowControl w:val="0"/>
        <w:kinsoku/>
        <w:wordWrap/>
        <w:overflowPunct/>
        <w:topLinePunct/>
        <w:autoSpaceDE/>
        <w:autoSpaceDN/>
        <w:bidi w:val="0"/>
        <w:adjustRightInd w:val="0"/>
        <w:snapToGrid/>
        <w:spacing w:line="560" w:lineRule="exact"/>
        <w:ind w:firstLine="643" w:firstLineChars="200"/>
        <w:jc w:val="left"/>
        <w:textAlignment w:val="auto"/>
        <w:outlineLvl w:val="9"/>
        <w:rPr>
          <w:rFonts w:ascii="仿宋" w:hAnsi="仿宋" w:eastAsia="仿宋"/>
          <w:b/>
          <w:sz w:val="32"/>
          <w:szCs w:val="32"/>
        </w:rPr>
      </w:pPr>
      <w:bookmarkStart w:id="80" w:name="_Toc15377223"/>
      <w:r>
        <w:rPr>
          <w:rFonts w:hint="eastAsia" w:ascii="仿宋" w:hAnsi="仿宋" w:eastAsia="仿宋"/>
          <w:b/>
          <w:sz w:val="32"/>
          <w:szCs w:val="32"/>
        </w:rPr>
        <w:t>（二）政府采购支出情况</w:t>
      </w:r>
      <w:bookmarkEnd w:id="80"/>
    </w:p>
    <w:p w14:paraId="63E3C8FC">
      <w:pPr>
        <w:keepNext w:val="0"/>
        <w:keepLines w:val="0"/>
        <w:pageBreakBefore w:val="0"/>
        <w:widowControl w:val="0"/>
        <w:kinsoku/>
        <w:wordWrap/>
        <w:overflowPunct/>
        <w:topLinePunct/>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2023年度，罗江区新盛镇人民政府政府采购支出总额106.86万元，其中：政府采购货物支出0万元、政府采购工程支出106.86万元、政府采购服务支出</w:t>
      </w:r>
      <w:r>
        <w:rPr>
          <w:sz w:val="32"/>
          <w:szCs w:val="32"/>
        </w:rPr>
        <w:t>0</w:t>
      </w:r>
      <w:r>
        <w:rPr>
          <w:rFonts w:hint="eastAsia" w:ascii="仿宋_GB2312" w:eastAsia="仿宋_GB2312"/>
          <w:sz w:val="32"/>
          <w:szCs w:val="32"/>
        </w:rPr>
        <w:t>万元。</w:t>
      </w:r>
      <w:r>
        <w:rPr>
          <w:rFonts w:hint="eastAsia" w:ascii="仿宋_GB2312" w:eastAsia="仿宋_GB2312"/>
          <w:sz w:val="32"/>
          <w:szCs w:val="32"/>
          <w:lang w:val="en-US" w:eastAsia="zh-CN"/>
        </w:rPr>
        <w:t>主要用于</w:t>
      </w:r>
      <w:r>
        <w:rPr>
          <w:rFonts w:hint="eastAsia" w:ascii="仿宋_GB2312" w:eastAsia="仿宋_GB2312"/>
          <w:sz w:val="32"/>
          <w:szCs w:val="32"/>
        </w:rPr>
        <w:t>德阳市罗江区新盛镇敬老院护理能力提升改造</w:t>
      </w:r>
      <w:r>
        <w:rPr>
          <w:rFonts w:hint="eastAsia" w:ascii="仿宋_GB2312" w:eastAsia="仿宋_GB2312"/>
          <w:sz w:val="32"/>
          <w:szCs w:val="32"/>
          <w:lang w:eastAsia="zh-CN"/>
        </w:rPr>
        <w:t>，增强德阳市罗江区新盛镇敬老院长期照护功能，增设失能人员生活服务照护单元以及医疗护理、康复服务等医养结合照护单元，增加护理型床位</w:t>
      </w:r>
      <w:r>
        <w:rPr>
          <w:rFonts w:hint="eastAsia" w:ascii="仿宋_GB2312" w:eastAsia="仿宋_GB2312"/>
          <w:sz w:val="32"/>
          <w:szCs w:val="32"/>
          <w:lang w:val="en-US" w:eastAsia="zh-CN"/>
        </w:rPr>
        <w:t>。</w:t>
      </w:r>
      <w:r>
        <w:rPr>
          <w:rFonts w:hint="eastAsia" w:ascii="仿宋_GB2312" w:eastAsia="仿宋_GB2312"/>
          <w:sz w:val="32"/>
          <w:szCs w:val="32"/>
        </w:rPr>
        <w:t>授予中小企业合同金额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，其中：授予小微企业合同金额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w:t>
      </w:r>
    </w:p>
    <w:p w14:paraId="0221F063">
      <w:pPr>
        <w:keepNext w:val="0"/>
        <w:keepLines w:val="0"/>
        <w:pageBreakBefore w:val="0"/>
        <w:widowControl w:val="0"/>
        <w:kinsoku/>
        <w:wordWrap/>
        <w:overflowPunct/>
        <w:topLinePunct/>
        <w:autoSpaceDE/>
        <w:autoSpaceDN/>
        <w:bidi w:val="0"/>
        <w:adjustRightInd w:val="0"/>
        <w:snapToGrid/>
        <w:spacing w:line="560" w:lineRule="exact"/>
        <w:ind w:firstLine="643" w:firstLineChars="200"/>
        <w:jc w:val="left"/>
        <w:textAlignment w:val="auto"/>
        <w:outlineLvl w:val="9"/>
        <w:rPr>
          <w:rFonts w:ascii="仿宋" w:hAnsi="仿宋" w:eastAsia="仿宋"/>
          <w:b/>
          <w:sz w:val="32"/>
          <w:szCs w:val="32"/>
        </w:rPr>
      </w:pPr>
      <w:bookmarkStart w:id="81" w:name="_Toc15377224"/>
      <w:r>
        <w:rPr>
          <w:rFonts w:hint="eastAsia" w:ascii="仿宋" w:hAnsi="仿宋" w:eastAsia="仿宋"/>
          <w:b/>
          <w:sz w:val="32"/>
          <w:szCs w:val="32"/>
        </w:rPr>
        <w:t>（三）国有资产占有使用情况</w:t>
      </w:r>
      <w:bookmarkEnd w:id="81"/>
    </w:p>
    <w:p w14:paraId="3335AC3A">
      <w:pPr>
        <w:keepNext w:val="0"/>
        <w:keepLines w:val="0"/>
        <w:pageBreakBefore w:val="0"/>
        <w:widowControl w:val="0"/>
        <w:kinsoku/>
        <w:wordWrap/>
        <w:overflowPunct/>
        <w:topLinePunct/>
        <w:autoSpaceDE/>
        <w:autoSpaceDN/>
        <w:bidi w:val="0"/>
        <w:adjustRightInd w:val="0"/>
        <w:snapToGrid/>
        <w:spacing w:line="560" w:lineRule="exact"/>
        <w:ind w:firstLine="640" w:firstLineChars="200"/>
        <w:jc w:val="left"/>
        <w:textAlignment w:val="auto"/>
        <w:outlineLvl w:val="9"/>
        <w:rPr>
          <w:rFonts w:ascii="仿宋_GB2312" w:eastAsia="仿宋_GB2312"/>
          <w:sz w:val="32"/>
          <w:szCs w:val="32"/>
        </w:rPr>
      </w:pPr>
      <w:r>
        <w:rPr>
          <w:rFonts w:hint="eastAsia" w:ascii="仿宋_GB2312" w:hAnsi="Times New Roman" w:eastAsia="仿宋_GB2312" w:cs="Times New Roman"/>
          <w:sz w:val="32"/>
          <w:szCs w:val="32"/>
        </w:rPr>
        <w:t>截至2023年12月31日，罗江区新盛镇人民政府共有车辆1辆，其中：主要领导干部用车</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辆、机要</w:t>
      </w:r>
      <w:r>
        <w:rPr>
          <w:rFonts w:hint="eastAsia" w:ascii="仿宋_GB2312" w:eastAsia="仿宋_GB2312"/>
          <w:sz w:val="32"/>
          <w:szCs w:val="32"/>
        </w:rPr>
        <w:t>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1</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sz w:val="32"/>
          <w:szCs w:val="32"/>
        </w:rPr>
        <w:t>0</w:t>
      </w:r>
      <w:r>
        <w:rPr>
          <w:rFonts w:hint="eastAsia" w:ascii="仿宋_GB2312" w:eastAsia="仿宋_GB2312"/>
          <w:sz w:val="32"/>
          <w:szCs w:val="32"/>
        </w:rPr>
        <w:t>台（套）。</w:t>
      </w:r>
    </w:p>
    <w:p w14:paraId="537BDC3E">
      <w:pPr>
        <w:keepNext w:val="0"/>
        <w:keepLines w:val="0"/>
        <w:pageBreakBefore w:val="0"/>
        <w:widowControl w:val="0"/>
        <w:kinsoku/>
        <w:wordWrap/>
        <w:overflowPunct/>
        <w:topLinePunct/>
        <w:autoSpaceDE/>
        <w:autoSpaceDN/>
        <w:bidi w:val="0"/>
        <w:adjustRightInd w:val="0"/>
        <w:snapToGrid/>
        <w:spacing w:line="560" w:lineRule="exact"/>
        <w:ind w:firstLine="643" w:firstLineChars="200"/>
        <w:jc w:val="left"/>
        <w:textAlignment w:val="auto"/>
        <w:outlineLvl w:val="9"/>
        <w:rPr>
          <w:rFonts w:ascii="仿宋" w:hAnsi="仿宋" w:eastAsia="仿宋"/>
          <w:b/>
          <w:sz w:val="32"/>
          <w:szCs w:val="32"/>
          <w:highlight w:val="none"/>
        </w:rPr>
      </w:pPr>
      <w:r>
        <w:rPr>
          <w:rFonts w:hint="eastAsia" w:ascii="仿宋" w:hAnsi="仿宋" w:eastAsia="仿宋"/>
          <w:b/>
          <w:sz w:val="32"/>
          <w:szCs w:val="32"/>
          <w:highlight w:val="none"/>
        </w:rPr>
        <w:t>（四）预算绩效管理情况</w:t>
      </w:r>
    </w:p>
    <w:p w14:paraId="6BB6F708">
      <w:pPr>
        <w:keepNext w:val="0"/>
        <w:keepLines w:val="0"/>
        <w:pageBreakBefore w:val="0"/>
        <w:widowControl w:val="0"/>
        <w:kinsoku/>
        <w:wordWrap/>
        <w:overflowPunct/>
        <w:topLinePunct/>
        <w:autoSpaceDE/>
        <w:autoSpaceDN/>
        <w:bidi w:val="0"/>
        <w:snapToGrid/>
        <w:spacing w:line="560" w:lineRule="exact"/>
        <w:ind w:firstLine="640" w:firstLineChars="200"/>
        <w:jc w:val="both"/>
        <w:textAlignment w:val="auto"/>
        <w:outlineLvl w:val="9"/>
        <w:rPr>
          <w:rFonts w:hint="eastAsia" w:ascii="仿宋_GB2312" w:hAnsi="仿宋_GB2312" w:eastAsia="仿宋_GB2312"/>
          <w:color w:val="auto"/>
          <w:kern w:val="2"/>
          <w:sz w:val="32"/>
          <w:szCs w:val="24"/>
          <w:highlight w:val="yellow"/>
          <w:lang w:val="en-US"/>
        </w:rPr>
      </w:pPr>
      <w:r>
        <w:rPr>
          <w:rFonts w:hint="eastAsia" w:ascii="仿宋_GB2312" w:hAnsi="仿宋_GB2312" w:eastAsia="仿宋_GB2312"/>
          <w:color w:val="auto"/>
          <w:kern w:val="2"/>
          <w:sz w:val="32"/>
          <w:szCs w:val="24"/>
          <w:lang w:val="en-US"/>
        </w:rPr>
        <w:t>根据预算绩效管理要求，本部门在202</w:t>
      </w:r>
      <w:r>
        <w:rPr>
          <w:rFonts w:hint="eastAsia" w:ascii="仿宋_GB2312" w:hAnsi="仿宋_GB2312" w:eastAsia="仿宋_GB2312"/>
          <w:color w:val="auto"/>
          <w:kern w:val="2"/>
          <w:sz w:val="32"/>
          <w:szCs w:val="24"/>
          <w:lang w:val="en-US" w:eastAsia="zh-CN"/>
        </w:rPr>
        <w:t>3</w:t>
      </w:r>
      <w:r>
        <w:rPr>
          <w:rFonts w:hint="eastAsia" w:ascii="仿宋_GB2312" w:hAnsi="仿宋_GB2312" w:eastAsia="仿宋_GB2312"/>
          <w:color w:val="auto"/>
          <w:kern w:val="2"/>
          <w:sz w:val="32"/>
          <w:szCs w:val="24"/>
          <w:lang w:val="en-US"/>
        </w:rPr>
        <w:t>年度预算编制</w:t>
      </w:r>
      <w:r>
        <w:rPr>
          <w:rFonts w:hint="eastAsia" w:ascii="仿宋_GB2312" w:hAnsi="仿宋_GB2312" w:eastAsia="仿宋_GB2312"/>
          <w:color w:val="auto"/>
          <w:kern w:val="2"/>
          <w:sz w:val="32"/>
          <w:szCs w:val="24"/>
          <w:highlight w:val="none"/>
          <w:lang w:val="en-US"/>
        </w:rPr>
        <w:t>阶段，</w:t>
      </w:r>
      <w:r>
        <w:rPr>
          <w:rFonts w:hint="eastAsia" w:ascii="仿宋_GB2312" w:hAnsi="仿宋_GB2312" w:eastAsia="仿宋_GB2312" w:cs="Times New Roman"/>
          <w:color w:val="auto"/>
          <w:kern w:val="2"/>
          <w:sz w:val="32"/>
          <w:szCs w:val="24"/>
          <w:highlight w:val="none"/>
          <w:lang w:val="en-US"/>
        </w:rPr>
        <w:t>组织对新盛镇黄鹿水库移民后续补助资金</w:t>
      </w:r>
      <w:r>
        <w:rPr>
          <w:rFonts w:hint="eastAsia" w:ascii="仿宋_GB2312" w:hAnsi="仿宋_GB2312" w:eastAsia="仿宋_GB2312" w:cs="Times New Roman"/>
          <w:color w:val="auto"/>
          <w:kern w:val="2"/>
          <w:sz w:val="32"/>
          <w:szCs w:val="24"/>
          <w:highlight w:val="none"/>
          <w:lang w:val="en-US" w:eastAsia="zh-CN"/>
        </w:rPr>
        <w:t>、新盛镇综合业务费、</w:t>
      </w:r>
      <w:r>
        <w:rPr>
          <w:rFonts w:hint="eastAsia" w:ascii="仿宋_GB2312" w:hAnsi="仿宋_GB2312" w:eastAsia="仿宋_GB2312" w:cs="Times New Roman"/>
          <w:color w:val="auto"/>
          <w:kern w:val="2"/>
          <w:sz w:val="32"/>
          <w:szCs w:val="24"/>
          <w:highlight w:val="none"/>
          <w:lang w:val="en-US"/>
        </w:rPr>
        <w:t>德阳市罗江区新盛镇敬老院护理能力提升改造</w:t>
      </w:r>
      <w:r>
        <w:rPr>
          <w:rFonts w:hint="eastAsia" w:ascii="仿宋_GB2312" w:hAnsi="仿宋_GB2312" w:eastAsia="仿宋_GB2312" w:cs="Times New Roman"/>
          <w:color w:val="auto"/>
          <w:kern w:val="2"/>
          <w:sz w:val="32"/>
          <w:szCs w:val="24"/>
          <w:highlight w:val="none"/>
          <w:lang w:val="en-US" w:eastAsia="zh-CN"/>
        </w:rPr>
        <w:t>项目资金和</w:t>
      </w:r>
      <w:r>
        <w:rPr>
          <w:rFonts w:hint="eastAsia" w:ascii="仿宋_GB2312" w:hAnsi="仿宋_GB2312" w:eastAsia="仿宋_GB2312" w:cs="Times New Roman"/>
          <w:color w:val="auto"/>
          <w:kern w:val="2"/>
          <w:sz w:val="32"/>
          <w:szCs w:val="24"/>
          <w:highlight w:val="none"/>
          <w:lang w:val="en-US"/>
        </w:rPr>
        <w:t>国有企业退休人员社会化管理中省补助资金等</w:t>
      </w:r>
      <w:r>
        <w:rPr>
          <w:rFonts w:hint="eastAsia" w:ascii="仿宋_GB2312" w:hAnsi="仿宋_GB2312" w:eastAsia="仿宋_GB2312" w:cs="Times New Roman"/>
          <w:color w:val="auto"/>
          <w:kern w:val="2"/>
          <w:sz w:val="32"/>
          <w:szCs w:val="24"/>
          <w:highlight w:val="none"/>
          <w:lang w:val="en-US" w:eastAsia="zh-CN"/>
        </w:rPr>
        <w:t>4</w:t>
      </w:r>
      <w:r>
        <w:rPr>
          <w:rFonts w:hint="eastAsia" w:ascii="仿宋_GB2312" w:hAnsi="仿宋_GB2312" w:eastAsia="仿宋_GB2312" w:cs="Times New Roman"/>
          <w:color w:val="auto"/>
          <w:kern w:val="2"/>
          <w:sz w:val="32"/>
          <w:szCs w:val="24"/>
          <w:highlight w:val="none"/>
          <w:lang w:val="en-US"/>
        </w:rPr>
        <w:t>个项目开展了预算事前绩效评估，对</w:t>
      </w:r>
      <w:r>
        <w:rPr>
          <w:rFonts w:hint="eastAsia" w:ascii="仿宋_GB2312" w:hAnsi="仿宋_GB2312" w:eastAsia="仿宋_GB2312" w:cs="Times New Roman"/>
          <w:color w:val="auto"/>
          <w:kern w:val="2"/>
          <w:sz w:val="32"/>
          <w:szCs w:val="24"/>
          <w:highlight w:val="none"/>
          <w:lang w:val="en-US" w:eastAsia="zh-CN"/>
        </w:rPr>
        <w:t>3</w:t>
      </w:r>
      <w:r>
        <w:rPr>
          <w:rFonts w:hint="eastAsia" w:ascii="仿宋_GB2312" w:hAnsi="仿宋_GB2312" w:eastAsia="仿宋_GB2312" w:cs="Times New Roman"/>
          <w:color w:val="auto"/>
          <w:kern w:val="2"/>
          <w:sz w:val="32"/>
          <w:szCs w:val="24"/>
          <w:highlight w:val="none"/>
          <w:lang w:val="en-US"/>
        </w:rPr>
        <w:t>个项目编制了绩效目标，预</w:t>
      </w:r>
      <w:r>
        <w:rPr>
          <w:rFonts w:hint="eastAsia" w:ascii="仿宋_GB2312" w:hAnsi="仿宋_GB2312" w:eastAsia="仿宋_GB2312"/>
          <w:color w:val="auto"/>
          <w:kern w:val="2"/>
          <w:sz w:val="32"/>
          <w:szCs w:val="24"/>
          <w:highlight w:val="none"/>
          <w:lang w:val="en-US"/>
        </w:rPr>
        <w:t>算执行过程中，选取</w:t>
      </w:r>
      <w:r>
        <w:rPr>
          <w:rFonts w:hint="eastAsia" w:ascii="仿宋_GB2312" w:hAnsi="仿宋_GB2312" w:eastAsia="仿宋_GB2312"/>
          <w:color w:val="auto"/>
          <w:kern w:val="2"/>
          <w:sz w:val="32"/>
          <w:szCs w:val="24"/>
          <w:highlight w:val="none"/>
          <w:lang w:val="en-US" w:eastAsia="zh-CN"/>
        </w:rPr>
        <w:t>3</w:t>
      </w:r>
      <w:r>
        <w:rPr>
          <w:rFonts w:hint="eastAsia" w:ascii="仿宋_GB2312" w:hAnsi="仿宋_GB2312" w:eastAsia="仿宋_GB2312"/>
          <w:color w:val="auto"/>
          <w:kern w:val="2"/>
          <w:sz w:val="32"/>
          <w:szCs w:val="24"/>
          <w:highlight w:val="none"/>
          <w:lang w:val="en-US"/>
        </w:rPr>
        <w:t>个项目开展绩效监控。</w:t>
      </w:r>
    </w:p>
    <w:p w14:paraId="372F8A80">
      <w:pPr>
        <w:keepNext w:val="0"/>
        <w:keepLines w:val="0"/>
        <w:pageBreakBefore w:val="0"/>
        <w:widowControl w:val="0"/>
        <w:kinsoku/>
        <w:wordWrap/>
        <w:overflowPunct/>
        <w:topLinePunct/>
        <w:autoSpaceDE/>
        <w:autoSpaceDN/>
        <w:bidi w:val="0"/>
        <w:ind w:firstLine="640" w:firstLineChars="200"/>
        <w:rPr>
          <w:rFonts w:hint="eastAsia" w:ascii="仿宋_GB2312" w:hAnsi="Cambria" w:eastAsia="仿宋_GB2312" w:cs="仿宋_GB2312"/>
          <w:sz w:val="32"/>
          <w:szCs w:val="32"/>
          <w:lang w:eastAsia="zh-CN"/>
        </w:rPr>
      </w:pPr>
      <w:r>
        <w:rPr>
          <w:rFonts w:hint="eastAsia" w:ascii="仿宋_GB2312" w:hAnsi="仿宋_GB2312" w:eastAsia="仿宋_GB2312"/>
          <w:color w:val="auto"/>
          <w:kern w:val="2"/>
          <w:sz w:val="32"/>
          <w:szCs w:val="24"/>
          <w:lang w:val="en-US"/>
        </w:rPr>
        <w:t>组织对202</w:t>
      </w:r>
      <w:r>
        <w:rPr>
          <w:rFonts w:hint="eastAsia" w:ascii="仿宋_GB2312" w:hAnsi="仿宋_GB2312" w:eastAsia="仿宋_GB2312"/>
          <w:color w:val="auto"/>
          <w:kern w:val="2"/>
          <w:sz w:val="32"/>
          <w:szCs w:val="24"/>
          <w:lang w:val="en-US" w:eastAsia="zh-CN"/>
        </w:rPr>
        <w:t>3</w:t>
      </w:r>
      <w:r>
        <w:rPr>
          <w:rFonts w:hint="eastAsia" w:ascii="仿宋_GB2312" w:hAnsi="仿宋_GB2312" w:eastAsia="仿宋_GB2312"/>
          <w:color w:val="auto"/>
          <w:kern w:val="2"/>
          <w:sz w:val="32"/>
          <w:szCs w:val="24"/>
          <w:lang w:val="en-US"/>
        </w:rPr>
        <w:t>年度一般公共预算、政府性基金预算、国有资本经营预算、社会保险基金预算以及资本资产、债券资金等全面开展绩效自评，形成</w:t>
      </w:r>
      <w:r>
        <w:rPr>
          <w:rFonts w:hint="eastAsia" w:ascii="仿宋_GB2312" w:hAnsi="仿宋_GB2312" w:eastAsia="仿宋_GB2312"/>
          <w:color w:val="auto"/>
          <w:kern w:val="2"/>
          <w:sz w:val="32"/>
          <w:szCs w:val="24"/>
          <w:lang w:val="en-US" w:eastAsia="zh-CN"/>
        </w:rPr>
        <w:t>新盛镇</w:t>
      </w:r>
      <w:r>
        <w:rPr>
          <w:rFonts w:hint="eastAsia" w:ascii="仿宋_GB2312" w:hAnsi="仿宋_GB2312" w:eastAsia="仿宋_GB2312"/>
          <w:color w:val="auto"/>
          <w:kern w:val="2"/>
          <w:sz w:val="32"/>
          <w:szCs w:val="24"/>
          <w:lang w:val="en-US"/>
        </w:rPr>
        <w:t>部门整体（含部门预算项目）绩效自评报告</w:t>
      </w:r>
      <w:r>
        <w:rPr>
          <w:rFonts w:hint="eastAsia" w:ascii="仿宋_GB2312" w:hAnsi="仿宋_GB2312" w:eastAsia="仿宋_GB2312"/>
          <w:color w:val="auto"/>
          <w:kern w:val="2"/>
          <w:sz w:val="32"/>
          <w:szCs w:val="24"/>
          <w:lang w:val="en-US" w:eastAsia="zh-CN"/>
        </w:rPr>
        <w:t>，</w:t>
      </w:r>
      <w:r>
        <w:rPr>
          <w:rFonts w:hint="eastAsia" w:ascii="仿宋_GB2312" w:hAnsi="仿宋_GB2312" w:eastAsia="仿宋_GB2312"/>
          <w:color w:val="auto"/>
          <w:kern w:val="2"/>
          <w:sz w:val="32"/>
          <w:szCs w:val="24"/>
          <w:lang w:val="en-US"/>
        </w:rPr>
        <w:t>新盛镇黄鹿水库移民后续补助资金</w:t>
      </w:r>
      <w:r>
        <w:rPr>
          <w:rFonts w:hint="eastAsia" w:ascii="仿宋_GB2312" w:hAnsi="仿宋_GB2312" w:eastAsia="仿宋_GB2312"/>
          <w:color w:val="auto"/>
          <w:kern w:val="2"/>
          <w:sz w:val="32"/>
          <w:szCs w:val="24"/>
          <w:lang w:val="en-US" w:eastAsia="zh-CN"/>
        </w:rPr>
        <w:t>、</w:t>
      </w:r>
      <w:r>
        <w:rPr>
          <w:rFonts w:hint="eastAsia" w:ascii="仿宋_GB2312" w:hAnsi="仿宋_GB2312" w:eastAsia="仿宋_GB2312" w:cs="Times New Roman"/>
          <w:color w:val="auto"/>
          <w:kern w:val="2"/>
          <w:sz w:val="32"/>
          <w:szCs w:val="24"/>
          <w:lang w:val="en-US" w:eastAsia="zh-CN"/>
        </w:rPr>
        <w:t>国有企业退休人员社会化管理中省补助资金和</w:t>
      </w:r>
      <w:r>
        <w:rPr>
          <w:rFonts w:hint="eastAsia" w:ascii="仿宋_GB2312" w:hAnsi="仿宋_GB2312" w:eastAsia="仿宋_GB2312"/>
          <w:color w:val="auto"/>
          <w:kern w:val="2"/>
          <w:sz w:val="32"/>
          <w:szCs w:val="24"/>
          <w:lang w:val="en-US" w:eastAsia="zh-CN"/>
        </w:rPr>
        <w:t>新盛镇综合业务费</w:t>
      </w:r>
      <w:r>
        <w:rPr>
          <w:rFonts w:hint="eastAsia" w:ascii="仿宋_GB2312" w:hAnsi="仿宋_GB2312" w:eastAsia="仿宋_GB2312"/>
          <w:color w:val="auto"/>
          <w:kern w:val="2"/>
          <w:sz w:val="32"/>
          <w:szCs w:val="24"/>
          <w:highlight w:val="none"/>
          <w:lang w:val="en-US"/>
        </w:rPr>
        <w:t>等专项预算项目绩效自评报告，其中，</w:t>
      </w:r>
      <w:r>
        <w:rPr>
          <w:rFonts w:hint="eastAsia" w:ascii="仿宋_GB2312" w:hAnsi="仿宋_GB2312" w:eastAsia="仿宋_GB2312"/>
          <w:color w:val="auto"/>
          <w:kern w:val="2"/>
          <w:sz w:val="32"/>
          <w:szCs w:val="24"/>
          <w:highlight w:val="none"/>
          <w:lang w:val="en-US" w:eastAsia="zh-CN"/>
        </w:rPr>
        <w:t>新盛镇</w:t>
      </w:r>
      <w:r>
        <w:rPr>
          <w:rFonts w:hint="eastAsia" w:ascii="仿宋_GB2312" w:hAnsi="仿宋_GB2312" w:eastAsia="仿宋_GB2312"/>
          <w:color w:val="auto"/>
          <w:kern w:val="2"/>
          <w:sz w:val="32"/>
          <w:szCs w:val="24"/>
          <w:highlight w:val="none"/>
          <w:lang w:val="en-US"/>
        </w:rPr>
        <w:t>部门整体（含部门预算项目）绩效自评得分为</w:t>
      </w:r>
      <w:r>
        <w:rPr>
          <w:rFonts w:hint="eastAsia" w:ascii="仿宋_GB2312" w:hAnsi="仿宋_GB2312" w:eastAsia="仿宋_GB2312"/>
          <w:color w:val="auto"/>
          <w:kern w:val="2"/>
          <w:sz w:val="32"/>
          <w:szCs w:val="24"/>
          <w:highlight w:val="none"/>
          <w:lang w:val="en-US" w:eastAsia="zh-CN"/>
        </w:rPr>
        <w:t>99</w:t>
      </w:r>
      <w:r>
        <w:rPr>
          <w:rFonts w:hint="eastAsia" w:ascii="仿宋_GB2312" w:hAnsi="仿宋_GB2312" w:eastAsia="仿宋_GB2312"/>
          <w:color w:val="auto"/>
          <w:kern w:val="2"/>
          <w:sz w:val="32"/>
          <w:szCs w:val="24"/>
          <w:highlight w:val="none"/>
          <w:lang w:val="en-US"/>
        </w:rPr>
        <w:t>分，绩效自评综述：202</w:t>
      </w:r>
      <w:r>
        <w:rPr>
          <w:rFonts w:hint="eastAsia" w:ascii="仿宋_GB2312" w:hAnsi="仿宋_GB2312" w:eastAsia="仿宋_GB2312"/>
          <w:color w:val="auto"/>
          <w:kern w:val="2"/>
          <w:sz w:val="32"/>
          <w:szCs w:val="24"/>
          <w:highlight w:val="none"/>
          <w:lang w:val="en-US" w:eastAsia="zh-CN"/>
        </w:rPr>
        <w:t>3</w:t>
      </w:r>
      <w:r>
        <w:rPr>
          <w:rFonts w:hint="eastAsia" w:ascii="仿宋_GB2312" w:hAnsi="仿宋_GB2312" w:eastAsia="仿宋_GB2312"/>
          <w:color w:val="auto"/>
          <w:kern w:val="2"/>
          <w:sz w:val="32"/>
          <w:szCs w:val="24"/>
          <w:highlight w:val="none"/>
          <w:lang w:val="en-US"/>
        </w:rPr>
        <w:t>年全镇财政运行状况是良好的，100%的完成任务，财政资金专项预算分配时限合理，专款分配合规率高，预算执行进度基本达标。本年度我单位加强政府性债务管理、非税收入执收、政策采购实施计划、资产管理、内控制度管理、信息公开、绩效评价及依法接受财政监督等制度的执行和监督，无政府性债务，非税收入全</w:t>
      </w:r>
      <w:r>
        <w:rPr>
          <w:rFonts w:hint="eastAsia" w:ascii="仿宋_GB2312" w:hAnsi="仿宋_GB2312" w:eastAsia="仿宋_GB2312" w:cs="Times New Roman"/>
          <w:color w:val="auto"/>
          <w:kern w:val="2"/>
          <w:sz w:val="32"/>
          <w:szCs w:val="24"/>
          <w:highlight w:val="none"/>
          <w:lang w:val="en-US"/>
        </w:rPr>
        <w:t>部上缴国库</w:t>
      </w:r>
      <w:r>
        <w:rPr>
          <w:rFonts w:hint="eastAsia" w:ascii="仿宋_GB2312" w:hAnsi="仿宋_GB2312" w:eastAsia="仿宋_GB2312" w:cs="Times New Roman"/>
          <w:color w:val="auto"/>
          <w:kern w:val="2"/>
          <w:sz w:val="32"/>
          <w:szCs w:val="24"/>
          <w:highlight w:val="none"/>
          <w:lang w:val="en-US" w:eastAsia="zh-CN"/>
        </w:rPr>
        <w:t>。</w:t>
      </w:r>
      <w:r>
        <w:rPr>
          <w:rFonts w:hint="eastAsia" w:ascii="仿宋_GB2312" w:hAnsi="仿宋_GB2312" w:eastAsia="仿宋_GB2312" w:cs="Times New Roman"/>
          <w:color w:val="auto"/>
          <w:kern w:val="2"/>
          <w:sz w:val="32"/>
          <w:szCs w:val="24"/>
          <w:highlight w:val="none"/>
          <w:lang w:val="en-US"/>
        </w:rPr>
        <w:t>新盛镇黄鹿水库移民后续补助资金专项预算项目绩效自评得分为</w:t>
      </w:r>
      <w:r>
        <w:rPr>
          <w:rFonts w:hint="eastAsia" w:ascii="仿宋_GB2312" w:hAnsi="仿宋_GB2312" w:eastAsia="仿宋_GB2312" w:cs="Times New Roman"/>
          <w:color w:val="auto"/>
          <w:kern w:val="2"/>
          <w:sz w:val="32"/>
          <w:szCs w:val="24"/>
          <w:highlight w:val="none"/>
          <w:lang w:val="en-US" w:eastAsia="zh-CN"/>
        </w:rPr>
        <w:t>100</w:t>
      </w:r>
      <w:r>
        <w:rPr>
          <w:rFonts w:hint="eastAsia" w:ascii="仿宋_GB2312" w:hAnsi="仿宋_GB2312" w:eastAsia="仿宋_GB2312" w:cs="Times New Roman"/>
          <w:color w:val="auto"/>
          <w:kern w:val="2"/>
          <w:sz w:val="32"/>
          <w:szCs w:val="24"/>
          <w:highlight w:val="none"/>
          <w:lang w:val="en-US"/>
        </w:rPr>
        <w:t>分，绩效自评综述</w:t>
      </w:r>
      <w:r>
        <w:rPr>
          <w:rFonts w:hint="eastAsia" w:ascii="仿宋_GB2312" w:hAnsi="仿宋_GB2312" w:eastAsia="仿宋_GB2312" w:cs="Times New Roman"/>
          <w:color w:val="auto"/>
          <w:kern w:val="2"/>
          <w:sz w:val="32"/>
          <w:szCs w:val="24"/>
          <w:highlight w:val="none"/>
          <w:lang w:val="en-US" w:eastAsia="zh-CN"/>
        </w:rPr>
        <w:t>：</w:t>
      </w:r>
      <w:r>
        <w:rPr>
          <w:rFonts w:hint="eastAsia" w:ascii="仿宋_GB2312" w:hAnsi="仿宋_GB2312" w:eastAsia="仿宋_GB2312" w:cs="Times New Roman"/>
          <w:color w:val="auto"/>
          <w:kern w:val="2"/>
          <w:sz w:val="32"/>
          <w:szCs w:val="24"/>
          <w:highlight w:val="none"/>
          <w:lang w:val="en-US"/>
        </w:rPr>
        <w:t>该项目100%完成，通过项目的实施，</w:t>
      </w:r>
      <w:r>
        <w:rPr>
          <w:rFonts w:hint="eastAsia" w:ascii="仿宋_GB2312" w:hAnsi="仿宋_GB2312" w:eastAsia="仿宋_GB2312" w:cs="Times New Roman"/>
          <w:color w:val="auto"/>
          <w:kern w:val="2"/>
          <w:sz w:val="32"/>
          <w:szCs w:val="24"/>
          <w:highlight w:val="none"/>
          <w:lang w:val="en-US" w:eastAsia="zh-CN"/>
        </w:rPr>
        <w:t>有效地保障了</w:t>
      </w:r>
      <w:r>
        <w:rPr>
          <w:rFonts w:hint="eastAsia" w:ascii="仿宋_GB2312" w:hAnsi="仿宋_GB2312" w:eastAsia="仿宋_GB2312" w:cs="Times New Roman"/>
          <w:color w:val="auto"/>
          <w:kern w:val="2"/>
          <w:sz w:val="32"/>
          <w:szCs w:val="24"/>
          <w:highlight w:val="none"/>
          <w:lang w:val="en-US"/>
        </w:rPr>
        <w:t>鹿水库移民后续生活补助，维护了全镇稳定。</w:t>
      </w:r>
      <w:r>
        <w:rPr>
          <w:rFonts w:hint="eastAsia" w:ascii="仿宋_GB2312" w:hAnsi="仿宋_GB2312" w:eastAsia="仿宋_GB2312" w:cs="Times New Roman"/>
          <w:color w:val="auto"/>
          <w:kern w:val="2"/>
          <w:sz w:val="32"/>
          <w:szCs w:val="24"/>
          <w:highlight w:val="none"/>
          <w:lang w:val="en-US" w:eastAsia="zh-CN"/>
        </w:rPr>
        <w:t>新盛镇国有企业退休人员社会化管理中省补助资金项目自评总分为93分，总体评价好。</w:t>
      </w:r>
      <w:r>
        <w:rPr>
          <w:rFonts w:hint="eastAsia" w:ascii="仿宋_GB2312" w:hAnsi="仿宋_GB2312" w:eastAsia="仿宋_GB2312" w:cs="Times New Roman"/>
          <w:color w:val="auto"/>
          <w:kern w:val="2"/>
          <w:sz w:val="32"/>
          <w:szCs w:val="24"/>
          <w:highlight w:val="none"/>
          <w:lang w:val="en-US"/>
        </w:rPr>
        <w:t>绩效自评综述：100%</w:t>
      </w:r>
      <w:r>
        <w:rPr>
          <w:rFonts w:hint="eastAsia" w:ascii="仿宋_GB2312" w:hAnsi="仿宋_GB2312" w:eastAsia="仿宋_GB2312" w:cs="Times New Roman"/>
          <w:color w:val="auto"/>
          <w:kern w:val="2"/>
          <w:sz w:val="32"/>
          <w:szCs w:val="24"/>
          <w:highlight w:val="none"/>
          <w:lang w:val="en-US" w:eastAsia="zh-CN"/>
        </w:rPr>
        <w:t>地完成任务</w:t>
      </w:r>
      <w:r>
        <w:rPr>
          <w:rFonts w:hint="eastAsia" w:ascii="仿宋_GB2312" w:hAnsi="仿宋_GB2312" w:eastAsia="仿宋_GB2312" w:cs="Times New Roman"/>
          <w:color w:val="auto"/>
          <w:kern w:val="2"/>
          <w:sz w:val="32"/>
          <w:szCs w:val="24"/>
          <w:highlight w:val="none"/>
          <w:lang w:val="en-US"/>
        </w:rPr>
        <w:t>，财政资金专项预算分配时限合理，</w:t>
      </w:r>
      <w:r>
        <w:rPr>
          <w:rFonts w:hint="eastAsia" w:ascii="仿宋_GB2312" w:hAnsi="仿宋_GB2312" w:eastAsia="仿宋_GB2312" w:cs="Times New Roman"/>
          <w:color w:val="auto"/>
          <w:kern w:val="2"/>
          <w:sz w:val="32"/>
          <w:szCs w:val="24"/>
          <w:highlight w:val="none"/>
          <w:lang w:val="en-US" w:eastAsia="zh-CN"/>
        </w:rPr>
        <w:t>进一步提升了国有企业退休人员获得感和幸福感，促进了辖区的和谐稳定。</w:t>
      </w:r>
      <w:r>
        <w:rPr>
          <w:rFonts w:hint="eastAsia" w:ascii="仿宋_GB2312" w:hAnsi="仿宋_GB2312" w:eastAsia="仿宋_GB2312" w:cs="Times New Roman"/>
          <w:color w:val="auto"/>
          <w:kern w:val="2"/>
          <w:sz w:val="32"/>
          <w:szCs w:val="24"/>
          <w:highlight w:val="none"/>
          <w:lang w:val="en-US"/>
        </w:rPr>
        <w:t>实施过程中严格</w:t>
      </w:r>
      <w:r>
        <w:rPr>
          <w:rFonts w:hint="eastAsia" w:ascii="仿宋_GB2312" w:hAnsi="仿宋_GB2312" w:eastAsia="仿宋_GB2312" w:cs="Times New Roman"/>
          <w:color w:val="auto"/>
          <w:kern w:val="2"/>
          <w:sz w:val="32"/>
          <w:szCs w:val="24"/>
          <w:highlight w:val="none"/>
          <w:lang w:val="en-US" w:eastAsia="zh-CN"/>
        </w:rPr>
        <w:t>执行</w:t>
      </w:r>
      <w:r>
        <w:rPr>
          <w:rFonts w:hint="eastAsia" w:ascii="仿宋_GB2312" w:hAnsi="仿宋_GB2312" w:eastAsia="仿宋_GB2312" w:cs="Times New Roman"/>
          <w:color w:val="auto"/>
          <w:kern w:val="2"/>
          <w:sz w:val="32"/>
          <w:szCs w:val="24"/>
          <w:highlight w:val="none"/>
          <w:lang w:val="en-US"/>
        </w:rPr>
        <w:t>相关法律法规及项目管理</w:t>
      </w:r>
      <w:r>
        <w:rPr>
          <w:rFonts w:hint="eastAsia" w:ascii="仿宋_GB2312" w:hAnsi="仿宋_GB2312" w:eastAsia="仿宋_GB2312" w:cs="Times New Roman"/>
          <w:color w:val="auto"/>
          <w:kern w:val="2"/>
          <w:sz w:val="32"/>
          <w:szCs w:val="24"/>
          <w:highlight w:val="none"/>
          <w:lang w:val="en-US" w:eastAsia="zh-CN"/>
        </w:rPr>
        <w:t>制度</w:t>
      </w:r>
      <w:r>
        <w:rPr>
          <w:rFonts w:hint="eastAsia" w:ascii="仿宋_GB2312" w:hAnsi="仿宋_GB2312" w:eastAsia="仿宋_GB2312" w:cs="Times New Roman"/>
          <w:color w:val="auto"/>
          <w:kern w:val="2"/>
          <w:sz w:val="32"/>
          <w:szCs w:val="24"/>
          <w:highlight w:val="none"/>
          <w:lang w:val="en-US"/>
        </w:rPr>
        <w:t>，及</w:t>
      </w:r>
      <w:r>
        <w:rPr>
          <w:rFonts w:hint="eastAsia" w:ascii="仿宋_GB2312" w:hAnsi="仿宋_GB2312" w:eastAsia="仿宋_GB2312"/>
          <w:color w:val="auto"/>
          <w:kern w:val="2"/>
          <w:sz w:val="32"/>
          <w:szCs w:val="24"/>
          <w:highlight w:val="none"/>
          <w:lang w:val="en-US"/>
        </w:rPr>
        <w:t>时对项目实施结果进行公示及上报。项目预期的社会效益、可持续性以及满意度指标均达到预期目标</w:t>
      </w:r>
      <w:r>
        <w:rPr>
          <w:rFonts w:hint="eastAsia" w:ascii="仿宋_GB2312" w:hAnsi="仿宋_GB2312" w:eastAsia="仿宋_GB2312"/>
          <w:color w:val="auto"/>
          <w:kern w:val="2"/>
          <w:sz w:val="32"/>
          <w:szCs w:val="24"/>
          <w:highlight w:val="none"/>
          <w:lang w:val="en-US" w:eastAsia="zh-CN"/>
        </w:rPr>
        <w:t>；</w:t>
      </w:r>
      <w:r>
        <w:rPr>
          <w:rFonts w:hint="eastAsia" w:ascii="仿宋_GB2312" w:hAnsi="仿宋_GB2312" w:eastAsia="仿宋_GB2312"/>
          <w:color w:val="auto"/>
          <w:kern w:val="2"/>
          <w:sz w:val="32"/>
          <w:szCs w:val="24"/>
          <w:highlight w:val="none"/>
          <w:lang w:val="en-US"/>
        </w:rPr>
        <w:t>新盛镇综合业务费专项预算项目绩效自评得分为</w:t>
      </w:r>
      <w:r>
        <w:rPr>
          <w:rFonts w:hint="eastAsia" w:ascii="仿宋_GB2312" w:hAnsi="仿宋_GB2312" w:eastAsia="仿宋_GB2312"/>
          <w:color w:val="auto"/>
          <w:kern w:val="2"/>
          <w:sz w:val="32"/>
          <w:szCs w:val="24"/>
          <w:highlight w:val="none"/>
          <w:lang w:val="en-US" w:eastAsia="zh-CN"/>
        </w:rPr>
        <w:t>100</w:t>
      </w:r>
      <w:r>
        <w:rPr>
          <w:rFonts w:hint="eastAsia" w:ascii="仿宋_GB2312" w:hAnsi="仿宋_GB2312" w:eastAsia="仿宋_GB2312"/>
          <w:color w:val="auto"/>
          <w:kern w:val="2"/>
          <w:sz w:val="32"/>
          <w:szCs w:val="24"/>
          <w:highlight w:val="none"/>
          <w:lang w:val="en-US"/>
        </w:rPr>
        <w:t>分，绩效自评综述</w:t>
      </w:r>
      <w:r>
        <w:rPr>
          <w:rFonts w:hint="eastAsia" w:ascii="仿宋_GB2312" w:hAnsi="仿宋_GB2312" w:eastAsia="仿宋_GB2312"/>
          <w:color w:val="auto"/>
          <w:kern w:val="2"/>
          <w:sz w:val="32"/>
          <w:szCs w:val="24"/>
          <w:highlight w:val="none"/>
          <w:lang w:val="en-US" w:eastAsia="zh-CN"/>
        </w:rPr>
        <w:t>：</w:t>
      </w:r>
      <w:r>
        <w:rPr>
          <w:rFonts w:hint="eastAsia" w:ascii="仿宋_GB2312" w:hAnsi="仿宋_GB2312" w:eastAsia="仿宋_GB2312"/>
          <w:color w:val="auto"/>
          <w:kern w:val="2"/>
          <w:sz w:val="32"/>
          <w:szCs w:val="24"/>
          <w:highlight w:val="none"/>
          <w:lang w:val="en-US"/>
        </w:rPr>
        <w:t>该项目100%完成，通过项目的实施，</w:t>
      </w:r>
      <w:r>
        <w:rPr>
          <w:rFonts w:hint="eastAsia" w:ascii="仿宋_GB2312" w:hAnsi="仿宋_GB2312" w:eastAsia="仿宋_GB2312"/>
          <w:color w:val="auto"/>
          <w:kern w:val="2"/>
          <w:sz w:val="32"/>
          <w:szCs w:val="24"/>
          <w:highlight w:val="none"/>
          <w:lang w:val="en-US" w:eastAsia="zh-CN"/>
        </w:rPr>
        <w:t>有效地完成</w:t>
      </w:r>
      <w:r>
        <w:rPr>
          <w:rFonts w:hint="eastAsia" w:ascii="仿宋_GB2312" w:hAnsi="仿宋_GB2312" w:eastAsia="仿宋_GB2312"/>
          <w:color w:val="auto"/>
          <w:kern w:val="2"/>
          <w:sz w:val="32"/>
          <w:szCs w:val="24"/>
          <w:highlight w:val="none"/>
          <w:lang w:val="en-US"/>
        </w:rPr>
        <w:t>了202</w:t>
      </w:r>
      <w:r>
        <w:rPr>
          <w:rFonts w:hint="eastAsia" w:ascii="仿宋_GB2312" w:hAnsi="仿宋_GB2312" w:eastAsia="仿宋_GB2312"/>
          <w:color w:val="auto"/>
          <w:kern w:val="2"/>
          <w:sz w:val="32"/>
          <w:szCs w:val="24"/>
          <w:highlight w:val="none"/>
          <w:lang w:val="en-US" w:eastAsia="zh-CN"/>
        </w:rPr>
        <w:t>3</w:t>
      </w:r>
      <w:r>
        <w:rPr>
          <w:rFonts w:hint="eastAsia" w:ascii="仿宋_GB2312" w:hAnsi="仿宋_GB2312" w:eastAsia="仿宋_GB2312"/>
          <w:color w:val="auto"/>
          <w:kern w:val="2"/>
          <w:sz w:val="32"/>
          <w:szCs w:val="24"/>
          <w:highlight w:val="none"/>
          <w:lang w:val="en-US"/>
        </w:rPr>
        <w:t>年交管办、安全维稳、民事代办、生态环境保护、乡村振兴、卫生健康及疾病预防、基层治理和民生等工作；做好人大代表、工会、共青团、妇联、关工委等群团工作；做好应急突发事件的处置工作，各项工作顺利推进。项目预期的社会效益、可持续性以及满意度指标均达到预期目标。</w:t>
      </w:r>
      <w:r>
        <w:rPr>
          <w:rFonts w:hint="eastAsia" w:ascii="仿宋_GB2312" w:hAnsi="仿宋_GB2312" w:eastAsia="仿宋_GB2312" w:cs="仿宋_GB2312"/>
          <w:sz w:val="32"/>
          <w:szCs w:val="32"/>
        </w:rPr>
        <w:t>绩效自评综述：</w:t>
      </w:r>
      <w:r>
        <w:rPr>
          <w:rFonts w:hint="eastAsia" w:ascii="仿宋_GB2312" w:hAnsi="Cambria" w:eastAsia="仿宋_GB2312" w:cs="仿宋_GB2312"/>
          <w:sz w:val="32"/>
          <w:szCs w:val="32"/>
          <w:highlight w:val="none"/>
        </w:rPr>
        <w:t>截止2023年12月底，</w:t>
      </w:r>
      <w:r>
        <w:rPr>
          <w:rFonts w:hint="eastAsia" w:ascii="仿宋_GB2312" w:hAnsi="仿宋_GB2312" w:eastAsia="仿宋_GB2312" w:cs="仿宋_GB2312"/>
          <w:kern w:val="2"/>
          <w:sz w:val="32"/>
          <w:szCs w:val="32"/>
          <w:lang w:val="en-US" w:eastAsia="zh-CN" w:bidi="ar-SA"/>
        </w:rPr>
        <w:t>所有项目未出现项目偏差。</w:t>
      </w:r>
    </w:p>
    <w:p w14:paraId="1BD837FA">
      <w:pPr>
        <w:keepNext w:val="0"/>
        <w:keepLines w:val="0"/>
        <w:pageBreakBefore w:val="0"/>
        <w:widowControl w:val="0"/>
        <w:kinsoku/>
        <w:wordWrap/>
        <w:overflowPunct/>
        <w:topLinePunct/>
        <w:autoSpaceDE/>
        <w:autoSpaceDN/>
        <w:bidi w:val="0"/>
        <w:spacing w:line="580" w:lineRule="exact"/>
        <w:ind w:firstLine="640" w:firstLineChars="200"/>
        <w:rPr>
          <w:rFonts w:ascii="仿宋_GB2312" w:hAnsi="仿宋_GB2312" w:eastAsia="仿宋_GB2312" w:cs="仿宋_GB2312"/>
          <w:sz w:val="32"/>
          <w:szCs w:val="32"/>
          <w:highlight w:val="yellow"/>
        </w:rPr>
      </w:pPr>
      <w:r>
        <w:rPr>
          <w:rFonts w:hint="eastAsia" w:ascii="仿宋_GB2312" w:hAnsi="Cambria" w:eastAsia="仿宋_GB2312" w:cs="仿宋_GB2312"/>
          <w:sz w:val="32"/>
          <w:szCs w:val="32"/>
          <w:highlight w:val="none"/>
        </w:rPr>
        <w:t>具体绩效自评报告详见第四部分附件一和附件二。</w:t>
      </w:r>
      <w:r>
        <w:rPr>
          <w:rFonts w:hint="eastAsia" w:ascii="仿宋_GB2312" w:hAnsi="仿宋_GB2312" w:eastAsia="仿宋_GB2312"/>
          <w:b/>
          <w:color w:val="000000"/>
          <w:kern w:val="2"/>
          <w:sz w:val="32"/>
          <w:szCs w:val="24"/>
          <w:highlight w:val="none"/>
          <w:lang w:val="zh-CN"/>
        </w:rPr>
        <w:br w:type="page"/>
      </w:r>
    </w:p>
    <w:p w14:paraId="54345825">
      <w:pPr>
        <w:pStyle w:val="4"/>
        <w:keepNext w:val="0"/>
        <w:keepLines w:val="0"/>
        <w:pageBreakBefore w:val="0"/>
        <w:widowControl w:val="0"/>
        <w:kinsoku/>
        <w:wordWrap/>
        <w:overflowPunct/>
        <w:topLinePunct/>
        <w:autoSpaceDE/>
        <w:autoSpaceDN/>
        <w:bidi w:val="0"/>
        <w:adjustRightInd/>
        <w:snapToGrid/>
        <w:spacing w:before="0" w:after="0" w:line="560" w:lineRule="exact"/>
        <w:ind w:firstLine="0" w:firstLineChars="0"/>
        <w:jc w:val="center"/>
        <w:textAlignment w:val="auto"/>
      </w:pPr>
      <w:bookmarkStart w:id="82" w:name="_Toc20534"/>
      <w:bookmarkStart w:id="83" w:name="_Toc7668"/>
      <w:r>
        <w:rPr>
          <w:rFonts w:hint="eastAsia"/>
        </w:rPr>
        <w:t>第三部分 名词解释</w:t>
      </w:r>
      <w:bookmarkEnd w:id="82"/>
      <w:bookmarkEnd w:id="83"/>
    </w:p>
    <w:p w14:paraId="6BE9AD41">
      <w:pPr>
        <w:keepNext w:val="0"/>
        <w:keepLines w:val="0"/>
        <w:pageBreakBefore w:val="0"/>
        <w:widowControl w:val="0"/>
        <w:kinsoku/>
        <w:wordWrap/>
        <w:overflowPunct/>
        <w:topLinePunct/>
        <w:autoSpaceDE/>
        <w:autoSpaceDN/>
        <w:bidi w:val="0"/>
        <w:spacing w:line="560" w:lineRule="exact"/>
        <w:ind w:firstLine="420" w:firstLineChars="200"/>
        <w:textAlignment w:val="auto"/>
      </w:pPr>
    </w:p>
    <w:p w14:paraId="1B938B33">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eastAsia" w:ascii="仿宋_GB2312" w:eastAsia="仿宋_GB2312"/>
          <w:sz w:val="32"/>
          <w:szCs w:val="32"/>
        </w:rPr>
      </w:pPr>
      <w:bookmarkStart w:id="84" w:name="_Toc8291"/>
      <w:bookmarkStart w:id="85" w:name="_Toc22851"/>
      <w:bookmarkStart w:id="86" w:name="_Toc1171"/>
      <w:r>
        <w:rPr>
          <w:rFonts w:hint="eastAsia" w:ascii="仿宋_GB2312" w:eastAsia="仿宋_GB2312"/>
          <w:sz w:val="32"/>
          <w:szCs w:val="32"/>
        </w:rPr>
        <w:t>1.财政拨款收入：指单位从同级财政部门取得的财政预算资金。</w:t>
      </w:r>
      <w:bookmarkEnd w:id="84"/>
      <w:bookmarkEnd w:id="85"/>
      <w:bookmarkEnd w:id="86"/>
    </w:p>
    <w:p w14:paraId="14DB3F3A">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2.事业收入：指事业单位开展专业业务活动及辅助活动取得的收入。</w:t>
      </w:r>
    </w:p>
    <w:p w14:paraId="48B8DD2C">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.其他收入：指单位取得的除上述收入以外的各项收入。</w:t>
      </w:r>
      <w:r>
        <w:rPr>
          <w:rFonts w:hint="eastAsia" w:ascii="仿宋_GB2312" w:eastAsia="仿宋_GB2312"/>
          <w:sz w:val="32"/>
          <w:szCs w:val="32"/>
          <w:lang w:val="en-US"/>
        </w:rPr>
        <w:t>主要是银行利息收入和代管资金收入等。</w:t>
      </w:r>
      <w:r>
        <w:rPr>
          <w:rFonts w:hint="eastAsia" w:ascii="仿宋_GB2312" w:eastAsia="仿宋_GB2312"/>
          <w:sz w:val="32"/>
          <w:szCs w:val="32"/>
        </w:rPr>
        <w:t xml:space="preserve"> </w:t>
      </w:r>
    </w:p>
    <w:p w14:paraId="6BFB1791">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 xml:space="preserve">.年初结转和结余：指以前年度尚未完成、结转到本年按有关规定继续使用的资金。 </w:t>
      </w:r>
    </w:p>
    <w:p w14:paraId="507CF4E9">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lang w:val="en-US"/>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rPr>
        <w:t>一般公共服务（类）政府办公厅（室）及相关机构事务（款）行政运行（项）：指反映行政单位（包括实行公务员管理的事业单位）的基本支出。</w:t>
      </w:r>
    </w:p>
    <w:p w14:paraId="47E683E6">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lang w:val="en-US"/>
        </w:rPr>
      </w:pPr>
      <w:r>
        <w:rPr>
          <w:rFonts w:hint="eastAsia" w:ascii="仿宋_GB2312" w:eastAsia="仿宋_GB2312"/>
          <w:sz w:val="32"/>
          <w:szCs w:val="32"/>
          <w:lang w:val="en-US" w:eastAsia="zh-CN"/>
        </w:rPr>
        <w:t>6.社会保障和就业（类）行政事业单位养老（款）机关事业单位基本养老保险缴费（项）： 指</w:t>
      </w:r>
      <w:r>
        <w:rPr>
          <w:rFonts w:hint="eastAsia" w:ascii="仿宋_GB2312" w:eastAsia="仿宋_GB2312"/>
          <w:sz w:val="32"/>
          <w:szCs w:val="32"/>
          <w:lang w:val="en-US"/>
        </w:rPr>
        <w:t>反映用于行政事业单位养老方面的支出。</w:t>
      </w:r>
    </w:p>
    <w:p w14:paraId="464F0483">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社</w:t>
      </w:r>
      <w:r>
        <w:rPr>
          <w:rFonts w:hint="eastAsia" w:ascii="仿宋_GB2312" w:eastAsia="仿宋_GB2312"/>
          <w:sz w:val="32"/>
          <w:szCs w:val="32"/>
          <w:lang w:val="en-US" w:eastAsia="zh-CN"/>
        </w:rPr>
        <w:t>会保障和就业（类）行政事业单位养老（款）机关事业单位职业年金缴费（项）：</w:t>
      </w:r>
      <w:r>
        <w:rPr>
          <w:rFonts w:hint="eastAsia" w:ascii="仿宋_GB2312" w:eastAsia="仿宋_GB2312"/>
          <w:sz w:val="32"/>
          <w:szCs w:val="32"/>
        </w:rPr>
        <w:t xml:space="preserve"> </w:t>
      </w:r>
      <w:r>
        <w:rPr>
          <w:rFonts w:hint="eastAsia" w:ascii="仿宋_GB2312" w:eastAsia="仿宋_GB2312"/>
          <w:sz w:val="32"/>
          <w:szCs w:val="32"/>
          <w:lang w:val="en-US" w:eastAsia="zh-CN"/>
        </w:rPr>
        <w:t>指</w:t>
      </w:r>
      <w:r>
        <w:rPr>
          <w:rFonts w:hint="eastAsia" w:ascii="仿宋_GB2312" w:eastAsia="仿宋_GB2312"/>
          <w:sz w:val="32"/>
          <w:szCs w:val="32"/>
        </w:rPr>
        <w:t>反映机关事业单位实施养老保险制度由单位实际缴纳的职业年金支出。</w:t>
      </w:r>
    </w:p>
    <w:p w14:paraId="4C5A930F">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社</w:t>
      </w:r>
      <w:r>
        <w:rPr>
          <w:rFonts w:hint="eastAsia" w:ascii="仿宋_GB2312" w:eastAsia="仿宋_GB2312"/>
          <w:sz w:val="32"/>
          <w:szCs w:val="32"/>
          <w:lang w:val="en-US" w:eastAsia="zh-CN"/>
        </w:rPr>
        <w:t xml:space="preserve">会保障和就业（类）行政事业单位养老（款）其他行政事业单位（项）： </w:t>
      </w:r>
      <w:r>
        <w:rPr>
          <w:rFonts w:hint="eastAsia" w:ascii="仿宋_GB2312" w:eastAsia="仿宋_GB2312"/>
          <w:sz w:val="32"/>
          <w:szCs w:val="32"/>
        </w:rPr>
        <w:t>反映其他用于行政事业单位养老方面的支出。</w:t>
      </w:r>
    </w:p>
    <w:p w14:paraId="1964EB64">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5.社会保障和就业（类）其他社会保障和就业（款）其他社会保障和就业（项）： 指</w:t>
      </w:r>
      <w:r>
        <w:rPr>
          <w:rFonts w:hint="eastAsia" w:ascii="仿宋_GB2312" w:eastAsia="仿宋_GB2312"/>
          <w:sz w:val="32"/>
          <w:szCs w:val="32"/>
        </w:rPr>
        <w:t>反映其他用于行政事业单位养老方面的支出。</w:t>
      </w:r>
    </w:p>
    <w:p w14:paraId="61F7673E">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卫生健康（类）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行政单位医疗</w:t>
      </w:r>
      <w:r>
        <w:rPr>
          <w:rFonts w:hint="eastAsia" w:ascii="仿宋_GB2312" w:eastAsia="仿宋_GB2312"/>
          <w:sz w:val="32"/>
          <w:szCs w:val="32"/>
        </w:rPr>
        <w:t>（项）</w:t>
      </w:r>
      <w:r>
        <w:rPr>
          <w:rFonts w:hint="eastAsia" w:ascii="仿宋_GB2312" w:eastAsia="仿宋_GB2312"/>
          <w:sz w:val="32"/>
          <w:szCs w:val="32"/>
          <w:lang w:eastAsia="zh-CN"/>
        </w:rPr>
        <w:t>：</w:t>
      </w:r>
      <w:r>
        <w:rPr>
          <w:rFonts w:hint="eastAsia" w:ascii="仿宋_GB2312" w:eastAsia="仿宋_GB2312"/>
          <w:sz w:val="32"/>
          <w:szCs w:val="32"/>
          <w:lang w:val="en-US" w:eastAsia="zh-CN"/>
        </w:rPr>
        <w:t>指</w:t>
      </w:r>
      <w:r>
        <w:rPr>
          <w:rFonts w:hint="eastAsia" w:ascii="仿宋_GB2312" w:eastAsia="仿宋_GB2312"/>
          <w:sz w:val="32"/>
          <w:szCs w:val="32"/>
        </w:rPr>
        <w:t>反映财政部门安排的行政单位</w:t>
      </w:r>
      <w:r>
        <w:rPr>
          <w:rFonts w:hint="eastAsia" w:ascii="仿宋_GB2312" w:eastAsia="仿宋_GB2312"/>
          <w:sz w:val="32"/>
          <w:szCs w:val="32"/>
          <w:lang w:eastAsia="zh-CN"/>
        </w:rPr>
        <w:t>（</w:t>
      </w:r>
      <w:r>
        <w:rPr>
          <w:rFonts w:hint="eastAsia" w:ascii="仿宋_GB2312" w:eastAsia="仿宋_GB2312"/>
          <w:sz w:val="32"/>
          <w:szCs w:val="32"/>
        </w:rPr>
        <w:t>包括实行公务员管理的事业单位</w:t>
      </w:r>
      <w:r>
        <w:rPr>
          <w:rFonts w:hint="eastAsia" w:ascii="仿宋_GB2312" w:eastAsia="仿宋_GB2312"/>
          <w:sz w:val="32"/>
          <w:szCs w:val="32"/>
          <w:lang w:eastAsia="zh-CN"/>
        </w:rPr>
        <w:t>）</w:t>
      </w:r>
      <w:r>
        <w:rPr>
          <w:rFonts w:hint="eastAsia" w:ascii="仿宋_GB2312" w:eastAsia="仿宋_GB2312"/>
          <w:sz w:val="32"/>
          <w:szCs w:val="32"/>
        </w:rPr>
        <w:t>基本医疗保险缴费经费，未参加医疗保险的行政单位的公费医疗经费，按国家规定享受离休人员、红军老战士待遇人员的医疗经费。</w:t>
      </w:r>
    </w:p>
    <w:p w14:paraId="0A04882E">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.卫生健康（类）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事业单位医疗</w:t>
      </w:r>
      <w:r>
        <w:rPr>
          <w:rFonts w:hint="eastAsia" w:ascii="仿宋_GB2312" w:eastAsia="仿宋_GB2312"/>
          <w:sz w:val="32"/>
          <w:szCs w:val="32"/>
        </w:rPr>
        <w:t>（项）</w:t>
      </w:r>
      <w:r>
        <w:rPr>
          <w:rFonts w:hint="eastAsia" w:ascii="仿宋_GB2312" w:eastAsia="仿宋_GB2312"/>
          <w:sz w:val="32"/>
          <w:szCs w:val="32"/>
          <w:lang w:eastAsia="zh-CN"/>
        </w:rPr>
        <w:t>：</w:t>
      </w:r>
      <w:r>
        <w:rPr>
          <w:rFonts w:hint="eastAsia" w:ascii="仿宋_GB2312" w:eastAsia="仿宋_GB2312"/>
          <w:sz w:val="32"/>
          <w:szCs w:val="32"/>
          <w:lang w:val="en-US" w:eastAsia="zh-CN"/>
        </w:rPr>
        <w:t>指</w:t>
      </w:r>
      <w:r>
        <w:rPr>
          <w:rFonts w:hint="eastAsia" w:ascii="仿宋_GB2312" w:eastAsia="仿宋_GB2312"/>
          <w:sz w:val="32"/>
          <w:szCs w:val="32"/>
        </w:rPr>
        <w:t>反映财政部门安排的事业单位基本医疗保险缴费经费，未参加医疗保险的事业单位的公费医疗经费，按国家规定享受离休人员待遇的医疗经费。</w:t>
      </w:r>
    </w:p>
    <w:p w14:paraId="48594A12">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lang w:val="en-US"/>
        </w:rPr>
      </w:pPr>
      <w:r>
        <w:rPr>
          <w:rFonts w:hint="eastAsia" w:ascii="仿宋_GB2312" w:eastAsia="仿宋_GB2312"/>
          <w:sz w:val="32"/>
          <w:szCs w:val="32"/>
          <w:lang w:val="en-US" w:eastAsia="zh-CN"/>
        </w:rPr>
        <w:t>8</w:t>
      </w:r>
      <w:r>
        <w:rPr>
          <w:rFonts w:hint="eastAsia" w:ascii="仿宋_GB2312" w:eastAsia="仿宋_GB2312"/>
          <w:sz w:val="32"/>
          <w:szCs w:val="32"/>
          <w:lang w:val="en-US"/>
        </w:rPr>
        <w:t>.农林水（类）农业农村（款）事业运行（项）</w:t>
      </w:r>
      <w:r>
        <w:rPr>
          <w:rFonts w:hint="eastAsia" w:ascii="仿宋_GB2312" w:eastAsia="仿宋_GB2312"/>
          <w:sz w:val="32"/>
          <w:szCs w:val="32"/>
          <w:lang w:val="en-US" w:eastAsia="zh-CN"/>
        </w:rPr>
        <w:t>：指</w:t>
      </w:r>
      <w:r>
        <w:rPr>
          <w:rFonts w:hint="eastAsia" w:ascii="仿宋_GB2312" w:eastAsia="仿宋_GB2312"/>
          <w:sz w:val="32"/>
          <w:szCs w:val="32"/>
          <w:lang w:val="en-US"/>
        </w:rPr>
        <w:t>反映用于农业事业单位基本支出，事业单位设施、系统运行与资产维护等方面的支出。</w:t>
      </w:r>
    </w:p>
    <w:p w14:paraId="31A01E79">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lang w:val="en-US"/>
        </w:rPr>
      </w:pPr>
      <w:r>
        <w:rPr>
          <w:rFonts w:hint="eastAsia" w:ascii="仿宋_GB2312" w:eastAsia="仿宋_GB2312"/>
          <w:sz w:val="32"/>
          <w:szCs w:val="32"/>
          <w:lang w:val="en-US" w:eastAsia="zh-CN"/>
        </w:rPr>
        <w:t>9</w:t>
      </w:r>
      <w:r>
        <w:rPr>
          <w:rFonts w:hint="eastAsia" w:ascii="仿宋_GB2312" w:eastAsia="仿宋_GB2312"/>
          <w:sz w:val="32"/>
          <w:szCs w:val="32"/>
          <w:lang w:val="en-US"/>
        </w:rPr>
        <w:t>.农林水（类）农村综合改革（款）对村民委员会和村党支部的补助（项）</w:t>
      </w:r>
      <w:r>
        <w:rPr>
          <w:rFonts w:hint="eastAsia" w:ascii="仿宋_GB2312" w:eastAsia="仿宋_GB2312"/>
          <w:sz w:val="32"/>
          <w:szCs w:val="32"/>
          <w:lang w:val="en-US" w:eastAsia="zh-CN"/>
        </w:rPr>
        <w:t>：指</w:t>
      </w:r>
      <w:r>
        <w:rPr>
          <w:rFonts w:hint="eastAsia" w:ascii="仿宋_GB2312" w:eastAsia="仿宋_GB2312"/>
          <w:sz w:val="32"/>
          <w:szCs w:val="32"/>
          <w:lang w:val="en-US"/>
        </w:rPr>
        <w:t>反映各级财政对村民委员会和村党支部的补助支出，以及支持建立县级基本财力保障机制安排的村级组织运转奖补资金。</w:t>
      </w:r>
    </w:p>
    <w:p w14:paraId="35462FAD">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lang w:val="en-US"/>
        </w:rPr>
      </w:pPr>
      <w:r>
        <w:rPr>
          <w:rFonts w:hint="eastAsia" w:ascii="仿宋_GB2312" w:eastAsia="仿宋_GB2312"/>
          <w:sz w:val="32"/>
          <w:szCs w:val="32"/>
          <w:lang w:val="en-US" w:eastAsia="zh-CN"/>
        </w:rPr>
        <w:t>10</w:t>
      </w:r>
      <w:r>
        <w:rPr>
          <w:rFonts w:hint="eastAsia" w:ascii="仿宋_GB2312" w:eastAsia="仿宋_GB2312"/>
          <w:sz w:val="32"/>
          <w:szCs w:val="32"/>
          <w:lang w:val="en-US"/>
        </w:rPr>
        <w:t>.住房保障（类）住房改革（款）住房公积金（项）：指反映行政事业单位按人力资源和社会保障部、财政部规定的基本工资和津贴补贴以及规定比例为职工缴纳的住房公积金。</w:t>
      </w:r>
    </w:p>
    <w:p w14:paraId="5329DFF4">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lang w:val="en-US"/>
        </w:rPr>
      </w:pPr>
      <w:r>
        <w:rPr>
          <w:rFonts w:hint="eastAsia" w:ascii="仿宋_GB2312" w:eastAsia="仿宋_GB2312"/>
          <w:sz w:val="32"/>
          <w:szCs w:val="32"/>
          <w:lang w:val="en-US" w:eastAsia="zh-CN"/>
        </w:rPr>
        <w:t>11.</w:t>
      </w:r>
      <w:r>
        <w:rPr>
          <w:rFonts w:hint="eastAsia" w:ascii="仿宋_GB2312" w:eastAsia="仿宋_GB2312"/>
          <w:sz w:val="32"/>
          <w:szCs w:val="32"/>
          <w:lang w:val="en-US"/>
        </w:rPr>
        <w:t>国有资本经营预算（类）解决历史遗留问题及改革成本（款）  国有企业退休人员社会化管理补助支出（项）：指反映用国有资本经营预算收</w:t>
      </w:r>
      <w:r>
        <w:rPr>
          <w:rFonts w:hint="eastAsia" w:ascii="仿宋_GB2312" w:eastAsia="仿宋_GB2312"/>
          <w:sz w:val="32"/>
          <w:szCs w:val="32"/>
          <w:lang w:val="en-US" w:eastAsia="zh-CN"/>
        </w:rPr>
        <w:t>入</w:t>
      </w:r>
      <w:r>
        <w:rPr>
          <w:rFonts w:hint="eastAsia" w:ascii="仿宋_GB2312" w:eastAsia="仿宋_GB2312"/>
          <w:sz w:val="32"/>
          <w:szCs w:val="32"/>
          <w:lang w:val="en-US"/>
        </w:rPr>
        <w:t>安排的支持国有企业退休人员移交社区实现社会化管理的支出。</w:t>
      </w:r>
    </w:p>
    <w:p w14:paraId="31914BC6">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lang w:val="en-US"/>
        </w:rPr>
      </w:pPr>
      <w:r>
        <w:rPr>
          <w:rFonts w:hint="eastAsia" w:ascii="仿宋_GB2312" w:eastAsia="仿宋_GB2312"/>
          <w:sz w:val="32"/>
          <w:szCs w:val="32"/>
          <w:lang w:val="en-US" w:eastAsia="zh-CN"/>
        </w:rPr>
        <w:t>12.</w:t>
      </w:r>
      <w:r>
        <w:rPr>
          <w:rFonts w:hint="eastAsia" w:ascii="仿宋_GB2312" w:eastAsia="仿宋_GB2312"/>
          <w:sz w:val="32"/>
          <w:szCs w:val="32"/>
          <w:lang w:val="en-US"/>
        </w:rPr>
        <w:t>其他（类）彩票公益金安排（款）用于社会福利的彩票公益金支出（项）：指用于社会福利</w:t>
      </w:r>
      <w:r>
        <w:rPr>
          <w:rFonts w:hint="eastAsia" w:ascii="仿宋_GB2312" w:eastAsia="仿宋_GB2312"/>
          <w:sz w:val="32"/>
          <w:szCs w:val="32"/>
          <w:lang w:val="en-US" w:eastAsia="zh-CN"/>
        </w:rPr>
        <w:t>和社会救助</w:t>
      </w:r>
      <w:r>
        <w:rPr>
          <w:rFonts w:hint="eastAsia" w:ascii="仿宋_GB2312" w:eastAsia="仿宋_GB2312"/>
          <w:sz w:val="32"/>
          <w:szCs w:val="32"/>
          <w:lang w:val="en-US"/>
        </w:rPr>
        <w:t>的彩票公益金支出。</w:t>
      </w:r>
    </w:p>
    <w:p w14:paraId="23C43FED">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lang w:val="en-US"/>
        </w:rPr>
      </w:pPr>
      <w:r>
        <w:rPr>
          <w:rFonts w:hint="eastAsia" w:ascii="仿宋_GB2312" w:eastAsia="仿宋_GB2312"/>
          <w:sz w:val="32"/>
          <w:szCs w:val="32"/>
          <w:lang w:val="en-US" w:eastAsia="zh-CN"/>
        </w:rPr>
        <w:t>13</w:t>
      </w:r>
      <w:r>
        <w:rPr>
          <w:rFonts w:hint="eastAsia" w:ascii="仿宋_GB2312" w:eastAsia="仿宋_GB2312"/>
          <w:sz w:val="32"/>
          <w:szCs w:val="32"/>
          <w:lang w:val="en-US"/>
        </w:rPr>
        <w:t>.基本支出：指为保障机构正常运转、完成日常工作任务而发生的人员支出和公用支出。</w:t>
      </w:r>
    </w:p>
    <w:p w14:paraId="00D9CCCC">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lang w:val="en-US"/>
        </w:rPr>
      </w:pPr>
      <w:r>
        <w:rPr>
          <w:rFonts w:hint="eastAsia" w:ascii="仿宋_GB2312" w:eastAsia="仿宋_GB2312"/>
          <w:sz w:val="32"/>
          <w:szCs w:val="32"/>
          <w:lang w:val="en-US" w:eastAsia="zh-CN"/>
        </w:rPr>
        <w:t>14</w:t>
      </w:r>
      <w:r>
        <w:rPr>
          <w:rFonts w:hint="eastAsia" w:ascii="仿宋_GB2312" w:eastAsia="仿宋_GB2312"/>
          <w:sz w:val="32"/>
          <w:szCs w:val="32"/>
          <w:lang w:val="en-US"/>
        </w:rPr>
        <w:t xml:space="preserve">.项目支出：指在基本支出之外为完成特定行政任务和事业发展目标所发生的支出。 </w:t>
      </w:r>
    </w:p>
    <w:p w14:paraId="429E2DF3">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lang w:val="en-US"/>
        </w:rPr>
      </w:pPr>
      <w:r>
        <w:rPr>
          <w:rFonts w:hint="eastAsia" w:ascii="仿宋_GB2312" w:eastAsia="仿宋_GB2312"/>
          <w:sz w:val="32"/>
          <w:szCs w:val="32"/>
          <w:lang w:val="en-US" w:eastAsia="zh-CN"/>
        </w:rPr>
        <w:t>15</w:t>
      </w:r>
      <w:r>
        <w:rPr>
          <w:rFonts w:hint="eastAsia" w:ascii="仿宋_GB2312" w:eastAsia="仿宋_GB2312"/>
          <w:sz w:val="32"/>
          <w:szCs w:val="32"/>
          <w:lang w:val="en-US"/>
        </w:rPr>
        <w:t>.</w:t>
      </w:r>
      <w:r>
        <w:rPr>
          <w:rFonts w:hint="default" w:ascii="仿宋_GB2312" w:eastAsia="仿宋_GB2312"/>
          <w:sz w:val="32"/>
          <w:szCs w:val="32"/>
          <w:lang w:val="en-US"/>
        </w:rPr>
        <w:t>“</w:t>
      </w:r>
      <w:r>
        <w:rPr>
          <w:rFonts w:hint="eastAsia" w:ascii="仿宋_GB2312" w:eastAsia="仿宋_GB2312"/>
          <w:sz w:val="32"/>
          <w:szCs w:val="32"/>
          <w:lang w:val="en-US"/>
        </w:rPr>
        <w:t>三公</w:t>
      </w:r>
      <w:r>
        <w:rPr>
          <w:rFonts w:hint="default" w:ascii="仿宋_GB2312" w:eastAsia="仿宋_GB2312"/>
          <w:sz w:val="32"/>
          <w:szCs w:val="32"/>
          <w:lang w:val="en-US"/>
        </w:rPr>
        <w:t>”</w:t>
      </w:r>
      <w:r>
        <w:rPr>
          <w:rFonts w:hint="eastAsia" w:ascii="仿宋_GB2312" w:eastAsia="仿宋_GB2312"/>
          <w:sz w:val="32"/>
          <w:szCs w:val="32"/>
          <w:lang w:val="en-US"/>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1545E01">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lang w:val="en-US"/>
        </w:rPr>
      </w:pPr>
      <w:r>
        <w:rPr>
          <w:rFonts w:hint="eastAsia" w:ascii="仿宋_GB2312" w:eastAsia="仿宋_GB2312"/>
          <w:sz w:val="32"/>
          <w:szCs w:val="32"/>
          <w:lang w:val="en-US" w:eastAsia="zh-CN"/>
        </w:rPr>
        <w:t>16</w:t>
      </w:r>
      <w:r>
        <w:rPr>
          <w:rFonts w:hint="eastAsia" w:ascii="仿宋_GB2312" w:eastAsia="仿宋_GB2312"/>
          <w:sz w:val="32"/>
          <w:szCs w:val="32"/>
          <w:lang w:val="en-US"/>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CEA5D31">
      <w:pPr>
        <w:keepNext w:val="0"/>
        <w:keepLines w:val="0"/>
        <w:pageBreakBefore w:val="0"/>
        <w:widowControl w:val="0"/>
        <w:kinsoku/>
        <w:wordWrap/>
        <w:overflowPunct/>
        <w:topLinePunct/>
        <w:autoSpaceDE/>
        <w:autoSpaceDN/>
        <w:bidi w:val="0"/>
        <w:spacing w:line="560" w:lineRule="exact"/>
        <w:ind w:firstLine="643" w:firstLineChars="200"/>
        <w:textAlignment w:val="auto"/>
        <w:rPr>
          <w:rFonts w:ascii="仿宋" w:hAnsi="仿宋" w:eastAsia="仿宋"/>
          <w:b/>
          <w:sz w:val="32"/>
          <w:szCs w:val="32"/>
        </w:rPr>
      </w:pPr>
      <w:r>
        <w:rPr>
          <w:rFonts w:ascii="仿宋" w:hAnsi="仿宋" w:eastAsia="仿宋"/>
          <w:b/>
          <w:sz w:val="32"/>
          <w:szCs w:val="32"/>
        </w:rPr>
        <w:br w:type="page"/>
      </w:r>
    </w:p>
    <w:p w14:paraId="45B4DA73">
      <w:pPr>
        <w:pStyle w:val="4"/>
        <w:keepNext w:val="0"/>
        <w:keepLines w:val="0"/>
        <w:pageBreakBefore w:val="0"/>
        <w:widowControl w:val="0"/>
        <w:kinsoku/>
        <w:wordWrap/>
        <w:overflowPunct/>
        <w:topLinePunct/>
        <w:autoSpaceDE/>
        <w:autoSpaceDN/>
        <w:bidi w:val="0"/>
        <w:spacing w:before="0" w:after="0" w:line="560" w:lineRule="exact"/>
        <w:ind w:firstLine="880" w:firstLineChars="200"/>
        <w:jc w:val="center"/>
        <w:textAlignment w:val="auto"/>
        <w:rPr>
          <w:rFonts w:ascii="黑体" w:hAnsi="黑体" w:eastAsia="黑体"/>
          <w:b w:val="0"/>
        </w:rPr>
      </w:pPr>
      <w:bookmarkStart w:id="87" w:name="_Toc32176"/>
      <w:bookmarkStart w:id="88" w:name="_Toc21729"/>
      <w:r>
        <w:rPr>
          <w:rFonts w:hint="eastAsia" w:ascii="黑体" w:hAnsi="黑体" w:eastAsia="黑体"/>
          <w:b w:val="0"/>
        </w:rPr>
        <w:t>第四部分 附件</w:t>
      </w:r>
      <w:bookmarkEnd w:id="87"/>
      <w:bookmarkEnd w:id="88"/>
    </w:p>
    <w:p w14:paraId="3A8FBC30">
      <w:pPr>
        <w:keepNext w:val="0"/>
        <w:keepLines w:val="0"/>
        <w:pageBreakBefore w:val="0"/>
        <w:widowControl w:val="0"/>
        <w:kinsoku/>
        <w:wordWrap/>
        <w:overflowPunct/>
        <w:topLinePunct/>
        <w:autoSpaceDE/>
        <w:autoSpaceDN/>
        <w:bidi w:val="0"/>
        <w:spacing w:line="560" w:lineRule="exact"/>
        <w:ind w:firstLine="420" w:firstLineChars="200"/>
        <w:textAlignment w:val="auto"/>
      </w:pPr>
    </w:p>
    <w:p w14:paraId="43580621">
      <w:pPr>
        <w:keepNext w:val="0"/>
        <w:keepLines w:val="0"/>
        <w:pageBreakBefore w:val="0"/>
        <w:widowControl w:val="0"/>
        <w:kinsoku/>
        <w:wordWrap/>
        <w:overflowPunct/>
        <w:topLinePunct/>
        <w:autoSpaceDE/>
        <w:autoSpaceDN/>
        <w:bidi w:val="0"/>
        <w:spacing w:line="560" w:lineRule="exact"/>
        <w:textAlignment w:val="auto"/>
        <w:outlineLvl w:val="1"/>
        <w:rPr>
          <w:rFonts w:ascii="黑体" w:hAnsi="黑体" w:eastAsia="黑体"/>
          <w:sz w:val="32"/>
          <w:szCs w:val="32"/>
        </w:rPr>
      </w:pPr>
      <w:bookmarkStart w:id="89" w:name="_Toc19109"/>
      <w:bookmarkStart w:id="90" w:name="_Toc10217"/>
      <w:r>
        <w:rPr>
          <w:rFonts w:hint="eastAsia" w:ascii="黑体" w:hAnsi="黑体" w:eastAsia="黑体"/>
          <w:sz w:val="32"/>
          <w:szCs w:val="32"/>
        </w:rPr>
        <w:t>附件1</w:t>
      </w:r>
      <w:bookmarkEnd w:id="89"/>
      <w:bookmarkEnd w:id="90"/>
    </w:p>
    <w:p w14:paraId="42E65B38">
      <w:pPr>
        <w:keepNext w:val="0"/>
        <w:keepLines w:val="0"/>
        <w:pageBreakBefore w:val="0"/>
        <w:widowControl w:val="0"/>
        <w:kinsoku/>
        <w:wordWrap/>
        <w:overflowPunct/>
        <w:topLinePunct/>
        <w:autoSpaceDE/>
        <w:autoSpaceDN/>
        <w:bidi w:val="0"/>
        <w:adjustRightInd/>
        <w:snapToGrid/>
        <w:spacing w:line="560" w:lineRule="exact"/>
        <w:ind w:firstLine="0" w:firstLineChars="0"/>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部门预算绩效评价报告</w:t>
      </w:r>
    </w:p>
    <w:p w14:paraId="0510C0C7">
      <w:pPr>
        <w:keepNext w:val="0"/>
        <w:keepLines w:val="0"/>
        <w:pageBreakBefore w:val="0"/>
        <w:widowControl w:val="0"/>
        <w:kinsoku/>
        <w:wordWrap/>
        <w:overflowPunct/>
        <w:topLinePunct/>
        <w:autoSpaceDE/>
        <w:autoSpaceDN/>
        <w:bidi w:val="0"/>
        <w:spacing w:line="560" w:lineRule="exact"/>
        <w:ind w:firstLine="420" w:firstLineChars="200"/>
        <w:textAlignment w:val="auto"/>
      </w:pPr>
    </w:p>
    <w:p w14:paraId="0F70F9C8">
      <w:pPr>
        <w:keepNext w:val="0"/>
        <w:keepLines w:val="0"/>
        <w:pageBreakBefore w:val="0"/>
        <w:widowControl w:val="0"/>
        <w:kinsoku/>
        <w:wordWrap/>
        <w:overflowPunct/>
        <w:topLinePunct/>
        <w:autoSpaceDE/>
        <w:autoSpaceDN/>
        <w:bidi w:val="0"/>
        <w:spacing w:line="560" w:lineRule="exact"/>
        <w:ind w:firstLine="640" w:firstLineChars="200"/>
        <w:textAlignment w:val="auto"/>
        <w:outlineLvl w:val="1"/>
        <w:rPr>
          <w:rFonts w:ascii="黑体" w:hAnsi="黑体" w:eastAsia="黑体"/>
          <w:sz w:val="32"/>
          <w:szCs w:val="32"/>
        </w:rPr>
      </w:pPr>
      <w:bookmarkStart w:id="91" w:name="_Toc26803"/>
      <w:bookmarkStart w:id="92" w:name="_Toc20544"/>
      <w:bookmarkStart w:id="93" w:name="_Toc21267"/>
      <w:r>
        <w:rPr>
          <w:rFonts w:hint="eastAsia" w:ascii="黑体" w:hAnsi="黑体" w:eastAsia="黑体"/>
          <w:sz w:val="32"/>
          <w:szCs w:val="32"/>
        </w:rPr>
        <w:t>一、部门（单位）基本情况</w:t>
      </w:r>
      <w:bookmarkEnd w:id="91"/>
      <w:bookmarkEnd w:id="92"/>
      <w:bookmarkEnd w:id="93"/>
    </w:p>
    <w:p w14:paraId="18FE0822">
      <w:pPr>
        <w:keepNext w:val="0"/>
        <w:keepLines w:val="0"/>
        <w:pageBreakBefore w:val="0"/>
        <w:widowControl w:val="0"/>
        <w:kinsoku/>
        <w:wordWrap/>
        <w:overflowPunct/>
        <w:topLinePunct/>
        <w:autoSpaceDE/>
        <w:autoSpaceDN/>
        <w:bidi w:val="0"/>
        <w:adjustRightInd w:val="0"/>
        <w:snapToGrid w:val="0"/>
        <w:spacing w:line="560" w:lineRule="exact"/>
        <w:ind w:left="0" w:leftChars="0" w:right="0" w:firstLine="643" w:firstLineChars="200"/>
        <w:contextualSpacing/>
        <w:jc w:val="left"/>
        <w:textAlignment w:val="auto"/>
        <w:outlineLvl w:val="9"/>
        <w:rPr>
          <w:rFonts w:ascii="仿宋_GB2312" w:eastAsia="仿宋_GB2312"/>
          <w:sz w:val="32"/>
          <w:szCs w:val="32"/>
        </w:rPr>
      </w:pPr>
      <w:r>
        <w:rPr>
          <w:rFonts w:hint="eastAsia" w:ascii="楷体_GB2312" w:eastAsia="楷体_GB2312"/>
          <w:b/>
          <w:sz w:val="32"/>
          <w:szCs w:val="32"/>
        </w:rPr>
        <w:t>（一）机构组成。</w:t>
      </w:r>
      <w:r>
        <w:rPr>
          <w:rFonts w:hint="eastAsia" w:ascii="仿宋" w:hAnsi="仿宋" w:eastAsia="仿宋" w:cs="仿宋"/>
          <w:color w:val="000000"/>
          <w:kern w:val="0"/>
          <w:sz w:val="32"/>
          <w:szCs w:val="32"/>
          <w:shd w:val="clear" w:color="auto" w:fill="FFFFFF"/>
          <w:lang w:val="zh-CN"/>
        </w:rPr>
        <w:t>新盛镇人民政府依照法律和组织部门规定，设党委、人大、政府和业务对口部门，群团组织按章程选举产生。</w:t>
      </w:r>
    </w:p>
    <w:p w14:paraId="2DE52C39">
      <w:pPr>
        <w:pStyle w:val="8"/>
        <w:keepNext w:val="0"/>
        <w:keepLines w:val="0"/>
        <w:pageBreakBefore w:val="0"/>
        <w:widowControl w:val="0"/>
        <w:kinsoku/>
        <w:wordWrap/>
        <w:overflowPunct/>
        <w:topLinePunct/>
        <w:autoSpaceDE/>
        <w:autoSpaceDN/>
        <w:bidi w:val="0"/>
        <w:adjustRightInd w:val="0"/>
        <w:snapToGrid w:val="0"/>
        <w:spacing w:beforeLines="0" w:line="560" w:lineRule="exact"/>
        <w:ind w:left="0" w:leftChars="0" w:right="0" w:firstLine="643" w:firstLineChars="200"/>
        <w:textAlignment w:val="auto"/>
        <w:outlineLvl w:val="9"/>
        <w:rPr>
          <w:rFonts w:hint="eastAsia" w:ascii="楷体_GB2312" w:eastAsia="楷体_GB2312"/>
          <w:b/>
          <w:sz w:val="32"/>
          <w:szCs w:val="32"/>
        </w:rPr>
      </w:pPr>
      <w:r>
        <w:rPr>
          <w:rFonts w:hint="eastAsia" w:ascii="楷体_GB2312" w:eastAsia="楷体_GB2312"/>
          <w:b/>
          <w:sz w:val="32"/>
          <w:szCs w:val="32"/>
        </w:rPr>
        <w:t>（二）机构职能。</w:t>
      </w:r>
    </w:p>
    <w:p w14:paraId="18E7F651">
      <w:pPr>
        <w:pStyle w:val="8"/>
        <w:keepNext w:val="0"/>
        <w:keepLines w:val="0"/>
        <w:pageBreakBefore w:val="0"/>
        <w:widowControl w:val="0"/>
        <w:kinsoku/>
        <w:wordWrap/>
        <w:overflowPunct/>
        <w:topLinePunct/>
        <w:autoSpaceDE/>
        <w:autoSpaceDN/>
        <w:bidi w:val="0"/>
        <w:adjustRightInd w:val="0"/>
        <w:snapToGrid w:val="0"/>
        <w:spacing w:beforeLines="0" w:line="560" w:lineRule="exact"/>
        <w:ind w:left="0" w:leftChars="0" w:right="0" w:firstLine="640" w:firstLineChars="200"/>
        <w:textAlignment w:val="auto"/>
        <w:outlineLvl w:val="9"/>
        <w:rPr>
          <w:rFonts w:hint="eastAsia" w:ascii="仿宋" w:hAnsi="仿宋" w:eastAsia="仿宋" w:cs="仿宋"/>
          <w:color w:val="000000"/>
          <w:kern w:val="0"/>
          <w:sz w:val="32"/>
          <w:szCs w:val="32"/>
          <w:shd w:val="clear" w:color="auto" w:fill="FFFFFF"/>
          <w:lang w:val="zh-CN" w:eastAsia="zh-CN" w:bidi="ar-SA"/>
        </w:rPr>
      </w:pPr>
      <w:r>
        <w:rPr>
          <w:rFonts w:hint="eastAsia" w:ascii="仿宋" w:hAnsi="仿宋" w:eastAsia="仿宋" w:cs="仿宋"/>
          <w:color w:val="000000"/>
          <w:kern w:val="0"/>
          <w:sz w:val="32"/>
          <w:szCs w:val="32"/>
          <w:shd w:val="clear" w:color="auto" w:fill="FFFFFF"/>
          <w:lang w:val="zh-CN" w:eastAsia="zh-CN" w:bidi="ar-SA"/>
        </w:rPr>
        <w:t>（1）贯彻执行党和国家的路线方针政策和上级党委、政府各项决策部署，以及本级党员代表大会（党员大会）、人民代表大会的决议决定。讨论决定本乡镇党的建设和经济社会发展中的重大问题。</w:t>
      </w:r>
    </w:p>
    <w:p w14:paraId="759A3281">
      <w:pPr>
        <w:pStyle w:val="8"/>
        <w:keepNext w:val="0"/>
        <w:keepLines w:val="0"/>
        <w:pageBreakBefore w:val="0"/>
        <w:widowControl w:val="0"/>
        <w:kinsoku/>
        <w:wordWrap/>
        <w:overflowPunct/>
        <w:topLinePunct/>
        <w:autoSpaceDE/>
        <w:autoSpaceDN/>
        <w:bidi w:val="0"/>
        <w:adjustRightInd w:val="0"/>
        <w:snapToGrid w:val="0"/>
        <w:spacing w:beforeLines="0" w:line="560" w:lineRule="exact"/>
        <w:ind w:left="0" w:leftChars="0" w:right="0" w:firstLine="640" w:firstLineChars="200"/>
        <w:textAlignment w:val="auto"/>
        <w:outlineLvl w:val="9"/>
        <w:rPr>
          <w:rFonts w:hint="eastAsia" w:ascii="仿宋" w:hAnsi="仿宋" w:eastAsia="仿宋" w:cs="仿宋"/>
          <w:color w:val="000000"/>
          <w:kern w:val="0"/>
          <w:sz w:val="32"/>
          <w:szCs w:val="32"/>
          <w:shd w:val="clear" w:color="auto" w:fill="FFFFFF"/>
          <w:lang w:val="zh-CN" w:eastAsia="zh-CN" w:bidi="ar-SA"/>
        </w:rPr>
      </w:pPr>
      <w:r>
        <w:rPr>
          <w:rFonts w:hint="eastAsia" w:ascii="仿宋" w:hAnsi="仿宋" w:eastAsia="仿宋" w:cs="仿宋"/>
          <w:color w:val="000000"/>
          <w:kern w:val="0"/>
          <w:sz w:val="32"/>
          <w:szCs w:val="32"/>
          <w:shd w:val="clear" w:color="auto" w:fill="FFFFFF"/>
          <w:lang w:val="zh-CN" w:eastAsia="zh-CN" w:bidi="ar-SA"/>
        </w:rPr>
        <w:t>（2）加强党的建设。坚持全面从严治党，落实管党治党主体责任，全面加强党的政治建设、思想建设、组织建设、作风建设、廉政建设、制度建设等工作。</w:t>
      </w:r>
    </w:p>
    <w:p w14:paraId="45004E62">
      <w:pPr>
        <w:pStyle w:val="8"/>
        <w:keepNext w:val="0"/>
        <w:keepLines w:val="0"/>
        <w:pageBreakBefore w:val="0"/>
        <w:widowControl w:val="0"/>
        <w:kinsoku/>
        <w:wordWrap/>
        <w:overflowPunct/>
        <w:topLinePunct/>
        <w:autoSpaceDE/>
        <w:autoSpaceDN/>
        <w:bidi w:val="0"/>
        <w:adjustRightInd w:val="0"/>
        <w:snapToGrid w:val="0"/>
        <w:spacing w:beforeLines="0" w:line="560" w:lineRule="exact"/>
        <w:ind w:left="0" w:leftChars="0" w:right="0" w:firstLine="640" w:firstLineChars="200"/>
        <w:textAlignment w:val="auto"/>
        <w:outlineLvl w:val="9"/>
        <w:rPr>
          <w:rFonts w:hint="eastAsia" w:ascii="仿宋" w:hAnsi="仿宋" w:eastAsia="仿宋" w:cs="仿宋"/>
          <w:color w:val="000000"/>
          <w:kern w:val="0"/>
          <w:sz w:val="32"/>
          <w:szCs w:val="32"/>
          <w:shd w:val="clear" w:color="auto" w:fill="FFFFFF"/>
          <w:lang w:val="zh-CN" w:eastAsia="zh-CN" w:bidi="ar-SA"/>
        </w:rPr>
      </w:pPr>
      <w:r>
        <w:rPr>
          <w:rFonts w:hint="eastAsia" w:ascii="仿宋" w:hAnsi="仿宋" w:eastAsia="仿宋" w:cs="仿宋"/>
          <w:color w:val="000000"/>
          <w:kern w:val="0"/>
          <w:sz w:val="32"/>
          <w:szCs w:val="32"/>
          <w:shd w:val="clear" w:color="auto" w:fill="FFFFFF"/>
          <w:lang w:val="zh-CN" w:eastAsia="zh-CN" w:bidi="ar-SA"/>
        </w:rPr>
        <w:t>（3）统筹区域发展。落实关于辖区发展的重大决策，制定辖区经济和社会发展规划、公共服务设施布局，负责乡村振兴工作，推动辖区经济社会健康、有序、可持续发展。</w:t>
      </w:r>
    </w:p>
    <w:p w14:paraId="7DD408E8">
      <w:pPr>
        <w:keepNext w:val="0"/>
        <w:keepLines w:val="0"/>
        <w:pageBreakBefore w:val="0"/>
        <w:widowControl w:val="0"/>
        <w:kinsoku/>
        <w:wordWrap/>
        <w:overflowPunct/>
        <w:topLinePunct/>
        <w:autoSpaceDE/>
        <w:autoSpaceDN/>
        <w:bidi w:val="0"/>
        <w:adjustRightInd w:val="0"/>
        <w:snapToGrid w:val="0"/>
        <w:spacing w:line="560" w:lineRule="exact"/>
        <w:ind w:left="0" w:leftChars="0" w:right="0" w:firstLine="640" w:firstLineChars="200"/>
        <w:contextualSpacing/>
        <w:jc w:val="left"/>
        <w:textAlignment w:val="auto"/>
        <w:outlineLvl w:val="9"/>
        <w:rPr>
          <w:rFonts w:hint="eastAsia" w:ascii="仿宋" w:hAnsi="仿宋" w:eastAsia="仿宋" w:cs="仿宋"/>
          <w:color w:val="000000"/>
          <w:kern w:val="0"/>
          <w:sz w:val="32"/>
          <w:szCs w:val="32"/>
          <w:shd w:val="clear" w:color="auto" w:fill="FFFFFF"/>
          <w:lang w:val="zh-CN" w:eastAsia="zh-CN" w:bidi="ar-SA"/>
        </w:rPr>
      </w:pPr>
      <w:r>
        <w:rPr>
          <w:rFonts w:hint="eastAsia" w:ascii="仿宋" w:hAnsi="仿宋" w:eastAsia="仿宋" w:cs="仿宋"/>
          <w:color w:val="000000"/>
          <w:kern w:val="0"/>
          <w:sz w:val="32"/>
          <w:szCs w:val="32"/>
          <w:shd w:val="clear" w:color="auto" w:fill="FFFFFF"/>
          <w:lang w:val="zh-CN" w:eastAsia="zh-CN" w:bidi="ar-SA"/>
        </w:rPr>
        <w:t>（4）强化基层治理。负责本辖区社会治理，指导村（居）委会建设，健全自治平台，组织群众和单位参与村（居）委会建设和管理。负责统筹协调辖区内依法授权或委托授权的行政执法工作。</w:t>
      </w:r>
    </w:p>
    <w:p w14:paraId="12144975">
      <w:pPr>
        <w:pStyle w:val="8"/>
        <w:keepNext w:val="0"/>
        <w:keepLines w:val="0"/>
        <w:pageBreakBefore w:val="0"/>
        <w:widowControl w:val="0"/>
        <w:kinsoku/>
        <w:wordWrap/>
        <w:overflowPunct/>
        <w:topLinePunct/>
        <w:autoSpaceDE/>
        <w:autoSpaceDN/>
        <w:bidi w:val="0"/>
        <w:adjustRightInd w:val="0"/>
        <w:snapToGrid w:val="0"/>
        <w:spacing w:beforeLines="0" w:line="560" w:lineRule="exact"/>
        <w:ind w:left="0" w:leftChars="0" w:right="0" w:firstLine="640" w:firstLineChars="200"/>
        <w:textAlignment w:val="auto"/>
        <w:outlineLvl w:val="9"/>
        <w:rPr>
          <w:rFonts w:hint="eastAsia" w:ascii="仿宋" w:hAnsi="仿宋" w:eastAsia="仿宋" w:cs="仿宋"/>
          <w:color w:val="000000"/>
          <w:kern w:val="0"/>
          <w:sz w:val="32"/>
          <w:szCs w:val="32"/>
          <w:shd w:val="clear" w:color="auto" w:fill="FFFFFF"/>
          <w:lang w:val="zh-CN" w:eastAsia="zh-CN" w:bidi="ar-SA"/>
        </w:rPr>
      </w:pPr>
      <w:r>
        <w:rPr>
          <w:rFonts w:hint="eastAsia" w:ascii="仿宋" w:hAnsi="仿宋" w:eastAsia="仿宋" w:cs="仿宋"/>
          <w:color w:val="000000"/>
          <w:kern w:val="0"/>
          <w:sz w:val="32"/>
          <w:szCs w:val="32"/>
          <w:shd w:val="clear" w:color="auto" w:fill="FFFFFF"/>
          <w:lang w:val="zh-CN" w:eastAsia="zh-CN" w:bidi="ar-SA"/>
        </w:rPr>
        <w:t>（5）优化公共服务。推进服务型政府建设，组织实施并优化教育、卫生健康、文化、民政、劳动社会保障、退役军人事务等各项公共服务。</w:t>
      </w:r>
    </w:p>
    <w:p w14:paraId="46C06F2A">
      <w:pPr>
        <w:pStyle w:val="8"/>
        <w:keepNext w:val="0"/>
        <w:keepLines w:val="0"/>
        <w:pageBreakBefore w:val="0"/>
        <w:widowControl w:val="0"/>
        <w:kinsoku/>
        <w:wordWrap/>
        <w:overflowPunct/>
        <w:topLinePunct/>
        <w:autoSpaceDE/>
        <w:autoSpaceDN/>
        <w:bidi w:val="0"/>
        <w:adjustRightInd w:val="0"/>
        <w:snapToGrid w:val="0"/>
        <w:spacing w:beforeLines="0" w:line="560" w:lineRule="exact"/>
        <w:ind w:left="0" w:leftChars="0" w:right="0" w:firstLine="640" w:firstLineChars="200"/>
        <w:textAlignment w:val="auto"/>
        <w:outlineLvl w:val="9"/>
        <w:rPr>
          <w:rFonts w:hint="eastAsia" w:ascii="仿宋" w:hAnsi="仿宋" w:eastAsia="仿宋" w:cs="仿宋"/>
          <w:color w:val="000000"/>
          <w:kern w:val="0"/>
          <w:sz w:val="32"/>
          <w:szCs w:val="32"/>
          <w:shd w:val="clear" w:color="auto" w:fill="FFFFFF"/>
          <w:lang w:val="zh-CN" w:eastAsia="zh-CN" w:bidi="ar-SA"/>
        </w:rPr>
      </w:pPr>
      <w:r>
        <w:rPr>
          <w:rFonts w:hint="eastAsia" w:ascii="仿宋" w:hAnsi="仿宋" w:eastAsia="仿宋" w:cs="仿宋"/>
          <w:color w:val="000000"/>
          <w:kern w:val="0"/>
          <w:sz w:val="32"/>
          <w:szCs w:val="32"/>
          <w:shd w:val="clear" w:color="auto" w:fill="FFFFFF"/>
          <w:lang w:val="zh-CN" w:eastAsia="zh-CN" w:bidi="ar-SA"/>
        </w:rPr>
        <w:t>（6）负责辖区范围内的社会稳定、安全生产和职业健康、生态环境保护、社会信用体系建设和审批服务便民化等工作。</w:t>
      </w:r>
    </w:p>
    <w:p w14:paraId="5E57F406">
      <w:pPr>
        <w:keepNext w:val="0"/>
        <w:keepLines w:val="0"/>
        <w:pageBreakBefore w:val="0"/>
        <w:widowControl w:val="0"/>
        <w:kinsoku/>
        <w:wordWrap/>
        <w:overflowPunct/>
        <w:topLinePunct/>
        <w:autoSpaceDE/>
        <w:autoSpaceDN/>
        <w:bidi w:val="0"/>
        <w:spacing w:line="560" w:lineRule="exact"/>
        <w:ind w:firstLine="640" w:firstLineChars="200"/>
        <w:textAlignment w:val="auto"/>
        <w:outlineLvl w:val="9"/>
        <w:rPr>
          <w:rFonts w:ascii="楷体_GB2312" w:eastAsia="楷体_GB2312"/>
          <w:b/>
          <w:sz w:val="32"/>
          <w:szCs w:val="32"/>
        </w:rPr>
      </w:pPr>
      <w:r>
        <w:rPr>
          <w:rFonts w:hint="eastAsia" w:ascii="仿宋" w:hAnsi="仿宋" w:eastAsia="仿宋" w:cs="仿宋"/>
          <w:color w:val="000000"/>
          <w:kern w:val="0"/>
          <w:sz w:val="32"/>
          <w:szCs w:val="32"/>
          <w:shd w:val="clear" w:color="auto" w:fill="FFFFFF"/>
          <w:lang w:val="zh-CN" w:eastAsia="zh-CN" w:bidi="ar-SA"/>
        </w:rPr>
        <w:t>（7）完成区委、区政府交办的其他任务。</w:t>
      </w:r>
    </w:p>
    <w:p w14:paraId="7A5BA5F6">
      <w:pPr>
        <w:keepNext w:val="0"/>
        <w:keepLines w:val="0"/>
        <w:pageBreakBefore w:val="0"/>
        <w:widowControl w:val="0"/>
        <w:kinsoku/>
        <w:wordWrap/>
        <w:overflowPunct/>
        <w:topLinePunct/>
        <w:autoSpaceDE/>
        <w:autoSpaceDN/>
        <w:bidi w:val="0"/>
        <w:adjustRightInd/>
        <w:spacing w:after="0" w:line="560" w:lineRule="exact"/>
        <w:ind w:left="0" w:leftChars="0" w:right="0" w:firstLine="643" w:firstLineChars="200"/>
        <w:jc w:val="both"/>
        <w:textAlignment w:val="auto"/>
        <w:outlineLvl w:val="9"/>
        <w:rPr>
          <w:rFonts w:hint="eastAsia" w:ascii="仿宋" w:hAnsi="仿宋" w:eastAsia="仿宋" w:cs="仿宋"/>
          <w:sz w:val="32"/>
          <w:szCs w:val="32"/>
        </w:rPr>
      </w:pPr>
      <w:r>
        <w:rPr>
          <w:rFonts w:hint="eastAsia" w:ascii="楷体_GB2312" w:eastAsia="楷体_GB2312"/>
          <w:b/>
          <w:sz w:val="32"/>
          <w:szCs w:val="32"/>
          <w:highlight w:val="none"/>
        </w:rPr>
        <w:t>（三）人员概况。</w:t>
      </w:r>
      <w:r>
        <w:rPr>
          <w:rFonts w:hint="eastAsia" w:eastAsia="仿宋_GB2312"/>
          <w:sz w:val="32"/>
          <w:szCs w:val="32"/>
          <w:highlight w:val="none"/>
          <w:lang w:val="en-US" w:eastAsia="zh-CN"/>
        </w:rPr>
        <w:t>本</w:t>
      </w:r>
      <w:r>
        <w:rPr>
          <w:rFonts w:hint="eastAsia" w:ascii="仿宋_GB2312" w:eastAsia="仿宋_GB2312"/>
          <w:sz w:val="32"/>
          <w:szCs w:val="32"/>
          <w:highlight w:val="none"/>
        </w:rPr>
        <w:t>单位</w:t>
      </w:r>
      <w:r>
        <w:rPr>
          <w:rFonts w:hint="eastAsia" w:ascii="仿宋" w:hAnsi="仿宋" w:eastAsia="仿宋" w:cs="仿宋"/>
          <w:sz w:val="32"/>
          <w:szCs w:val="32"/>
          <w:highlight w:val="none"/>
        </w:rPr>
        <w:t>核定行政编制3</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名。其中，</w:t>
      </w:r>
      <w:r>
        <w:rPr>
          <w:rFonts w:hint="eastAsia" w:ascii="仿宋" w:hAnsi="仿宋" w:eastAsia="仿宋" w:cs="仿宋"/>
          <w:sz w:val="32"/>
          <w:szCs w:val="32"/>
        </w:rPr>
        <w:t>书记1名，副书记、镇长1名，人大主席1名</w:t>
      </w:r>
      <w:r>
        <w:rPr>
          <w:rFonts w:hint="eastAsia" w:ascii="仿宋" w:hAnsi="仿宋" w:eastAsia="仿宋" w:cs="仿宋"/>
          <w:sz w:val="32"/>
          <w:szCs w:val="32"/>
          <w:lang w:eastAsia="zh-CN"/>
        </w:rPr>
        <w:t>；</w:t>
      </w:r>
      <w:r>
        <w:rPr>
          <w:rFonts w:hint="eastAsia" w:ascii="仿宋" w:hAnsi="仿宋" w:eastAsia="仿宋" w:cs="仿宋"/>
          <w:sz w:val="32"/>
          <w:szCs w:val="32"/>
        </w:rPr>
        <w:t>副书记1名，纪委书记1名，组织委员1名，宣传统战委员兼副镇长1名，政法委员兼副镇长1名，人武部长兼副镇长1名，副镇长2名。核定股级职数19名。其中，正股级职数12名，副股级职数7名，镇纪委副书记、工会主席、团委书记、妇联主席、科协主席按正股级配备。截至2023年末，</w:t>
      </w:r>
      <w:r>
        <w:rPr>
          <w:rFonts w:hint="eastAsia" w:ascii="仿宋" w:hAnsi="仿宋" w:eastAsia="仿宋" w:cs="仿宋"/>
          <w:sz w:val="32"/>
          <w:szCs w:val="32"/>
          <w:lang w:val="en-US" w:eastAsia="zh-CN"/>
        </w:rPr>
        <w:t>本单位</w:t>
      </w:r>
      <w:r>
        <w:rPr>
          <w:rFonts w:hint="eastAsia" w:ascii="仿宋" w:hAnsi="仿宋" w:eastAsia="仿宋" w:cs="仿宋"/>
          <w:sz w:val="32"/>
          <w:szCs w:val="32"/>
        </w:rPr>
        <w:t>在编公务员29名</w:t>
      </w:r>
      <w:r>
        <w:rPr>
          <w:rFonts w:hint="eastAsia" w:ascii="仿宋" w:hAnsi="仿宋" w:eastAsia="仿宋" w:cs="仿宋"/>
          <w:sz w:val="32"/>
          <w:szCs w:val="32"/>
          <w:lang w:eastAsia="zh-CN"/>
        </w:rPr>
        <w:t>，</w:t>
      </w:r>
      <w:r>
        <w:rPr>
          <w:rFonts w:hint="eastAsia" w:ascii="仿宋" w:hAnsi="仿宋" w:eastAsia="仿宋" w:cs="仿宋"/>
          <w:sz w:val="32"/>
          <w:szCs w:val="32"/>
        </w:rPr>
        <w:t>人社局核定编外临聘3名、实有2人</w:t>
      </w:r>
      <w:r>
        <w:rPr>
          <w:rFonts w:hint="eastAsia" w:ascii="仿宋" w:hAnsi="仿宋" w:eastAsia="仿宋" w:cs="仿宋"/>
          <w:sz w:val="32"/>
          <w:szCs w:val="32"/>
          <w:lang w:eastAsia="zh-CN"/>
        </w:rPr>
        <w:t>；</w:t>
      </w:r>
      <w:r>
        <w:rPr>
          <w:rFonts w:hint="eastAsia" w:ascii="仿宋" w:hAnsi="仿宋" w:eastAsia="仿宋" w:cs="仿宋"/>
          <w:sz w:val="32"/>
          <w:szCs w:val="32"/>
        </w:rPr>
        <w:t>农村发展服务部有工作人员9人</w:t>
      </w:r>
      <w:r>
        <w:rPr>
          <w:rFonts w:hint="eastAsia" w:ascii="仿宋" w:hAnsi="仿宋" w:eastAsia="仿宋" w:cs="仿宋"/>
          <w:sz w:val="32"/>
          <w:szCs w:val="32"/>
          <w:lang w:eastAsia="zh-CN"/>
        </w:rPr>
        <w:t>；</w:t>
      </w:r>
      <w:r>
        <w:rPr>
          <w:rFonts w:hint="eastAsia" w:ascii="仿宋" w:hAnsi="仿宋" w:eastAsia="仿宋" w:cs="仿宋"/>
          <w:sz w:val="32"/>
          <w:szCs w:val="32"/>
        </w:rPr>
        <w:t>西部志愿者有1人，疫情防控社工2人</w:t>
      </w:r>
      <w:r>
        <w:rPr>
          <w:rFonts w:hint="eastAsia" w:ascii="仿宋" w:hAnsi="仿宋" w:eastAsia="仿宋" w:cs="仿宋"/>
          <w:sz w:val="32"/>
          <w:szCs w:val="32"/>
          <w:lang w:eastAsia="zh-CN"/>
        </w:rPr>
        <w:t>；</w:t>
      </w:r>
      <w:r>
        <w:rPr>
          <w:rFonts w:hint="eastAsia" w:ascii="仿宋" w:hAnsi="仿宋" w:eastAsia="仿宋" w:cs="仿宋"/>
          <w:sz w:val="32"/>
          <w:szCs w:val="32"/>
        </w:rPr>
        <w:t>禁毒委下派工作人员2人。</w:t>
      </w:r>
    </w:p>
    <w:p w14:paraId="55436D7E">
      <w:pPr>
        <w:keepNext w:val="0"/>
        <w:keepLines w:val="0"/>
        <w:pageBreakBefore w:val="0"/>
        <w:widowControl w:val="0"/>
        <w:kinsoku/>
        <w:wordWrap/>
        <w:overflowPunct/>
        <w:topLinePunct/>
        <w:autoSpaceDE/>
        <w:autoSpaceDN/>
        <w:bidi w:val="0"/>
        <w:spacing w:line="560" w:lineRule="exact"/>
        <w:ind w:firstLine="640" w:firstLineChars="200"/>
        <w:textAlignment w:val="auto"/>
        <w:outlineLvl w:val="1"/>
        <w:rPr>
          <w:rFonts w:ascii="黑体" w:hAnsi="黑体" w:eastAsia="黑体"/>
          <w:sz w:val="32"/>
          <w:szCs w:val="32"/>
        </w:rPr>
      </w:pPr>
      <w:bookmarkStart w:id="94" w:name="_Toc17284"/>
      <w:bookmarkStart w:id="95" w:name="_Toc9449"/>
      <w:bookmarkStart w:id="96" w:name="_Toc22676"/>
      <w:r>
        <w:rPr>
          <w:rFonts w:hint="eastAsia" w:ascii="黑体" w:hAnsi="黑体" w:eastAsia="黑体"/>
          <w:sz w:val="32"/>
          <w:szCs w:val="32"/>
        </w:rPr>
        <w:t>二、部门资金收支情况</w:t>
      </w:r>
      <w:bookmarkEnd w:id="94"/>
      <w:bookmarkEnd w:id="95"/>
      <w:bookmarkEnd w:id="96"/>
    </w:p>
    <w:p w14:paraId="1417B25E">
      <w:pPr>
        <w:keepNext w:val="0"/>
        <w:keepLines w:val="0"/>
        <w:pageBreakBefore w:val="0"/>
        <w:widowControl w:val="0"/>
        <w:kinsoku/>
        <w:wordWrap/>
        <w:overflowPunct/>
        <w:topLinePunct/>
        <w:autoSpaceDE/>
        <w:autoSpaceDN/>
        <w:bidi w:val="0"/>
        <w:spacing w:line="560" w:lineRule="exact"/>
        <w:ind w:firstLine="643" w:firstLineChars="200"/>
        <w:textAlignment w:val="auto"/>
        <w:rPr>
          <w:rFonts w:ascii="仿宋_GB2312" w:eastAsia="仿宋_GB2312"/>
          <w:sz w:val="32"/>
          <w:szCs w:val="32"/>
        </w:rPr>
      </w:pPr>
      <w:r>
        <w:rPr>
          <w:rFonts w:hint="eastAsia" w:ascii="楷体_GB2312" w:eastAsia="楷体_GB2312"/>
          <w:b/>
          <w:sz w:val="32"/>
          <w:szCs w:val="32"/>
        </w:rPr>
        <w:t>（一）收入情况。</w:t>
      </w:r>
      <w:r>
        <w:rPr>
          <w:rFonts w:hint="eastAsia" w:eastAsia="楷体_GB2312"/>
          <w:sz w:val="32"/>
          <w:szCs w:val="32"/>
          <w:lang w:val="en-US" w:eastAsia="zh-CN"/>
        </w:rPr>
        <w:t>本</w:t>
      </w:r>
      <w:r>
        <w:rPr>
          <w:rFonts w:hint="eastAsia" w:ascii="仿宋_GB2312" w:eastAsia="仿宋_GB2312"/>
          <w:sz w:val="32"/>
          <w:szCs w:val="32"/>
        </w:rPr>
        <w:t>单位2023年年初预算收入1795</w:t>
      </w:r>
      <w:r>
        <w:rPr>
          <w:rFonts w:hint="eastAsia" w:ascii="仿宋_GB2312" w:eastAsia="仿宋_GB2312"/>
          <w:sz w:val="32"/>
          <w:szCs w:val="32"/>
          <w:lang w:val="en-US" w:eastAsia="zh-CN"/>
        </w:rPr>
        <w:t>.</w:t>
      </w:r>
      <w:r>
        <w:rPr>
          <w:rFonts w:hint="eastAsia" w:ascii="仿宋_GB2312" w:eastAsia="仿宋_GB2312"/>
          <w:sz w:val="32"/>
          <w:szCs w:val="32"/>
        </w:rPr>
        <w:t>17</w:t>
      </w:r>
      <w:r>
        <w:rPr>
          <w:rFonts w:hint="eastAsia" w:ascii="仿宋_GB2312" w:eastAsia="仿宋_GB2312"/>
          <w:sz w:val="32"/>
          <w:szCs w:val="32"/>
          <w:lang w:val="en-US" w:eastAsia="zh-CN"/>
        </w:rPr>
        <w:t>万，</w:t>
      </w:r>
      <w:r>
        <w:rPr>
          <w:rFonts w:hint="eastAsia" w:ascii="仿宋_GB2312" w:eastAsia="仿宋_GB2312"/>
          <w:sz w:val="32"/>
          <w:szCs w:val="32"/>
        </w:rPr>
        <w:t>决算报表收入1795</w:t>
      </w:r>
      <w:r>
        <w:rPr>
          <w:rFonts w:hint="eastAsia" w:ascii="仿宋_GB2312" w:eastAsia="仿宋_GB2312"/>
          <w:sz w:val="32"/>
          <w:szCs w:val="32"/>
          <w:lang w:val="en-US" w:eastAsia="zh-CN"/>
        </w:rPr>
        <w:t>.</w:t>
      </w:r>
      <w:r>
        <w:rPr>
          <w:rFonts w:hint="eastAsia" w:ascii="仿宋_GB2312" w:eastAsia="仿宋_GB2312"/>
          <w:sz w:val="32"/>
          <w:szCs w:val="32"/>
        </w:rPr>
        <w:t>17</w:t>
      </w:r>
      <w:r>
        <w:rPr>
          <w:rFonts w:hint="eastAsia" w:ascii="仿宋_GB2312" w:eastAsia="仿宋_GB2312"/>
          <w:sz w:val="32"/>
          <w:szCs w:val="32"/>
          <w:lang w:val="en-US" w:eastAsia="zh-CN"/>
        </w:rPr>
        <w:t>万</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一般公共预算财政拨款年初预算收入</w:t>
      </w:r>
      <w:r>
        <w:rPr>
          <w:rFonts w:hint="eastAsia" w:ascii="仿宋_GB2312" w:eastAsia="仿宋_GB2312"/>
          <w:sz w:val="32"/>
          <w:szCs w:val="32"/>
          <w:highlight w:val="none"/>
          <w:lang w:val="en-US" w:eastAsia="zh-CN"/>
        </w:rPr>
        <w:t>1709.64</w:t>
      </w:r>
      <w:r>
        <w:rPr>
          <w:rFonts w:hint="eastAsia" w:ascii="仿宋_GB2312" w:eastAsia="仿宋_GB2312"/>
          <w:sz w:val="32"/>
          <w:szCs w:val="32"/>
          <w:highlight w:val="none"/>
        </w:rPr>
        <w:t>万元，决算报表收入</w:t>
      </w:r>
      <w:r>
        <w:rPr>
          <w:rFonts w:hint="eastAsia" w:ascii="仿宋_GB2312" w:eastAsia="仿宋_GB2312"/>
          <w:sz w:val="32"/>
          <w:szCs w:val="32"/>
          <w:highlight w:val="none"/>
          <w:lang w:val="en-US" w:eastAsia="zh-CN"/>
        </w:rPr>
        <w:t>1709.64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 w:hAnsi="仿宋" w:eastAsia="仿宋"/>
          <w:sz w:val="32"/>
          <w:szCs w:val="32"/>
          <w:highlight w:val="none"/>
        </w:rPr>
        <w:t>政府性基金预算财政拨款</w:t>
      </w:r>
      <w:r>
        <w:rPr>
          <w:rFonts w:hint="eastAsia" w:ascii="仿宋" w:hAnsi="仿宋" w:eastAsia="仿宋"/>
          <w:sz w:val="32"/>
          <w:szCs w:val="32"/>
          <w:highlight w:val="none"/>
          <w:lang w:val="en-US" w:eastAsia="zh-CN"/>
        </w:rPr>
        <w:t>年初预算</w:t>
      </w:r>
      <w:r>
        <w:rPr>
          <w:rFonts w:hint="eastAsia" w:ascii="仿宋" w:hAnsi="仿宋" w:eastAsia="仿宋"/>
          <w:sz w:val="32"/>
          <w:szCs w:val="32"/>
          <w:highlight w:val="none"/>
        </w:rPr>
        <w:t>收入</w:t>
      </w:r>
      <w:r>
        <w:rPr>
          <w:rFonts w:hint="eastAsia" w:eastAsia="仿宋"/>
          <w:sz w:val="32"/>
          <w:szCs w:val="32"/>
          <w:highlight w:val="none"/>
          <w:lang w:val="en-US" w:eastAsia="zh-CN"/>
        </w:rPr>
        <w:t>85.49</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决算报表收入</w:t>
      </w:r>
      <w:r>
        <w:rPr>
          <w:rFonts w:hint="eastAsia" w:eastAsia="仿宋"/>
          <w:sz w:val="32"/>
          <w:szCs w:val="32"/>
          <w:highlight w:val="none"/>
          <w:lang w:val="en-US" w:eastAsia="zh-CN"/>
        </w:rPr>
        <w:t>85.49</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；国有资本经营预算财政拨款</w:t>
      </w:r>
      <w:r>
        <w:rPr>
          <w:rFonts w:hint="eastAsia" w:ascii="仿宋" w:hAnsi="仿宋" w:eastAsia="仿宋"/>
          <w:sz w:val="32"/>
          <w:szCs w:val="32"/>
          <w:highlight w:val="none"/>
          <w:lang w:val="en-US" w:eastAsia="zh-CN"/>
        </w:rPr>
        <w:t>年初预算</w:t>
      </w:r>
      <w:r>
        <w:rPr>
          <w:rFonts w:hint="eastAsia" w:ascii="仿宋" w:hAnsi="仿宋" w:eastAsia="仿宋"/>
          <w:sz w:val="32"/>
          <w:szCs w:val="32"/>
          <w:highlight w:val="none"/>
        </w:rPr>
        <w:t>收入</w:t>
      </w:r>
      <w:r>
        <w:rPr>
          <w:rFonts w:hint="eastAsia" w:ascii="仿宋" w:hAnsi="仿宋" w:eastAsia="仿宋"/>
          <w:sz w:val="32"/>
          <w:szCs w:val="32"/>
          <w:highlight w:val="none"/>
          <w:lang w:val="en-US" w:eastAsia="zh-CN"/>
        </w:rPr>
        <w:t>0.41</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决算报表收入</w:t>
      </w:r>
      <w:r>
        <w:rPr>
          <w:rFonts w:hint="eastAsia"/>
          <w:sz w:val="32"/>
          <w:szCs w:val="32"/>
          <w:highlight w:val="none"/>
          <w:lang w:val="en-US" w:eastAsia="zh-CN"/>
        </w:rPr>
        <w:t>0.41</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；其他收入</w:t>
      </w:r>
      <w:r>
        <w:rPr>
          <w:rFonts w:hint="eastAsia" w:ascii="仿宋" w:hAnsi="仿宋" w:eastAsia="仿宋"/>
          <w:sz w:val="32"/>
          <w:szCs w:val="32"/>
          <w:highlight w:val="none"/>
          <w:lang w:val="en-US" w:eastAsia="zh-CN"/>
        </w:rPr>
        <w:t>年初预算收入</w:t>
      </w:r>
      <w:r>
        <w:rPr>
          <w:rFonts w:hint="eastAsia" w:eastAsia="仿宋"/>
          <w:sz w:val="32"/>
          <w:szCs w:val="32"/>
          <w:highlight w:val="none"/>
          <w:lang w:val="en-US" w:eastAsia="zh-CN"/>
        </w:rPr>
        <w:t>0</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决算报表收入</w:t>
      </w:r>
      <w:r>
        <w:rPr>
          <w:rFonts w:hint="eastAsia"/>
          <w:sz w:val="32"/>
          <w:szCs w:val="32"/>
          <w:highlight w:val="none"/>
          <w:lang w:val="en-US" w:eastAsia="zh-CN"/>
        </w:rPr>
        <w:t>0</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p>
    <w:p w14:paraId="055C9CE3">
      <w:pPr>
        <w:keepNext w:val="0"/>
        <w:keepLines w:val="0"/>
        <w:pageBreakBefore w:val="0"/>
        <w:widowControl w:val="0"/>
        <w:kinsoku/>
        <w:wordWrap/>
        <w:overflowPunct/>
        <w:topLinePunct/>
        <w:autoSpaceDE/>
        <w:autoSpaceDN/>
        <w:bidi w:val="0"/>
        <w:ind w:firstLine="643" w:firstLineChars="200"/>
        <w:rPr>
          <w:rFonts w:hint="eastAsia" w:ascii="仿宋_GB2312" w:eastAsia="仿宋_GB2312"/>
          <w:color w:val="000000"/>
          <w:sz w:val="32"/>
          <w:szCs w:val="32"/>
          <w:highlight w:val="none"/>
          <w:lang w:eastAsia="zh-CN"/>
        </w:rPr>
      </w:pPr>
      <w:r>
        <w:rPr>
          <w:rFonts w:hint="eastAsia" w:ascii="楷体_GB2312" w:eastAsia="楷体_GB2312"/>
          <w:b/>
          <w:sz w:val="32"/>
          <w:szCs w:val="32"/>
        </w:rPr>
        <w:t>（二）支出情况。</w:t>
      </w:r>
      <w:r>
        <w:rPr>
          <w:rFonts w:hint="eastAsia" w:eastAsia="楷体_GB2312"/>
          <w:sz w:val="32"/>
          <w:szCs w:val="32"/>
          <w:lang w:val="en-US" w:eastAsia="zh-CN"/>
        </w:rPr>
        <w:t>本</w:t>
      </w:r>
      <w:r>
        <w:rPr>
          <w:rFonts w:hint="eastAsia" w:ascii="仿宋_GB2312" w:eastAsia="仿宋_GB2312"/>
          <w:sz w:val="32"/>
          <w:szCs w:val="32"/>
        </w:rPr>
        <w:t>单位2023年年初预算支出1795</w:t>
      </w:r>
      <w:r>
        <w:rPr>
          <w:rFonts w:hint="eastAsia" w:ascii="仿宋_GB2312" w:eastAsia="仿宋_GB2312"/>
          <w:sz w:val="32"/>
          <w:szCs w:val="32"/>
          <w:lang w:val="en-US" w:eastAsia="zh-CN"/>
        </w:rPr>
        <w:t>.</w:t>
      </w:r>
      <w:r>
        <w:rPr>
          <w:rFonts w:hint="eastAsia" w:ascii="仿宋_GB2312" w:eastAsia="仿宋_GB2312"/>
          <w:sz w:val="32"/>
          <w:szCs w:val="32"/>
        </w:rPr>
        <w:t>17</w:t>
      </w:r>
      <w:r>
        <w:rPr>
          <w:rFonts w:hint="eastAsia" w:ascii="仿宋_GB2312" w:eastAsia="仿宋_GB2312"/>
          <w:sz w:val="32"/>
          <w:szCs w:val="32"/>
          <w:lang w:val="en-US" w:eastAsia="zh-CN"/>
        </w:rPr>
        <w:t>万</w:t>
      </w:r>
      <w:r>
        <w:rPr>
          <w:rFonts w:hint="eastAsia" w:ascii="仿宋_GB2312" w:eastAsia="仿宋_GB2312"/>
          <w:sz w:val="32"/>
          <w:szCs w:val="32"/>
          <w:lang w:eastAsia="zh-CN"/>
        </w:rPr>
        <w:t>，</w:t>
      </w:r>
      <w:r>
        <w:rPr>
          <w:rFonts w:hint="eastAsia" w:ascii="仿宋_GB2312" w:eastAsia="仿宋_GB2312"/>
          <w:sz w:val="32"/>
          <w:szCs w:val="32"/>
        </w:rPr>
        <w:t>决算报表支出1795</w:t>
      </w:r>
      <w:r>
        <w:rPr>
          <w:rFonts w:hint="eastAsia" w:ascii="仿宋_GB2312" w:eastAsia="仿宋_GB2312"/>
          <w:sz w:val="32"/>
          <w:szCs w:val="32"/>
          <w:lang w:val="en-US" w:eastAsia="zh-CN"/>
        </w:rPr>
        <w:t>.</w:t>
      </w:r>
      <w:r>
        <w:rPr>
          <w:rFonts w:hint="eastAsia" w:ascii="仿宋_GB2312" w:eastAsia="仿宋_GB2312"/>
          <w:sz w:val="32"/>
          <w:szCs w:val="32"/>
        </w:rPr>
        <w:t>17</w:t>
      </w:r>
      <w:r>
        <w:rPr>
          <w:rFonts w:hint="eastAsia" w:ascii="仿宋_GB2312" w:eastAsia="仿宋_GB2312"/>
          <w:sz w:val="32"/>
          <w:szCs w:val="32"/>
          <w:highlight w:val="none"/>
          <w:lang w:val="en-US" w:eastAsia="zh-CN"/>
        </w:rPr>
        <w:t>万</w:t>
      </w:r>
      <w:r>
        <w:rPr>
          <w:rFonts w:hint="eastAsia" w:ascii="仿宋_GB2312" w:eastAsia="仿宋_GB2312"/>
          <w:sz w:val="32"/>
          <w:szCs w:val="32"/>
          <w:highlight w:val="none"/>
        </w:rPr>
        <w:t>。其中，按支出性质分类，基本支出年初预算支出</w:t>
      </w:r>
      <w:r>
        <w:rPr>
          <w:rFonts w:hint="eastAsia" w:ascii="仿宋_GB2312" w:eastAsia="仿宋_GB2312"/>
          <w:sz w:val="32"/>
          <w:szCs w:val="32"/>
          <w:highlight w:val="none"/>
          <w:lang w:val="en-US" w:eastAsia="zh-CN"/>
        </w:rPr>
        <w:t>1709.64</w:t>
      </w:r>
      <w:r>
        <w:rPr>
          <w:rFonts w:hint="eastAsia" w:ascii="仿宋_GB2312" w:eastAsia="仿宋_GB2312"/>
          <w:sz w:val="32"/>
          <w:szCs w:val="32"/>
          <w:highlight w:val="none"/>
        </w:rPr>
        <w:t>万元，决算报表支出</w:t>
      </w:r>
      <w:r>
        <w:rPr>
          <w:rFonts w:hint="eastAsia" w:ascii="仿宋_GB2312" w:eastAsia="仿宋_GB2312"/>
          <w:sz w:val="32"/>
          <w:szCs w:val="32"/>
          <w:highlight w:val="none"/>
          <w:lang w:val="en-US" w:eastAsia="zh-CN"/>
        </w:rPr>
        <w:t>1709.64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人员经费年初预算支出</w:t>
      </w:r>
      <w:r>
        <w:rPr>
          <w:rFonts w:hint="eastAsia" w:ascii="仿宋_GB2312" w:eastAsia="仿宋_GB2312"/>
          <w:sz w:val="32"/>
          <w:szCs w:val="32"/>
          <w:highlight w:val="none"/>
          <w:lang w:val="en-US" w:eastAsia="zh-CN"/>
        </w:rPr>
        <w:t>1218.73</w:t>
      </w:r>
      <w:r>
        <w:rPr>
          <w:rFonts w:hint="eastAsia" w:ascii="仿宋_GB2312" w:eastAsia="仿宋_GB2312"/>
          <w:sz w:val="32"/>
          <w:szCs w:val="32"/>
          <w:highlight w:val="none"/>
        </w:rPr>
        <w:t>万元，决算报表支出</w:t>
      </w:r>
      <w:r>
        <w:rPr>
          <w:rFonts w:hint="eastAsia" w:ascii="仿宋_GB2312" w:eastAsia="仿宋_GB2312"/>
          <w:sz w:val="32"/>
          <w:szCs w:val="32"/>
          <w:highlight w:val="none"/>
          <w:lang w:val="en-US" w:eastAsia="zh-CN"/>
        </w:rPr>
        <w:t>1218.73</w:t>
      </w:r>
      <w:r>
        <w:rPr>
          <w:rFonts w:hint="eastAsia" w:ascii="仿宋_GB2312" w:eastAsia="仿宋_GB2312"/>
          <w:sz w:val="32"/>
          <w:szCs w:val="32"/>
          <w:highlight w:val="none"/>
        </w:rPr>
        <w:t>万元；公用经费年初预算支出</w:t>
      </w:r>
      <w:r>
        <w:rPr>
          <w:rFonts w:hint="eastAsia" w:ascii="仿宋_GB2312" w:eastAsia="仿宋_GB2312"/>
          <w:sz w:val="32"/>
          <w:szCs w:val="32"/>
          <w:highlight w:val="none"/>
          <w:lang w:val="en-US" w:eastAsia="zh-CN"/>
        </w:rPr>
        <w:t>490.91</w:t>
      </w:r>
      <w:r>
        <w:rPr>
          <w:rFonts w:hint="eastAsia" w:ascii="仿宋_GB2312" w:eastAsia="仿宋_GB2312"/>
          <w:sz w:val="32"/>
          <w:szCs w:val="32"/>
          <w:highlight w:val="none"/>
        </w:rPr>
        <w:t>万元，决算报表支出</w:t>
      </w:r>
      <w:r>
        <w:rPr>
          <w:rFonts w:hint="eastAsia" w:ascii="仿宋_GB2312" w:eastAsia="仿宋_GB2312"/>
          <w:sz w:val="32"/>
          <w:szCs w:val="32"/>
          <w:highlight w:val="none"/>
          <w:lang w:val="en-US" w:eastAsia="zh-CN"/>
        </w:rPr>
        <w:t>490.91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，项目支出年初预算支出</w:t>
      </w:r>
      <w:r>
        <w:rPr>
          <w:rFonts w:hint="eastAsia" w:ascii="仿宋_GB2312" w:eastAsia="仿宋_GB2312"/>
          <w:sz w:val="32"/>
          <w:szCs w:val="32"/>
          <w:highlight w:val="none"/>
          <w:lang w:val="en-US" w:eastAsia="zh-CN"/>
        </w:rPr>
        <w:t>85.53</w:t>
      </w:r>
      <w:r>
        <w:rPr>
          <w:rFonts w:hint="eastAsia" w:ascii="仿宋_GB2312" w:eastAsia="仿宋_GB2312"/>
          <w:sz w:val="32"/>
          <w:szCs w:val="32"/>
          <w:highlight w:val="none"/>
        </w:rPr>
        <w:t>万元，决算报表支出</w:t>
      </w:r>
      <w:r>
        <w:rPr>
          <w:rFonts w:hint="eastAsia" w:ascii="仿宋_GB2312" w:eastAsia="仿宋_GB2312"/>
          <w:sz w:val="32"/>
          <w:szCs w:val="32"/>
          <w:highlight w:val="none"/>
          <w:lang w:val="en-US" w:eastAsia="zh-CN"/>
        </w:rPr>
        <w:t>85.53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按支出经济分类，工资福利支出年初预算支出</w:t>
      </w:r>
      <w:r>
        <w:rPr>
          <w:rFonts w:hint="eastAsia" w:ascii="仿宋_GB2312" w:eastAsia="仿宋_GB2312"/>
          <w:sz w:val="32"/>
          <w:szCs w:val="32"/>
          <w:highlight w:val="none"/>
          <w:lang w:val="en-US" w:eastAsia="zh-CN"/>
        </w:rPr>
        <w:t>729.90</w:t>
      </w:r>
      <w:r>
        <w:rPr>
          <w:rFonts w:hint="eastAsia" w:ascii="仿宋_GB2312" w:eastAsia="仿宋_GB2312"/>
          <w:sz w:val="32"/>
          <w:szCs w:val="32"/>
          <w:highlight w:val="none"/>
        </w:rPr>
        <w:t>万元，决算报表支出</w:t>
      </w:r>
      <w:r>
        <w:rPr>
          <w:rFonts w:hint="eastAsia" w:ascii="仿宋_GB2312" w:eastAsia="仿宋_GB2312"/>
          <w:sz w:val="32"/>
          <w:szCs w:val="32"/>
          <w:highlight w:val="none"/>
          <w:lang w:val="en-US" w:eastAsia="zh-CN"/>
        </w:rPr>
        <w:t>729.90</w:t>
      </w:r>
      <w:r>
        <w:rPr>
          <w:rFonts w:hint="eastAsia" w:ascii="仿宋_GB2312" w:eastAsia="仿宋_GB2312"/>
          <w:sz w:val="32"/>
          <w:szCs w:val="32"/>
          <w:highlight w:val="none"/>
        </w:rPr>
        <w:t>万元；商品服务支出年初预算支出</w:t>
      </w:r>
      <w:r>
        <w:rPr>
          <w:rFonts w:hint="eastAsia" w:ascii="仿宋_GB2312" w:eastAsia="仿宋_GB2312"/>
          <w:sz w:val="32"/>
          <w:szCs w:val="32"/>
          <w:highlight w:val="none"/>
          <w:lang w:val="en-US" w:eastAsia="zh-CN"/>
        </w:rPr>
        <w:t>576.44</w:t>
      </w:r>
      <w:r>
        <w:rPr>
          <w:rFonts w:hint="eastAsia" w:ascii="仿宋_GB2312" w:eastAsia="仿宋_GB2312"/>
          <w:sz w:val="32"/>
          <w:szCs w:val="32"/>
          <w:highlight w:val="none"/>
        </w:rPr>
        <w:t>万元，决算报表支出</w:t>
      </w:r>
      <w:r>
        <w:rPr>
          <w:rFonts w:hint="eastAsia" w:ascii="仿宋_GB2312" w:eastAsia="仿宋_GB2312"/>
          <w:sz w:val="32"/>
          <w:szCs w:val="32"/>
          <w:highlight w:val="none"/>
          <w:lang w:val="en-US" w:eastAsia="zh-CN"/>
        </w:rPr>
        <w:t>576.44</w:t>
      </w:r>
      <w:r>
        <w:rPr>
          <w:rFonts w:hint="eastAsia" w:ascii="仿宋_GB2312" w:eastAsia="仿宋_GB2312"/>
          <w:sz w:val="32"/>
          <w:szCs w:val="32"/>
          <w:highlight w:val="none"/>
        </w:rPr>
        <w:t>万元；对个人及家庭补助支出年初预算支出</w:t>
      </w:r>
      <w:r>
        <w:rPr>
          <w:rFonts w:hint="eastAsia" w:ascii="仿宋_GB2312" w:eastAsia="仿宋_GB2312"/>
          <w:sz w:val="32"/>
          <w:szCs w:val="32"/>
          <w:highlight w:val="none"/>
          <w:lang w:val="en-US" w:eastAsia="zh-CN"/>
        </w:rPr>
        <w:t>488.83</w:t>
      </w:r>
      <w:r>
        <w:rPr>
          <w:rFonts w:hint="eastAsia" w:ascii="仿宋_GB2312" w:eastAsia="仿宋_GB2312"/>
          <w:sz w:val="32"/>
          <w:szCs w:val="32"/>
          <w:highlight w:val="none"/>
        </w:rPr>
        <w:t>万元，决算报表支出</w:t>
      </w:r>
      <w:r>
        <w:rPr>
          <w:rFonts w:hint="eastAsia" w:ascii="仿宋_GB2312" w:eastAsia="仿宋_GB2312"/>
          <w:sz w:val="32"/>
          <w:szCs w:val="32"/>
          <w:highlight w:val="none"/>
          <w:lang w:val="en-US" w:eastAsia="zh-CN"/>
        </w:rPr>
        <w:t>488.83</w:t>
      </w:r>
      <w:r>
        <w:rPr>
          <w:rFonts w:hint="eastAsia" w:ascii="仿宋_GB2312" w:eastAsia="仿宋_GB2312"/>
          <w:sz w:val="32"/>
          <w:szCs w:val="32"/>
          <w:highlight w:val="none"/>
        </w:rPr>
        <w:t>万元；资本性支出年初预算支出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万元，决算报表支出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对企业补助</w:t>
      </w:r>
      <w:r>
        <w:rPr>
          <w:rFonts w:hint="eastAsia" w:ascii="仿宋_GB2312" w:eastAsia="仿宋_GB2312"/>
          <w:sz w:val="32"/>
          <w:szCs w:val="32"/>
          <w:highlight w:val="none"/>
        </w:rPr>
        <w:t>年初预算支出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万元，决算报表支出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hAnsi="Cambria" w:eastAsia="仿宋_GB2312" w:cs="仿宋_GB2312"/>
          <w:kern w:val="0"/>
          <w:sz w:val="32"/>
          <w:szCs w:val="32"/>
          <w:highlight w:val="none"/>
        </w:rPr>
        <w:t>）</w:t>
      </w:r>
    </w:p>
    <w:p w14:paraId="23044422">
      <w:pPr>
        <w:keepNext w:val="0"/>
        <w:keepLines w:val="0"/>
        <w:pageBreakBefore w:val="0"/>
        <w:widowControl w:val="0"/>
        <w:kinsoku/>
        <w:wordWrap/>
        <w:overflowPunct/>
        <w:topLinePunct/>
        <w:autoSpaceDE/>
        <w:autoSpaceDN/>
        <w:bidi w:val="0"/>
        <w:spacing w:line="560" w:lineRule="exact"/>
        <w:ind w:firstLine="643" w:firstLineChars="200"/>
        <w:textAlignment w:val="auto"/>
        <w:rPr>
          <w:rFonts w:hint="eastAsia" w:ascii="楷体_GB2312" w:eastAsia="楷体_GB2312"/>
          <w:b/>
          <w:sz w:val="32"/>
          <w:szCs w:val="32"/>
        </w:rPr>
      </w:pPr>
      <w:r>
        <w:rPr>
          <w:rFonts w:hint="eastAsia" w:ascii="楷体_GB2312" w:eastAsia="楷体_GB2312"/>
          <w:b/>
          <w:sz w:val="32"/>
          <w:szCs w:val="32"/>
        </w:rPr>
        <w:t>（三）结余分配和结转结余情况。</w:t>
      </w:r>
    </w:p>
    <w:p w14:paraId="43541738">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eastAsia" w:ascii="仿宋_GB2312" w:hAnsi="仿宋_GB2312" w:eastAsia="仿宋_GB2312"/>
          <w:color w:val="auto"/>
          <w:sz w:val="32"/>
          <w:szCs w:val="24"/>
          <w:lang w:val="en-US" w:eastAsia="zh-CN"/>
        </w:rPr>
      </w:pPr>
      <w:r>
        <w:rPr>
          <w:rFonts w:hint="eastAsia" w:ascii="仿宋_GB2312" w:hAnsi="仿宋_GB2312" w:eastAsia="仿宋_GB2312"/>
          <w:color w:val="auto"/>
          <w:sz w:val="32"/>
          <w:szCs w:val="24"/>
          <w:lang w:val="en-US" w:eastAsia="zh-CN"/>
        </w:rPr>
        <w:t>我单位本年度无</w:t>
      </w:r>
      <w:r>
        <w:rPr>
          <w:rFonts w:hint="eastAsia" w:ascii="仿宋_GB2312" w:hAnsi="仿宋_GB2312" w:eastAsia="仿宋_GB2312"/>
          <w:color w:val="auto"/>
          <w:sz w:val="32"/>
          <w:szCs w:val="24"/>
          <w:lang w:val="en-US"/>
        </w:rPr>
        <w:t>结转结余情况</w:t>
      </w:r>
      <w:r>
        <w:rPr>
          <w:rFonts w:hint="eastAsia" w:ascii="仿宋_GB2312" w:hAnsi="仿宋_GB2312" w:eastAsia="仿宋_GB2312"/>
          <w:color w:val="auto"/>
          <w:sz w:val="32"/>
          <w:szCs w:val="24"/>
          <w:lang w:val="en-US" w:eastAsia="zh-CN"/>
        </w:rPr>
        <w:t>。</w:t>
      </w:r>
    </w:p>
    <w:p w14:paraId="633F78AD">
      <w:pPr>
        <w:keepNext w:val="0"/>
        <w:keepLines w:val="0"/>
        <w:pageBreakBefore w:val="0"/>
        <w:widowControl w:val="0"/>
        <w:kinsoku/>
        <w:wordWrap/>
        <w:overflowPunct/>
        <w:topLinePunct/>
        <w:autoSpaceDE/>
        <w:autoSpaceDN/>
        <w:bidi w:val="0"/>
        <w:spacing w:line="560" w:lineRule="exact"/>
        <w:ind w:firstLine="640" w:firstLineChars="200"/>
        <w:textAlignment w:val="auto"/>
        <w:outlineLvl w:val="1"/>
        <w:rPr>
          <w:rFonts w:ascii="黑体" w:hAnsi="黑体" w:eastAsia="黑体"/>
          <w:sz w:val="32"/>
          <w:szCs w:val="32"/>
          <w:highlight w:val="none"/>
        </w:rPr>
      </w:pPr>
      <w:bookmarkStart w:id="97" w:name="_Toc260"/>
      <w:bookmarkStart w:id="98" w:name="_Toc12245"/>
      <w:bookmarkStart w:id="99" w:name="_Toc3599"/>
      <w:r>
        <w:rPr>
          <w:rFonts w:hint="eastAsia" w:ascii="黑体" w:hAnsi="黑体" w:eastAsia="黑体"/>
          <w:sz w:val="32"/>
          <w:szCs w:val="32"/>
          <w:highlight w:val="none"/>
        </w:rPr>
        <w:t>三、部门预算绩效分析</w:t>
      </w:r>
      <w:bookmarkEnd w:id="97"/>
      <w:bookmarkEnd w:id="98"/>
      <w:bookmarkEnd w:id="99"/>
    </w:p>
    <w:p w14:paraId="7E495689">
      <w:pPr>
        <w:keepNext w:val="0"/>
        <w:keepLines w:val="0"/>
        <w:pageBreakBefore w:val="0"/>
        <w:widowControl w:val="0"/>
        <w:kinsoku/>
        <w:wordWrap/>
        <w:overflowPunct/>
        <w:topLinePunct/>
        <w:autoSpaceDE/>
        <w:autoSpaceDN/>
        <w:bidi w:val="0"/>
        <w:spacing w:line="560" w:lineRule="exact"/>
        <w:ind w:firstLine="643" w:firstLineChars="200"/>
        <w:textAlignment w:val="auto"/>
        <w:rPr>
          <w:rFonts w:ascii="仿宋_GB2312" w:eastAsia="仿宋_GB2312"/>
          <w:sz w:val="32"/>
          <w:szCs w:val="32"/>
        </w:rPr>
      </w:pPr>
      <w:r>
        <w:rPr>
          <w:rFonts w:hint="eastAsia" w:ascii="楷体_GB2312" w:eastAsia="楷体_GB2312"/>
          <w:b/>
          <w:sz w:val="32"/>
          <w:szCs w:val="32"/>
        </w:rPr>
        <w:t>（一）部门预算总体绩效分析。</w:t>
      </w:r>
    </w:p>
    <w:p w14:paraId="36B95377">
      <w:pPr>
        <w:keepNext w:val="0"/>
        <w:keepLines w:val="0"/>
        <w:pageBreakBefore w:val="0"/>
        <w:widowControl w:val="0"/>
        <w:kinsoku/>
        <w:wordWrap/>
        <w:overflowPunct/>
        <w:topLinePunct/>
        <w:autoSpaceDE/>
        <w:autoSpaceDN/>
        <w:bidi w:val="0"/>
        <w:adjustRightInd w:val="0"/>
        <w:snapToGrid w:val="0"/>
        <w:spacing w:line="578" w:lineRule="exact"/>
        <w:ind w:firstLine="640" w:firstLineChars="200"/>
        <w:jc w:val="left"/>
        <w:rPr>
          <w:color w:val="000000"/>
          <w:kern w:val="0"/>
          <w:sz w:val="32"/>
          <w:szCs w:val="32"/>
          <w:highlight w:val="yellow"/>
          <w:shd w:val="clear" w:color="auto" w:fill="FFFFFF"/>
          <w:lang w:val="zh-CN"/>
        </w:rPr>
      </w:pPr>
      <w:r>
        <w:rPr>
          <w:rFonts w:hint="eastAsia" w:ascii="楷体_GB2312" w:hAnsi="楷体_GB2312" w:eastAsia="楷体_GB2312" w:cs="楷体_GB2312"/>
          <w:color w:val="000000"/>
          <w:kern w:val="0"/>
          <w:sz w:val="32"/>
          <w:szCs w:val="32"/>
          <w:highlight w:val="none"/>
          <w:shd w:val="clear" w:color="auto" w:fill="FFFFFF"/>
        </w:rPr>
        <w:t>1.</w:t>
      </w:r>
      <w:r>
        <w:rPr>
          <w:rFonts w:hint="eastAsia" w:ascii="楷体_GB2312" w:hAnsi="楷体_GB2312" w:eastAsia="楷体_GB2312" w:cs="楷体_GB2312"/>
          <w:color w:val="000000"/>
          <w:kern w:val="0"/>
          <w:sz w:val="32"/>
          <w:szCs w:val="32"/>
          <w:highlight w:val="none"/>
          <w:shd w:val="clear" w:color="auto" w:fill="FFFFFF"/>
          <w:lang w:val="zh-CN"/>
        </w:rPr>
        <w:t>履职</w:t>
      </w:r>
      <w:r>
        <w:rPr>
          <w:rFonts w:hint="eastAsia" w:ascii="楷体_GB2312" w:hAnsi="楷体_GB2312" w:eastAsia="楷体_GB2312" w:cs="楷体_GB2312"/>
          <w:color w:val="000000"/>
          <w:kern w:val="0"/>
          <w:sz w:val="32"/>
          <w:szCs w:val="32"/>
          <w:highlight w:val="none"/>
          <w:shd w:val="clear" w:color="auto" w:fill="FFFFFF"/>
        </w:rPr>
        <w:t>效能</w:t>
      </w:r>
      <w:r>
        <w:rPr>
          <w:rFonts w:hint="eastAsia" w:ascii="楷体_GB2312" w:hAnsi="楷体_GB2312" w:eastAsia="楷体_GB2312" w:cs="楷体_GB2312"/>
          <w:color w:val="000000"/>
          <w:kern w:val="0"/>
          <w:sz w:val="32"/>
          <w:szCs w:val="32"/>
          <w:highlight w:val="none"/>
          <w:shd w:val="clear" w:color="auto" w:fill="FFFFFF"/>
          <w:lang w:val="zh-CN"/>
        </w:rPr>
        <w:t>。</w:t>
      </w:r>
      <w:r>
        <w:rPr>
          <w:rFonts w:hint="eastAsia" w:ascii="仿宋_GB2312" w:hAnsi="仿宋_GB2312" w:eastAsia="仿宋_GB2312" w:cs="仿宋_GB2312"/>
          <w:color w:val="000000"/>
          <w:kern w:val="2"/>
          <w:sz w:val="32"/>
          <w:szCs w:val="32"/>
          <w:highlight w:val="none"/>
          <w:lang w:val="en-US" w:eastAsia="zh-CN" w:bidi="ar-SA"/>
        </w:rPr>
        <w:t>一是创新推动城乡基层治理，城市人居品质逐步提升。二是用心用力服务经济发展，社会经济持续向好。三是持续深入拓展治理成效 生态环境质量持续改善。四是全力守牢各类风险底线 确保社会环境安全稳定。做实信访稳定、强化综治工作。五是用心用情办好民生实事 群众幸福指数不断提升。</w:t>
      </w:r>
    </w:p>
    <w:p w14:paraId="0770F61F">
      <w:pPr>
        <w:keepNext w:val="0"/>
        <w:keepLines w:val="0"/>
        <w:pageBreakBefore w:val="0"/>
        <w:widowControl w:val="0"/>
        <w:kinsoku/>
        <w:wordWrap/>
        <w:overflowPunct/>
        <w:topLinePunct/>
        <w:autoSpaceDE/>
        <w:autoSpaceDN/>
        <w:bidi w:val="0"/>
        <w:adjustRightInd w:val="0"/>
        <w:snapToGrid w:val="0"/>
        <w:spacing w:line="578" w:lineRule="exact"/>
        <w:ind w:firstLine="640" w:firstLineChars="200"/>
        <w:jc w:val="left"/>
        <w:rPr>
          <w:rFonts w:ascii="楷体_GB2312" w:hAnsi="楷体_GB2312" w:eastAsia="楷体_GB2312" w:cs="楷体_GB2312"/>
          <w:color w:val="000000"/>
          <w:kern w:val="0"/>
          <w:sz w:val="32"/>
          <w:szCs w:val="32"/>
          <w:highlight w:val="none"/>
          <w:shd w:val="clear" w:color="auto" w:fill="FFFFFF"/>
          <w:lang w:val="zh-CN"/>
        </w:rPr>
      </w:pPr>
      <w:r>
        <w:rPr>
          <w:rFonts w:hint="eastAsia" w:ascii="楷体_GB2312" w:hAnsi="楷体_GB2312" w:eastAsia="楷体_GB2312" w:cs="楷体_GB2312"/>
          <w:color w:val="000000"/>
          <w:kern w:val="0"/>
          <w:sz w:val="32"/>
          <w:szCs w:val="32"/>
          <w:highlight w:val="none"/>
          <w:shd w:val="clear" w:color="auto" w:fill="FFFFFF"/>
        </w:rPr>
        <w:t>2.</w:t>
      </w:r>
      <w:r>
        <w:rPr>
          <w:rFonts w:hint="eastAsia" w:ascii="楷体_GB2312" w:hAnsi="楷体_GB2312" w:eastAsia="楷体_GB2312" w:cs="楷体_GB2312"/>
          <w:color w:val="000000"/>
          <w:kern w:val="0"/>
          <w:sz w:val="32"/>
          <w:szCs w:val="32"/>
          <w:highlight w:val="none"/>
          <w:shd w:val="clear" w:color="auto" w:fill="FFFFFF"/>
          <w:lang w:val="zh-CN"/>
        </w:rPr>
        <w:t>预算管理。</w:t>
      </w:r>
      <w:r>
        <w:rPr>
          <w:rFonts w:hint="eastAsia" w:eastAsia="仿宋_GB2312"/>
          <w:sz w:val="32"/>
          <w:szCs w:val="32"/>
          <w:highlight w:val="none"/>
          <w:lang w:val="en-US" w:eastAsia="zh-CN"/>
        </w:rPr>
        <w:t>严格按照我镇人员数量及财政预算口径编制</w:t>
      </w:r>
      <w:r>
        <w:rPr>
          <w:rFonts w:hint="eastAsia" w:eastAsia="仿宋_GB2312"/>
          <w:sz w:val="32"/>
          <w:szCs w:val="32"/>
          <w:highlight w:val="none"/>
          <w:lang w:val="zh-CN" w:eastAsia="zh-CN"/>
        </w:rPr>
        <w:t>预算</w:t>
      </w:r>
      <w:r>
        <w:rPr>
          <w:rFonts w:hint="eastAsia" w:eastAsia="仿宋_GB2312"/>
          <w:sz w:val="32"/>
          <w:szCs w:val="32"/>
          <w:highlight w:val="none"/>
          <w:lang w:val="zh-CN"/>
        </w:rPr>
        <w:t>，</w:t>
      </w:r>
      <w:r>
        <w:rPr>
          <w:rFonts w:hint="eastAsia" w:eastAsia="仿宋_GB2312"/>
          <w:sz w:val="32"/>
          <w:szCs w:val="32"/>
          <w:highlight w:val="none"/>
          <w:lang w:val="en-US" w:eastAsia="zh-CN"/>
        </w:rPr>
        <w:t>认真开展年中绩效评价，确保各项资金按进度使用，</w:t>
      </w:r>
      <w:r>
        <w:rPr>
          <w:rFonts w:hint="eastAsia" w:eastAsia="仿宋_GB2312"/>
          <w:sz w:val="32"/>
          <w:szCs w:val="32"/>
          <w:highlight w:val="none"/>
          <w:lang w:val="zh-CN"/>
        </w:rPr>
        <w:t>严控一般性支出</w:t>
      </w:r>
      <w:r>
        <w:rPr>
          <w:rFonts w:hint="eastAsia" w:eastAsia="仿宋_GB2312"/>
          <w:sz w:val="32"/>
          <w:szCs w:val="32"/>
          <w:highlight w:val="none"/>
          <w:lang w:val="en-US" w:eastAsia="zh-CN"/>
        </w:rPr>
        <w:t>。2023年度收支平衡，无结转结余。</w:t>
      </w:r>
    </w:p>
    <w:p w14:paraId="50C9D193">
      <w:pPr>
        <w:keepNext w:val="0"/>
        <w:keepLines w:val="0"/>
        <w:pageBreakBefore w:val="0"/>
        <w:widowControl w:val="0"/>
        <w:kinsoku/>
        <w:wordWrap/>
        <w:overflowPunct/>
        <w:topLinePunct/>
        <w:autoSpaceDE/>
        <w:autoSpaceDN/>
        <w:bidi w:val="0"/>
        <w:adjustRightInd w:val="0"/>
        <w:snapToGrid w:val="0"/>
        <w:spacing w:line="578" w:lineRule="exact"/>
        <w:ind w:firstLine="640" w:firstLineChars="200"/>
        <w:jc w:val="left"/>
        <w:rPr>
          <w:rFonts w:ascii="楷体_GB2312" w:hAnsi="楷体_GB2312" w:eastAsia="楷体_GB2312" w:cs="楷体_GB2312"/>
          <w:color w:val="000000"/>
          <w:kern w:val="0"/>
          <w:sz w:val="32"/>
          <w:szCs w:val="32"/>
          <w:highlight w:val="none"/>
          <w:shd w:val="clear" w:color="auto" w:fill="FFFFFF"/>
          <w:lang w:val="zh-CN"/>
        </w:rPr>
      </w:pPr>
      <w:r>
        <w:rPr>
          <w:rFonts w:hint="eastAsia" w:ascii="楷体_GB2312" w:hAnsi="楷体_GB2312" w:eastAsia="楷体_GB2312" w:cs="楷体_GB2312"/>
          <w:color w:val="000000"/>
          <w:kern w:val="0"/>
          <w:sz w:val="32"/>
          <w:szCs w:val="32"/>
          <w:highlight w:val="none"/>
          <w:shd w:val="clear" w:color="auto" w:fill="FFFFFF"/>
        </w:rPr>
        <w:t>3.</w:t>
      </w:r>
      <w:r>
        <w:rPr>
          <w:rFonts w:hint="eastAsia" w:ascii="楷体_GB2312" w:hAnsi="楷体_GB2312" w:eastAsia="楷体_GB2312" w:cs="楷体_GB2312"/>
          <w:color w:val="000000"/>
          <w:kern w:val="0"/>
          <w:sz w:val="32"/>
          <w:szCs w:val="32"/>
          <w:highlight w:val="none"/>
          <w:shd w:val="clear" w:color="auto" w:fill="FFFFFF"/>
          <w:lang w:val="zh-CN"/>
        </w:rPr>
        <w:t>财务管理。</w:t>
      </w:r>
      <w:r>
        <w:rPr>
          <w:rFonts w:hint="eastAsia" w:ascii="仿宋_GB2312" w:hAnsi="仿宋" w:eastAsia="仿宋_GB2312"/>
          <w:sz w:val="32"/>
          <w:szCs w:val="32"/>
          <w:highlight w:val="none"/>
        </w:rPr>
        <w:t>本年度我单位完成了内部审计，完善了机关内部管理制度，形成事前监督、事中审核、事后把关的运行机制，切实加强了资金、资产、资源的有效规范管理。202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年度</w:t>
      </w:r>
      <w:r>
        <w:rPr>
          <w:rFonts w:hint="eastAsia" w:ascii="仿宋_GB2312" w:hAnsi="仿宋" w:eastAsia="仿宋_GB2312"/>
          <w:sz w:val="32"/>
          <w:szCs w:val="32"/>
          <w:highlight w:val="none"/>
          <w:lang w:eastAsia="zh-CN"/>
        </w:rPr>
        <w:t>较好地完成了</w:t>
      </w:r>
      <w:r>
        <w:rPr>
          <w:rFonts w:hint="eastAsia" w:ascii="仿宋_GB2312" w:hAnsi="仿宋" w:eastAsia="仿宋_GB2312"/>
          <w:sz w:val="32"/>
          <w:szCs w:val="32"/>
          <w:highlight w:val="none"/>
        </w:rPr>
        <w:t>财务管理、决算组织、编报、审核工作。</w:t>
      </w:r>
    </w:p>
    <w:p w14:paraId="39463899">
      <w:pPr>
        <w:keepNext w:val="0"/>
        <w:keepLines w:val="0"/>
        <w:pageBreakBefore w:val="0"/>
        <w:widowControl w:val="0"/>
        <w:kinsoku/>
        <w:wordWrap/>
        <w:overflowPunct/>
        <w:topLinePunct/>
        <w:autoSpaceDE/>
        <w:autoSpaceDN/>
        <w:bidi w:val="0"/>
        <w:adjustRightInd w:val="0"/>
        <w:snapToGrid w:val="0"/>
        <w:spacing w:line="578" w:lineRule="exact"/>
        <w:ind w:firstLine="640" w:firstLineChars="200"/>
        <w:jc w:val="left"/>
        <w:rPr>
          <w:rFonts w:ascii="楷体_GB2312" w:hAnsi="楷体_GB2312" w:eastAsia="楷体_GB2312" w:cs="楷体_GB2312"/>
          <w:color w:val="000000"/>
          <w:kern w:val="0"/>
          <w:sz w:val="32"/>
          <w:szCs w:val="32"/>
          <w:highlight w:val="none"/>
          <w:shd w:val="clear" w:color="auto" w:fill="FFFFFF"/>
          <w:lang w:val="zh-CN"/>
        </w:rPr>
      </w:pPr>
      <w:r>
        <w:rPr>
          <w:rFonts w:hint="eastAsia" w:ascii="楷体_GB2312" w:hAnsi="楷体_GB2312" w:eastAsia="楷体_GB2312" w:cs="楷体_GB2312"/>
          <w:color w:val="000000"/>
          <w:kern w:val="0"/>
          <w:sz w:val="32"/>
          <w:szCs w:val="32"/>
          <w:highlight w:val="none"/>
          <w:shd w:val="clear" w:color="auto" w:fill="FFFFFF"/>
        </w:rPr>
        <w:t>4.</w:t>
      </w:r>
      <w:r>
        <w:rPr>
          <w:rFonts w:hint="eastAsia" w:ascii="楷体_GB2312" w:hAnsi="楷体_GB2312" w:eastAsia="楷体_GB2312" w:cs="楷体_GB2312"/>
          <w:color w:val="000000"/>
          <w:kern w:val="0"/>
          <w:sz w:val="32"/>
          <w:szCs w:val="32"/>
          <w:highlight w:val="none"/>
          <w:shd w:val="clear" w:color="auto" w:fill="FFFFFF"/>
          <w:lang w:val="zh-CN"/>
        </w:rPr>
        <w:t>资产管理。</w:t>
      </w:r>
      <w:r>
        <w:rPr>
          <w:rFonts w:hint="eastAsia" w:eastAsia="仿宋_GB2312"/>
          <w:sz w:val="32"/>
          <w:szCs w:val="32"/>
          <w:highlight w:val="none"/>
          <w:lang w:val="en-US" w:eastAsia="zh-CN"/>
        </w:rPr>
        <w:t>2023年按照区财政局要求对全镇固定资产进行清产核资，对新购固定资产进行了全面登记。</w:t>
      </w:r>
    </w:p>
    <w:p w14:paraId="6246BA08">
      <w:pPr>
        <w:keepNext w:val="0"/>
        <w:keepLines w:val="0"/>
        <w:pageBreakBefore w:val="0"/>
        <w:widowControl w:val="0"/>
        <w:kinsoku/>
        <w:wordWrap/>
        <w:overflowPunct/>
        <w:topLinePunct/>
        <w:autoSpaceDE/>
        <w:autoSpaceDN/>
        <w:bidi w:val="0"/>
        <w:adjustRightInd w:val="0"/>
        <w:snapToGrid w:val="0"/>
        <w:spacing w:line="578" w:lineRule="exact"/>
        <w:ind w:firstLine="640" w:firstLineChars="200"/>
        <w:jc w:val="left"/>
        <w:rPr>
          <w:rFonts w:ascii="楷体_GB2312" w:hAnsi="楷体_GB2312" w:eastAsia="楷体_GB2312" w:cs="楷体_GB2312"/>
          <w:color w:val="000000"/>
          <w:kern w:val="0"/>
          <w:sz w:val="32"/>
          <w:szCs w:val="32"/>
          <w:highlight w:val="none"/>
          <w:shd w:val="clear" w:color="auto" w:fill="FFFFFF"/>
          <w:lang w:val="zh-CN"/>
        </w:rPr>
      </w:pPr>
      <w:r>
        <w:rPr>
          <w:rFonts w:hint="eastAsia" w:ascii="楷体_GB2312" w:hAnsi="楷体_GB2312" w:eastAsia="楷体_GB2312" w:cs="楷体_GB2312"/>
          <w:color w:val="000000"/>
          <w:kern w:val="0"/>
          <w:sz w:val="32"/>
          <w:szCs w:val="32"/>
          <w:highlight w:val="none"/>
          <w:shd w:val="clear" w:color="auto" w:fill="FFFFFF"/>
        </w:rPr>
        <w:t>5.</w:t>
      </w:r>
      <w:r>
        <w:rPr>
          <w:rFonts w:hint="eastAsia" w:ascii="楷体_GB2312" w:hAnsi="楷体_GB2312" w:eastAsia="楷体_GB2312" w:cs="楷体_GB2312"/>
          <w:color w:val="000000"/>
          <w:kern w:val="0"/>
          <w:sz w:val="32"/>
          <w:szCs w:val="32"/>
          <w:highlight w:val="none"/>
          <w:shd w:val="clear" w:color="auto" w:fill="FFFFFF"/>
          <w:lang w:val="zh-CN"/>
        </w:rPr>
        <w:t>采购管理。</w:t>
      </w:r>
      <w:r>
        <w:rPr>
          <w:rFonts w:hint="eastAsia" w:eastAsia="仿宋_GB2312"/>
          <w:sz w:val="32"/>
          <w:szCs w:val="32"/>
          <w:highlight w:val="none"/>
          <w:lang w:val="en-US" w:eastAsia="zh-CN"/>
        </w:rPr>
        <w:t>严格按照政府采购制度开展机关采购，</w:t>
      </w:r>
      <w:r>
        <w:rPr>
          <w:rFonts w:hint="eastAsia" w:eastAsia="仿宋_GB2312"/>
          <w:sz w:val="32"/>
          <w:szCs w:val="32"/>
          <w:highlight w:val="none"/>
          <w:lang w:val="zh-CN" w:eastAsia="zh-CN"/>
        </w:rPr>
        <w:t>采</w:t>
      </w:r>
      <w:r>
        <w:rPr>
          <w:rFonts w:hint="eastAsia" w:eastAsia="仿宋_GB2312"/>
          <w:sz w:val="32"/>
          <w:szCs w:val="32"/>
          <w:highlight w:val="none"/>
          <w:lang w:val="zh-CN"/>
        </w:rPr>
        <w:t>购</w:t>
      </w:r>
      <w:r>
        <w:rPr>
          <w:rFonts w:hint="eastAsia" w:eastAsia="仿宋_GB2312"/>
          <w:sz w:val="32"/>
          <w:szCs w:val="32"/>
          <w:highlight w:val="none"/>
          <w:lang w:val="en-US" w:eastAsia="zh-CN"/>
        </w:rPr>
        <w:t>目录范围内</w:t>
      </w:r>
      <w:r>
        <w:rPr>
          <w:rFonts w:hint="eastAsia" w:eastAsia="仿宋_GB2312"/>
          <w:sz w:val="32"/>
          <w:szCs w:val="32"/>
          <w:highlight w:val="none"/>
          <w:lang w:val="zh-CN"/>
        </w:rPr>
        <w:t>执行率</w:t>
      </w:r>
      <w:r>
        <w:rPr>
          <w:rFonts w:hint="eastAsia" w:eastAsia="仿宋_GB2312"/>
          <w:sz w:val="32"/>
          <w:szCs w:val="32"/>
          <w:highlight w:val="none"/>
          <w:lang w:val="en-US" w:eastAsia="zh-CN"/>
        </w:rPr>
        <w:t>100%</w:t>
      </w:r>
      <w:r>
        <w:rPr>
          <w:rFonts w:hint="eastAsia" w:eastAsia="仿宋_GB2312"/>
          <w:sz w:val="32"/>
          <w:szCs w:val="32"/>
          <w:highlight w:val="none"/>
          <w:lang w:val="zh-CN"/>
        </w:rPr>
        <w:t>。</w:t>
      </w:r>
    </w:p>
    <w:p w14:paraId="5AF1B851">
      <w:pPr>
        <w:keepNext w:val="0"/>
        <w:keepLines w:val="0"/>
        <w:pageBreakBefore w:val="0"/>
        <w:widowControl w:val="0"/>
        <w:kinsoku/>
        <w:wordWrap/>
        <w:overflowPunct/>
        <w:topLinePunct/>
        <w:autoSpaceDE/>
        <w:autoSpaceDN/>
        <w:bidi w:val="0"/>
        <w:spacing w:line="560" w:lineRule="exact"/>
        <w:ind w:firstLine="643" w:firstLineChars="200"/>
        <w:textAlignment w:val="auto"/>
        <w:rPr>
          <w:rFonts w:eastAsia="仿宋_GB2312"/>
          <w:sz w:val="32"/>
          <w:szCs w:val="32"/>
          <w:highlight w:val="none"/>
          <w:lang w:val="zh-CN"/>
        </w:rPr>
      </w:pPr>
      <w:r>
        <w:rPr>
          <w:rFonts w:hint="eastAsia" w:ascii="楷体_GB2312" w:eastAsia="楷体_GB2312"/>
          <w:b/>
          <w:sz w:val="32"/>
          <w:szCs w:val="32"/>
          <w:highlight w:val="none"/>
        </w:rPr>
        <w:t>（二）部门预算项目绩效分析。</w:t>
      </w:r>
    </w:p>
    <w:p w14:paraId="7F505457">
      <w:pPr>
        <w:keepNext w:val="0"/>
        <w:keepLines w:val="0"/>
        <w:pageBreakBefore w:val="0"/>
        <w:widowControl w:val="0"/>
        <w:kinsoku/>
        <w:wordWrap/>
        <w:overflowPunct/>
        <w:topLinePunct/>
        <w:autoSpaceDE/>
        <w:autoSpaceDN/>
        <w:bidi w:val="0"/>
        <w:spacing w:line="560" w:lineRule="exact"/>
        <w:ind w:firstLine="640" w:firstLineChars="200"/>
        <w:textAlignment w:val="auto"/>
        <w:rPr>
          <w:rFonts w:eastAsia="仿宋_GB2312"/>
          <w:sz w:val="32"/>
          <w:szCs w:val="32"/>
          <w:highlight w:val="none"/>
          <w:lang w:val="zh-CN"/>
        </w:rPr>
      </w:pPr>
      <w:r>
        <w:rPr>
          <w:rFonts w:hint="eastAsia" w:eastAsia="仿宋_GB2312"/>
          <w:sz w:val="32"/>
          <w:szCs w:val="32"/>
          <w:highlight w:val="none"/>
          <w:lang w:val="zh-CN"/>
        </w:rPr>
        <w:t>常年项目绩效分析。该类项目总数</w:t>
      </w:r>
      <w:r>
        <w:rPr>
          <w:rFonts w:hint="eastAsia" w:eastAsia="仿宋_GB2312"/>
          <w:sz w:val="32"/>
          <w:szCs w:val="32"/>
          <w:highlight w:val="none"/>
          <w:lang w:val="en-US" w:eastAsia="zh-CN"/>
        </w:rPr>
        <w:t>3</w:t>
      </w:r>
      <w:r>
        <w:rPr>
          <w:rFonts w:hint="eastAsia" w:eastAsia="仿宋_GB2312"/>
          <w:sz w:val="32"/>
          <w:szCs w:val="32"/>
          <w:highlight w:val="none"/>
          <w:lang w:val="zh-CN"/>
        </w:rPr>
        <w:t>个，涉及预算总金额</w:t>
      </w:r>
      <w:r>
        <w:rPr>
          <w:rFonts w:hint="eastAsia" w:eastAsia="仿宋_GB2312"/>
          <w:sz w:val="32"/>
          <w:szCs w:val="32"/>
          <w:highlight w:val="none"/>
          <w:lang w:val="en-US" w:eastAsia="zh-CN"/>
        </w:rPr>
        <w:t>289.51</w:t>
      </w:r>
      <w:r>
        <w:rPr>
          <w:rFonts w:hint="eastAsia" w:eastAsia="仿宋_GB2312"/>
          <w:sz w:val="32"/>
          <w:szCs w:val="32"/>
          <w:highlight w:val="none"/>
          <w:lang w:val="zh-CN"/>
        </w:rPr>
        <w:t>万元，1—12月预算执行总体进度为</w:t>
      </w:r>
      <w:r>
        <w:rPr>
          <w:rFonts w:hint="eastAsia" w:eastAsia="仿宋_GB2312"/>
          <w:sz w:val="32"/>
          <w:szCs w:val="32"/>
          <w:highlight w:val="none"/>
          <w:lang w:val="en-US" w:eastAsia="zh-CN"/>
        </w:rPr>
        <w:t>100</w:t>
      </w:r>
      <w:r>
        <w:rPr>
          <w:rFonts w:hint="eastAsia" w:eastAsia="仿宋_GB2312"/>
          <w:sz w:val="32"/>
          <w:szCs w:val="32"/>
          <w:highlight w:val="none"/>
          <w:lang w:val="zh-CN"/>
        </w:rPr>
        <w:t xml:space="preserve"> %，其中：预算结余率大于10%的项目共计</w:t>
      </w:r>
      <w:r>
        <w:rPr>
          <w:rFonts w:hint="eastAsia" w:eastAsia="仿宋_GB2312"/>
          <w:sz w:val="32"/>
          <w:szCs w:val="32"/>
          <w:highlight w:val="none"/>
          <w:lang w:val="en-US" w:eastAsia="zh-CN"/>
        </w:rPr>
        <w:t>0</w:t>
      </w:r>
      <w:r>
        <w:rPr>
          <w:rFonts w:hint="eastAsia" w:eastAsia="仿宋_GB2312"/>
          <w:sz w:val="32"/>
          <w:szCs w:val="32"/>
          <w:highlight w:val="none"/>
          <w:lang w:val="zh-CN"/>
        </w:rPr>
        <w:t>个。</w:t>
      </w:r>
    </w:p>
    <w:p w14:paraId="77ABFAC6">
      <w:pPr>
        <w:keepNext w:val="0"/>
        <w:keepLines w:val="0"/>
        <w:pageBreakBefore w:val="0"/>
        <w:widowControl w:val="0"/>
        <w:kinsoku/>
        <w:wordWrap/>
        <w:overflowPunct/>
        <w:topLinePunct/>
        <w:autoSpaceDE/>
        <w:autoSpaceDN/>
        <w:bidi w:val="0"/>
        <w:spacing w:line="560" w:lineRule="exact"/>
        <w:ind w:firstLine="640" w:firstLineChars="200"/>
        <w:textAlignment w:val="auto"/>
        <w:rPr>
          <w:rFonts w:eastAsia="仿宋_GB2312"/>
          <w:sz w:val="32"/>
          <w:szCs w:val="32"/>
          <w:highlight w:val="none"/>
          <w:lang w:val="zh-CN"/>
        </w:rPr>
      </w:pPr>
      <w:r>
        <w:rPr>
          <w:rFonts w:hint="eastAsia" w:eastAsia="仿宋_GB2312"/>
          <w:sz w:val="32"/>
          <w:szCs w:val="32"/>
          <w:highlight w:val="none"/>
          <w:lang w:val="zh-CN"/>
        </w:rPr>
        <w:t>阶段（一次性）项目绩效分析。该类项目总数</w:t>
      </w:r>
      <w:r>
        <w:rPr>
          <w:rFonts w:hint="eastAsia" w:eastAsia="仿宋_GB2312"/>
          <w:sz w:val="32"/>
          <w:szCs w:val="32"/>
          <w:highlight w:val="none"/>
          <w:lang w:val="en-US" w:eastAsia="zh-CN"/>
        </w:rPr>
        <w:t>1</w:t>
      </w:r>
      <w:r>
        <w:rPr>
          <w:rFonts w:hint="eastAsia" w:eastAsia="仿宋_GB2312"/>
          <w:sz w:val="32"/>
          <w:szCs w:val="32"/>
          <w:highlight w:val="none"/>
          <w:lang w:val="zh-CN"/>
        </w:rPr>
        <w:t>个，涉及预算总金额</w:t>
      </w:r>
      <w:r>
        <w:rPr>
          <w:rFonts w:hint="eastAsia" w:eastAsia="仿宋_GB2312"/>
          <w:sz w:val="32"/>
          <w:szCs w:val="32"/>
          <w:highlight w:val="none"/>
          <w:lang w:val="en-US" w:eastAsia="zh-CN"/>
        </w:rPr>
        <w:t>108.04</w:t>
      </w:r>
      <w:r>
        <w:rPr>
          <w:rFonts w:hint="eastAsia" w:eastAsia="仿宋_GB2312"/>
          <w:sz w:val="32"/>
          <w:szCs w:val="32"/>
          <w:highlight w:val="none"/>
          <w:lang w:val="zh-CN"/>
        </w:rPr>
        <w:t>万元，1—12月预算执行总体进度为</w:t>
      </w:r>
      <w:r>
        <w:rPr>
          <w:rFonts w:hint="eastAsia" w:eastAsia="仿宋_GB2312"/>
          <w:sz w:val="32"/>
          <w:szCs w:val="32"/>
          <w:highlight w:val="none"/>
          <w:lang w:val="en-US" w:eastAsia="zh-CN"/>
        </w:rPr>
        <w:t>100</w:t>
      </w:r>
      <w:r>
        <w:rPr>
          <w:rFonts w:hint="eastAsia" w:eastAsia="仿宋_GB2312"/>
          <w:sz w:val="32"/>
          <w:szCs w:val="32"/>
          <w:highlight w:val="none"/>
          <w:lang w:val="zh-CN"/>
        </w:rPr>
        <w:t xml:space="preserve"> %，其中：预算结余率大于10%的项目共计</w:t>
      </w:r>
      <w:r>
        <w:rPr>
          <w:rFonts w:hint="eastAsia" w:eastAsia="仿宋_GB2312"/>
          <w:sz w:val="32"/>
          <w:szCs w:val="32"/>
          <w:highlight w:val="none"/>
          <w:lang w:val="en-US" w:eastAsia="zh-CN"/>
        </w:rPr>
        <w:t>0</w:t>
      </w:r>
      <w:r>
        <w:rPr>
          <w:rFonts w:hint="eastAsia" w:eastAsia="仿宋_GB2312"/>
          <w:sz w:val="32"/>
          <w:szCs w:val="32"/>
          <w:highlight w:val="none"/>
          <w:lang w:val="zh-CN"/>
        </w:rPr>
        <w:t>个。</w:t>
      </w:r>
    </w:p>
    <w:p w14:paraId="56CDEA71">
      <w:pPr>
        <w:pageBreakBefore w:val="0"/>
        <w:kinsoku/>
        <w:wordWrap/>
        <w:overflowPunct/>
        <w:bidi w:val="0"/>
        <w:ind w:firstLine="640" w:firstLineChars="200"/>
        <w:rPr>
          <w:rFonts w:eastAsia="仿宋_GB2312"/>
          <w:sz w:val="32"/>
          <w:szCs w:val="32"/>
          <w:highlight w:val="none"/>
          <w:lang w:val="zh-CN"/>
        </w:rPr>
      </w:pPr>
      <w:r>
        <w:rPr>
          <w:rFonts w:hint="eastAsia" w:ascii="楷体_GB2312" w:hAnsi="楷体_GB2312" w:eastAsia="楷体_GB2312" w:cs="楷体_GB2312"/>
          <w:color w:val="000000"/>
          <w:kern w:val="0"/>
          <w:sz w:val="32"/>
          <w:szCs w:val="32"/>
          <w:highlight w:val="none"/>
          <w:shd w:val="clear" w:color="auto" w:fill="FFFFFF"/>
        </w:rPr>
        <w:t>1.项目决策。</w:t>
      </w:r>
      <w:r>
        <w:rPr>
          <w:rFonts w:hint="eastAsia" w:ascii="仿宋_GB2312" w:hAnsi="仿宋_GB2312" w:eastAsia="仿宋_GB2312" w:cs="仿宋_GB2312"/>
          <w:sz w:val="32"/>
          <w:szCs w:val="32"/>
          <w:highlight w:val="none"/>
          <w:lang w:val="en-US" w:eastAsia="zh-CN"/>
        </w:rPr>
        <w:t>以规划建设实际为立项依据，征求区财政局及主管部门意见，申报项目。申报与实际相符，申报目标合理可行。建立项目入库后动态管理机制，及时跟踪项目进展情况和绩效表现。</w:t>
      </w:r>
    </w:p>
    <w:p w14:paraId="5F311B83">
      <w:pPr>
        <w:pageBreakBefore w:val="0"/>
        <w:kinsoku/>
        <w:wordWrap/>
        <w:overflowPunct/>
        <w:bidi w:val="0"/>
        <w:ind w:firstLine="640" w:firstLineChars="200"/>
        <w:rPr>
          <w:rFonts w:eastAsia="仿宋_GB2312"/>
          <w:sz w:val="32"/>
          <w:szCs w:val="32"/>
          <w:highlight w:val="none"/>
          <w:lang w:val="zh-CN"/>
        </w:rPr>
      </w:pPr>
      <w:r>
        <w:rPr>
          <w:rFonts w:hint="eastAsia" w:ascii="楷体_GB2312" w:hAnsi="楷体_GB2312" w:eastAsia="楷体_GB2312" w:cs="楷体_GB2312"/>
          <w:color w:val="000000"/>
          <w:kern w:val="0"/>
          <w:sz w:val="32"/>
          <w:szCs w:val="32"/>
          <w:highlight w:val="none"/>
          <w:shd w:val="clear" w:color="auto" w:fill="FFFFFF"/>
        </w:rPr>
        <w:t>2.项目执行。</w:t>
      </w:r>
      <w:r>
        <w:rPr>
          <w:rFonts w:hint="eastAsia" w:ascii="仿宋_GB2312" w:hAnsi="仿宋_GB2312" w:eastAsia="仿宋_GB2312" w:cs="Times New Roman"/>
          <w:sz w:val="32"/>
          <w:szCs w:val="32"/>
          <w:highlight w:val="none"/>
          <w:lang w:val="en-US" w:eastAsia="zh-CN"/>
        </w:rPr>
        <w:t>一般公共预算实际项目执行2个，涉及资金约289.47万元，全部项目资金执行完毕。基金预算实际项目执行1个，涉及资金约108.04万元，国有资本经营预算项目执行1个，涉及资金约0.04万元，上述4个项目资金全部执行完毕按照年初预算执行100%完成。</w:t>
      </w:r>
    </w:p>
    <w:p w14:paraId="606C763C">
      <w:pPr>
        <w:pageBreakBefore w:val="0"/>
        <w:kinsoku/>
        <w:wordWrap/>
        <w:overflowPunct/>
        <w:bidi w:val="0"/>
        <w:ind w:firstLine="640" w:firstLineChars="200"/>
        <w:rPr>
          <w:rFonts w:eastAsia="仿宋_GB2312"/>
          <w:sz w:val="32"/>
          <w:szCs w:val="32"/>
          <w:highlight w:val="none"/>
          <w:lang w:val="zh-CN"/>
        </w:rPr>
      </w:pPr>
      <w:r>
        <w:rPr>
          <w:rFonts w:hint="eastAsia" w:ascii="楷体_GB2312" w:hAnsi="楷体_GB2312" w:eastAsia="楷体_GB2312" w:cs="楷体_GB2312"/>
          <w:color w:val="000000"/>
          <w:kern w:val="0"/>
          <w:sz w:val="32"/>
          <w:szCs w:val="32"/>
          <w:highlight w:val="none"/>
          <w:shd w:val="clear" w:color="auto" w:fill="FFFFFF"/>
        </w:rPr>
        <w:t>3.目标实现。</w:t>
      </w:r>
      <w:r>
        <w:rPr>
          <w:rFonts w:hint="eastAsia" w:ascii="仿宋_GB2312" w:hAnsi="仿宋_GB2312" w:eastAsia="仿宋_GB2312" w:cs="仿宋_GB2312"/>
          <w:sz w:val="32"/>
          <w:szCs w:val="32"/>
          <w:highlight w:val="none"/>
          <w:lang w:val="en-US" w:eastAsia="zh-CN"/>
        </w:rPr>
        <w:t>涉及2个一般公共预算项目、1个基金预算项目及1个国有资本经营预算项目，均严格按照预算绩效要求，坚持专款专用，有效确保了项目推进。</w:t>
      </w:r>
      <w:r>
        <w:rPr>
          <w:rFonts w:hint="eastAsia" w:ascii="仿宋_GB2312" w:hAnsi="仿宋_GB2312" w:eastAsia="仿宋_GB2312" w:cs="仿宋_GB2312"/>
          <w:sz w:val="32"/>
          <w:szCs w:val="32"/>
          <w:highlight w:val="none"/>
        </w:rPr>
        <w:t>从执行率和满意度</w:t>
      </w:r>
      <w:r>
        <w:rPr>
          <w:rFonts w:hint="eastAsia" w:ascii="仿宋_GB2312" w:hAnsi="仿宋_GB2312" w:eastAsia="仿宋_GB2312" w:cs="仿宋_GB2312"/>
          <w:sz w:val="32"/>
          <w:szCs w:val="32"/>
          <w:highlight w:val="none"/>
          <w:lang w:val="en-US" w:eastAsia="zh-CN"/>
        </w:rPr>
        <w:t>来看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有力有效地推进了全部项目按照预定安排有序实施，保障了群众权益</w:t>
      </w:r>
      <w:r>
        <w:rPr>
          <w:rFonts w:hint="eastAsia" w:ascii="仿宋_GB2312" w:hAnsi="仿宋_GB2312" w:eastAsia="仿宋_GB2312" w:cs="仿宋_GB2312"/>
          <w:sz w:val="32"/>
          <w:szCs w:val="32"/>
          <w:highlight w:val="none"/>
        </w:rPr>
        <w:t>。</w:t>
      </w:r>
    </w:p>
    <w:p w14:paraId="76F2FEEF">
      <w:pPr>
        <w:pageBreakBefore w:val="0"/>
        <w:numPr>
          <w:ilvl w:val="0"/>
          <w:numId w:val="4"/>
        </w:numPr>
        <w:kinsoku/>
        <w:wordWrap/>
        <w:overflowPunct/>
        <w:bidi w:val="0"/>
        <w:ind w:firstLine="643" w:firstLineChars="200"/>
        <w:rPr>
          <w:rFonts w:hint="eastAsia" w:ascii="楷体_GB2312" w:eastAsia="楷体_GB2312"/>
          <w:b/>
          <w:sz w:val="32"/>
          <w:szCs w:val="32"/>
          <w:highlight w:val="none"/>
        </w:rPr>
      </w:pPr>
      <w:r>
        <w:rPr>
          <w:rFonts w:hint="eastAsia" w:ascii="楷体_GB2312" w:eastAsia="楷体_GB2312"/>
          <w:b/>
          <w:sz w:val="32"/>
          <w:szCs w:val="32"/>
          <w:highlight w:val="none"/>
        </w:rPr>
        <w:t>重点领域绩效分析。</w:t>
      </w:r>
      <w:r>
        <w:rPr>
          <w:rFonts w:hint="eastAsia" w:ascii="楷体_GB2312" w:eastAsia="楷体_GB2312"/>
          <w:b w:val="0"/>
          <w:bCs/>
          <w:sz w:val="32"/>
          <w:szCs w:val="32"/>
          <w:highlight w:val="none"/>
          <w:lang w:val="en-US" w:eastAsia="zh-CN"/>
        </w:rPr>
        <w:t>无。</w:t>
      </w:r>
    </w:p>
    <w:p w14:paraId="1CE62C12">
      <w:pPr>
        <w:keepNext w:val="0"/>
        <w:keepLines w:val="0"/>
        <w:pageBreakBefore w:val="0"/>
        <w:widowControl w:val="0"/>
        <w:numPr>
          <w:ilvl w:val="0"/>
          <w:numId w:val="4"/>
        </w:numPr>
        <w:kinsoku/>
        <w:wordWrap/>
        <w:overflowPunct/>
        <w:topLinePunct/>
        <w:autoSpaceDE/>
        <w:autoSpaceDN/>
        <w:bidi w:val="0"/>
        <w:spacing w:line="560" w:lineRule="exact"/>
        <w:ind w:left="0" w:leftChars="0" w:firstLine="643" w:firstLineChars="200"/>
        <w:textAlignment w:val="auto"/>
        <w:rPr>
          <w:rFonts w:hint="eastAsia" w:ascii="仿宋_GB2312" w:hAnsi="仿宋_GB2312" w:eastAsia="仿宋_GB2312" w:cs="仿宋_GB2312"/>
          <w:color w:val="000000"/>
          <w:kern w:val="2"/>
          <w:sz w:val="32"/>
          <w:szCs w:val="32"/>
          <w:lang w:val="zh-CN" w:eastAsia="zh-CN" w:bidi="ar-SA"/>
        </w:rPr>
      </w:pPr>
      <w:r>
        <w:rPr>
          <w:rFonts w:hint="eastAsia" w:ascii="楷体_GB2312" w:eastAsia="楷体_GB2312"/>
          <w:b/>
          <w:sz w:val="32"/>
          <w:szCs w:val="32"/>
          <w:highlight w:val="none"/>
        </w:rPr>
        <w:t>绩效结果应用情况。</w:t>
      </w:r>
      <w:r>
        <w:rPr>
          <w:rFonts w:hint="eastAsia" w:ascii="仿宋_GB2312" w:hAnsi="仿宋_GB2312" w:eastAsia="仿宋_GB2312" w:cs="仿宋_GB2312"/>
          <w:color w:val="000000"/>
          <w:kern w:val="2"/>
          <w:sz w:val="32"/>
          <w:szCs w:val="32"/>
          <w:lang w:val="zh-CN" w:eastAsia="zh-CN" w:bidi="ar-SA"/>
        </w:rPr>
        <w:t>本部门将预算项目全年预算执行情况纳入了部门绩效管理考评细则中。同时，按照财政部门统一部署安排，于202</w:t>
      </w:r>
      <w:r>
        <w:rPr>
          <w:rFonts w:hint="eastAsia" w:ascii="仿宋_GB2312" w:hAnsi="仿宋_GB2312" w:eastAsia="仿宋_GB2312" w:cs="仿宋_GB2312"/>
          <w:color w:val="000000"/>
          <w:kern w:val="2"/>
          <w:sz w:val="32"/>
          <w:szCs w:val="32"/>
          <w:lang w:val="en-US" w:eastAsia="zh-CN" w:bidi="ar-SA"/>
        </w:rPr>
        <w:t>3</w:t>
      </w:r>
      <w:r>
        <w:rPr>
          <w:rFonts w:hint="eastAsia" w:ascii="仿宋_GB2312" w:hAnsi="仿宋_GB2312" w:eastAsia="仿宋_GB2312" w:cs="仿宋_GB2312"/>
          <w:color w:val="000000"/>
          <w:kern w:val="2"/>
          <w:sz w:val="32"/>
          <w:szCs w:val="32"/>
          <w:lang w:val="zh-CN" w:eastAsia="zh-CN" w:bidi="ar-SA"/>
        </w:rPr>
        <w:t>年</w:t>
      </w:r>
      <w:r>
        <w:rPr>
          <w:rFonts w:hint="eastAsia" w:ascii="仿宋_GB2312" w:hAnsi="仿宋_GB2312" w:eastAsia="仿宋_GB2312" w:cs="仿宋_GB2312"/>
          <w:color w:val="000000"/>
          <w:kern w:val="2"/>
          <w:sz w:val="32"/>
          <w:szCs w:val="32"/>
          <w:lang w:val="en-US" w:eastAsia="zh-CN" w:bidi="ar-SA"/>
        </w:rPr>
        <w:t>2</w:t>
      </w:r>
      <w:r>
        <w:rPr>
          <w:rFonts w:hint="eastAsia" w:ascii="仿宋_GB2312" w:hAnsi="仿宋_GB2312" w:eastAsia="仿宋_GB2312" w:cs="仿宋_GB2312"/>
          <w:color w:val="000000"/>
          <w:kern w:val="2"/>
          <w:sz w:val="32"/>
          <w:szCs w:val="32"/>
          <w:lang w:val="zh-CN" w:eastAsia="zh-CN" w:bidi="ar-SA"/>
        </w:rPr>
        <w:t>月随同202</w:t>
      </w:r>
      <w:r>
        <w:rPr>
          <w:rFonts w:hint="eastAsia" w:ascii="仿宋_GB2312" w:hAnsi="仿宋_GB2312" w:eastAsia="仿宋_GB2312" w:cs="仿宋_GB2312"/>
          <w:color w:val="000000"/>
          <w:kern w:val="2"/>
          <w:sz w:val="32"/>
          <w:szCs w:val="32"/>
          <w:lang w:val="en-US" w:eastAsia="zh-CN" w:bidi="ar-SA"/>
        </w:rPr>
        <w:t>3</w:t>
      </w:r>
      <w:r>
        <w:rPr>
          <w:rFonts w:hint="eastAsia" w:ascii="仿宋_GB2312" w:hAnsi="仿宋_GB2312" w:eastAsia="仿宋_GB2312" w:cs="仿宋_GB2312"/>
          <w:color w:val="000000"/>
          <w:kern w:val="2"/>
          <w:sz w:val="32"/>
          <w:szCs w:val="32"/>
          <w:lang w:val="zh-CN" w:eastAsia="zh-CN" w:bidi="ar-SA"/>
        </w:rPr>
        <w:t>年部门预算编制说明公开了绩效目标设置情况，于202</w:t>
      </w:r>
      <w:r>
        <w:rPr>
          <w:rFonts w:hint="eastAsia" w:ascii="仿宋_GB2312" w:hAnsi="仿宋_GB2312" w:eastAsia="仿宋_GB2312" w:cs="仿宋_GB2312"/>
          <w:color w:val="000000"/>
          <w:kern w:val="2"/>
          <w:sz w:val="32"/>
          <w:szCs w:val="32"/>
          <w:lang w:val="en-US" w:eastAsia="zh-CN" w:bidi="ar-SA"/>
        </w:rPr>
        <w:t>3</w:t>
      </w:r>
      <w:r>
        <w:rPr>
          <w:rFonts w:hint="eastAsia" w:ascii="仿宋_GB2312" w:hAnsi="仿宋_GB2312" w:eastAsia="仿宋_GB2312" w:cs="仿宋_GB2312"/>
          <w:color w:val="000000"/>
          <w:kern w:val="2"/>
          <w:sz w:val="32"/>
          <w:szCs w:val="32"/>
          <w:lang w:val="zh-CN" w:eastAsia="zh-CN" w:bidi="ar-SA"/>
        </w:rPr>
        <w:t>年</w:t>
      </w:r>
      <w:r>
        <w:rPr>
          <w:rFonts w:hint="eastAsia" w:ascii="仿宋_GB2312" w:hAnsi="仿宋_GB2312" w:eastAsia="仿宋_GB2312" w:cs="仿宋_GB2312"/>
          <w:color w:val="000000"/>
          <w:kern w:val="2"/>
          <w:sz w:val="32"/>
          <w:szCs w:val="32"/>
          <w:lang w:val="en-US" w:eastAsia="zh-CN" w:bidi="ar-SA"/>
        </w:rPr>
        <w:t>10</w:t>
      </w:r>
      <w:r>
        <w:rPr>
          <w:rFonts w:hint="eastAsia" w:ascii="仿宋_GB2312" w:hAnsi="仿宋_GB2312" w:eastAsia="仿宋_GB2312" w:cs="仿宋_GB2312"/>
          <w:color w:val="000000"/>
          <w:kern w:val="2"/>
          <w:sz w:val="32"/>
          <w:szCs w:val="32"/>
          <w:lang w:val="zh-CN" w:eastAsia="zh-CN" w:bidi="ar-SA"/>
        </w:rPr>
        <w:t>月随同202</w:t>
      </w:r>
      <w:r>
        <w:rPr>
          <w:rFonts w:hint="eastAsia" w:ascii="仿宋_GB2312" w:hAnsi="仿宋_GB2312" w:eastAsia="仿宋_GB2312" w:cs="仿宋_GB2312"/>
          <w:color w:val="000000"/>
          <w:kern w:val="2"/>
          <w:sz w:val="32"/>
          <w:szCs w:val="32"/>
          <w:lang w:val="en-US" w:eastAsia="zh-CN" w:bidi="ar-SA"/>
        </w:rPr>
        <w:t>2</w:t>
      </w:r>
      <w:r>
        <w:rPr>
          <w:rFonts w:hint="eastAsia" w:ascii="仿宋_GB2312" w:hAnsi="仿宋_GB2312" w:eastAsia="仿宋_GB2312" w:cs="仿宋_GB2312"/>
          <w:color w:val="000000"/>
          <w:kern w:val="2"/>
          <w:sz w:val="32"/>
          <w:szCs w:val="32"/>
          <w:lang w:val="zh-CN" w:eastAsia="zh-CN" w:bidi="ar-SA"/>
        </w:rPr>
        <w:t>年部门决算说明公开了绩效目标管理情况及部门整体支出绩效自评报告，自觉接受社会公众的监督，进一步提高财政资金管理透明度。</w:t>
      </w:r>
    </w:p>
    <w:p w14:paraId="0888E822">
      <w:pPr>
        <w:keepNext w:val="0"/>
        <w:keepLines w:val="0"/>
        <w:pageBreakBefore w:val="0"/>
        <w:widowControl w:val="0"/>
        <w:numPr>
          <w:ilvl w:val="0"/>
          <w:numId w:val="0"/>
        </w:numPr>
        <w:kinsoku/>
        <w:wordWrap/>
        <w:overflowPunct/>
        <w:topLinePunct/>
        <w:autoSpaceDE/>
        <w:autoSpaceDN/>
        <w:bidi w:val="0"/>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楷体_GB2312" w:eastAsia="楷体_GB2312"/>
          <w:b/>
          <w:sz w:val="32"/>
          <w:szCs w:val="32"/>
        </w:rPr>
        <w:t>（三）重点领域绩效分析。</w:t>
      </w:r>
      <w:r>
        <w:rPr>
          <w:rFonts w:hint="eastAsia" w:ascii="Times New Roman" w:hAnsi="Times New Roman" w:eastAsia="仿宋_GB2312" w:cs="Times New Roman"/>
          <w:sz w:val="32"/>
          <w:szCs w:val="32"/>
          <w:lang w:val="zh-CN" w:eastAsia="zh-CN"/>
        </w:rPr>
        <w:t>无。</w:t>
      </w:r>
    </w:p>
    <w:p w14:paraId="3F889906">
      <w:pPr>
        <w:keepNext w:val="0"/>
        <w:keepLines w:val="0"/>
        <w:pageBreakBefore w:val="0"/>
        <w:widowControl w:val="0"/>
        <w:kinsoku/>
        <w:wordWrap/>
        <w:overflowPunct/>
        <w:topLinePunct/>
        <w:autoSpaceDE/>
        <w:autoSpaceDN/>
        <w:bidi w:val="0"/>
        <w:adjustRightInd w:val="0"/>
        <w:snapToGrid w:val="0"/>
        <w:spacing w:line="520" w:lineRule="exact"/>
        <w:ind w:firstLine="643" w:firstLineChars="200"/>
        <w:rPr>
          <w:rFonts w:hint="eastAsia" w:ascii="仿宋_GB2312" w:eastAsia="仿宋_GB2312"/>
          <w:color w:val="000000"/>
          <w:sz w:val="32"/>
          <w:szCs w:val="32"/>
          <w:highlight w:val="none"/>
          <w:lang w:val="zh-CN" w:eastAsia="zh-CN"/>
        </w:rPr>
      </w:pPr>
      <w:r>
        <w:rPr>
          <w:rFonts w:hint="eastAsia" w:ascii="楷体_GB2312" w:eastAsia="楷体_GB2312"/>
          <w:b/>
          <w:sz w:val="32"/>
          <w:szCs w:val="32"/>
        </w:rPr>
        <w:t>（四）绩效结果应用情况。</w:t>
      </w:r>
      <w:r>
        <w:rPr>
          <w:rFonts w:hint="eastAsia" w:ascii="仿宋_GB2312" w:eastAsia="仿宋_GB2312"/>
          <w:color w:val="000000"/>
          <w:sz w:val="32"/>
          <w:szCs w:val="32"/>
          <w:highlight w:val="none"/>
          <w:lang w:val="zh-CN" w:eastAsia="zh-CN"/>
        </w:rPr>
        <w:t>本年度我单位加强政府性债务管理、非税收入执收、政策采购实施计划、资产管理、内控制度管理、信息公开、绩效评价及依法接受财政监督等制度的执行和监督，无政府性债务，非税收入全部上缴国库。我镇对重大工程和重要项目安排、大额度资金使用事项实行“三重一大”集体决策制度，采用“财政资金就地就近监管”的管理方式，提高项目上报的速度和质量。不断增强工作协调能力，高度重视老百姓反映的有关财务问题，切实做好20</w:t>
      </w:r>
      <w:r>
        <w:rPr>
          <w:rFonts w:hint="eastAsia" w:ascii="仿宋_GB2312" w:eastAsia="仿宋_GB2312"/>
          <w:color w:val="000000"/>
          <w:sz w:val="32"/>
          <w:szCs w:val="32"/>
          <w:highlight w:val="none"/>
          <w:lang w:val="en-US" w:eastAsia="zh-CN"/>
        </w:rPr>
        <w:t>23</w:t>
      </w:r>
      <w:r>
        <w:rPr>
          <w:rFonts w:hint="eastAsia" w:ascii="仿宋_GB2312" w:eastAsia="仿宋_GB2312"/>
          <w:color w:val="000000"/>
          <w:sz w:val="32"/>
          <w:szCs w:val="32"/>
          <w:highlight w:val="none"/>
          <w:lang w:val="zh-CN" w:eastAsia="zh-CN"/>
        </w:rPr>
        <w:t>年镇属部门、村组级年度审计。坚持把干部素质教育与专业知识学习提升相结合，不断提升团队凝聚力和办事效率。加强财政队伍党风廉政教育，营造勤政氛围，规范廉洁行为，不断增强财政干部的廉洁意识，树立了财政人员良好形象。</w:t>
      </w:r>
    </w:p>
    <w:p w14:paraId="315F544C">
      <w:pPr>
        <w:keepNext w:val="0"/>
        <w:keepLines w:val="0"/>
        <w:pageBreakBefore w:val="0"/>
        <w:widowControl w:val="0"/>
        <w:kinsoku/>
        <w:wordWrap/>
        <w:overflowPunct/>
        <w:topLinePunct/>
        <w:autoSpaceDE/>
        <w:autoSpaceDN/>
        <w:bidi w:val="0"/>
        <w:spacing w:line="560" w:lineRule="exact"/>
        <w:ind w:firstLine="640" w:firstLineChars="200"/>
        <w:rPr>
          <w:rFonts w:eastAsia="仿宋_GB2312"/>
          <w:sz w:val="32"/>
          <w:szCs w:val="32"/>
          <w:lang w:val="zh-CN"/>
        </w:rPr>
      </w:pPr>
      <w:r>
        <w:rPr>
          <w:rFonts w:hint="eastAsia" w:ascii="仿宋_GB2312" w:eastAsia="仿宋_GB2312"/>
          <w:color w:val="000000"/>
          <w:sz w:val="32"/>
          <w:szCs w:val="32"/>
          <w:highlight w:val="none"/>
          <w:lang w:val="zh-CN" w:eastAsia="zh-CN"/>
        </w:rPr>
        <w:t>通过对绩效自评评价结果整改和应用结果反馈等情况，再次</w:t>
      </w:r>
      <w:r>
        <w:rPr>
          <w:rFonts w:hint="eastAsia" w:ascii="仿宋_GB2312" w:eastAsia="仿宋_GB2312"/>
          <w:color w:val="000000"/>
          <w:sz w:val="32"/>
          <w:szCs w:val="32"/>
          <w:highlight w:val="none"/>
          <w:lang w:val="en-US" w:eastAsia="zh-CN"/>
        </w:rPr>
        <w:t>从组织领导、预算安排与执行、制度建设、操作程序、宣传培训、工作成效及遵纪守法等七个方面，对所有考核内容逐项检查对照。特别注重重点项目的实施和绩效评价，提高群众满意度。</w:t>
      </w:r>
    </w:p>
    <w:p w14:paraId="42450B09">
      <w:pPr>
        <w:keepNext w:val="0"/>
        <w:keepLines w:val="0"/>
        <w:pageBreakBefore w:val="0"/>
        <w:widowControl w:val="0"/>
        <w:kinsoku/>
        <w:wordWrap/>
        <w:overflowPunct/>
        <w:topLinePunct/>
        <w:autoSpaceDE/>
        <w:autoSpaceDN/>
        <w:bidi w:val="0"/>
        <w:spacing w:line="560" w:lineRule="exact"/>
        <w:ind w:firstLine="640" w:firstLineChars="200"/>
        <w:textAlignment w:val="auto"/>
        <w:outlineLvl w:val="1"/>
        <w:rPr>
          <w:rFonts w:ascii="黑体" w:hAnsi="黑体" w:eastAsia="黑体"/>
          <w:sz w:val="32"/>
          <w:szCs w:val="32"/>
        </w:rPr>
      </w:pPr>
      <w:bookmarkStart w:id="100" w:name="_Toc17861"/>
      <w:bookmarkStart w:id="101" w:name="_Toc2137"/>
      <w:bookmarkStart w:id="102" w:name="_Toc20190"/>
      <w:r>
        <w:rPr>
          <w:rFonts w:hint="eastAsia" w:ascii="黑体" w:hAnsi="黑体" w:eastAsia="黑体"/>
          <w:sz w:val="32"/>
          <w:szCs w:val="32"/>
        </w:rPr>
        <w:t>四、评价结论及建议</w:t>
      </w:r>
      <w:bookmarkEnd w:id="100"/>
      <w:bookmarkEnd w:id="101"/>
      <w:bookmarkEnd w:id="102"/>
    </w:p>
    <w:p w14:paraId="5E06525E">
      <w:pPr>
        <w:keepNext w:val="0"/>
        <w:keepLines w:val="0"/>
        <w:pageBreakBefore w:val="0"/>
        <w:widowControl w:val="0"/>
        <w:kinsoku/>
        <w:wordWrap/>
        <w:overflowPunct/>
        <w:topLinePunct/>
        <w:autoSpaceDE/>
        <w:autoSpaceDN/>
        <w:bidi w:val="0"/>
        <w:spacing w:line="560" w:lineRule="exact"/>
        <w:ind w:firstLine="643" w:firstLineChars="200"/>
        <w:textAlignment w:val="auto"/>
        <w:rPr>
          <w:rFonts w:hint="eastAsia" w:ascii="楷体_GB2312" w:hAnsi="楷体_GB2312" w:eastAsia="楷体_GB2312"/>
          <w:b/>
          <w:color w:val="auto"/>
          <w:sz w:val="32"/>
          <w:szCs w:val="24"/>
          <w:lang w:val="zh-CN"/>
        </w:rPr>
      </w:pPr>
      <w:r>
        <w:rPr>
          <w:rFonts w:hint="eastAsia" w:ascii="楷体_GB2312" w:hAnsi="楷体_GB2312" w:eastAsia="楷体_GB2312"/>
          <w:b/>
          <w:color w:val="auto"/>
          <w:sz w:val="32"/>
          <w:szCs w:val="24"/>
          <w:lang w:val="zh-CN"/>
        </w:rPr>
        <w:t>（一）评价结论</w:t>
      </w:r>
    </w:p>
    <w:p w14:paraId="284EB5A3">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eastAsia" w:ascii="仿宋_GB2312" w:eastAsia="仿宋_GB2312"/>
          <w:color w:val="000000"/>
          <w:sz w:val="32"/>
          <w:szCs w:val="32"/>
          <w:highlight w:val="none"/>
          <w:lang w:val="zh-CN" w:eastAsia="zh-CN"/>
        </w:rPr>
      </w:pPr>
      <w:r>
        <w:rPr>
          <w:rFonts w:hint="eastAsia" w:ascii="仿宋_GB2312" w:hAnsi="仿宋_GB2312" w:eastAsia="仿宋_GB2312" w:cs="仿宋_GB2312"/>
          <w:sz w:val="32"/>
          <w:szCs w:val="32"/>
          <w:highlight w:val="none"/>
        </w:rPr>
        <w:t>部门整体支出绩效评价自评得分</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分。综合202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年度财政预算项目绩效评价情况认为，</w:t>
      </w:r>
      <w:r>
        <w:rPr>
          <w:rFonts w:hint="eastAsia" w:ascii="仿宋_GB2312" w:eastAsia="仿宋_GB2312"/>
          <w:color w:val="000000"/>
          <w:sz w:val="32"/>
          <w:szCs w:val="32"/>
          <w:highlight w:val="none"/>
          <w:lang w:val="zh-CN" w:eastAsia="zh-CN"/>
        </w:rPr>
        <w:t>20</w:t>
      </w:r>
      <w:r>
        <w:rPr>
          <w:rFonts w:hint="eastAsia" w:ascii="仿宋_GB2312" w:eastAsia="仿宋_GB2312"/>
          <w:color w:val="000000"/>
          <w:sz w:val="32"/>
          <w:szCs w:val="32"/>
          <w:highlight w:val="none"/>
          <w:lang w:val="en-US" w:eastAsia="zh-CN"/>
        </w:rPr>
        <w:t>23</w:t>
      </w:r>
      <w:r>
        <w:rPr>
          <w:rFonts w:hint="eastAsia" w:ascii="仿宋_GB2312" w:eastAsia="仿宋_GB2312"/>
          <w:color w:val="000000"/>
          <w:sz w:val="32"/>
          <w:szCs w:val="32"/>
          <w:highlight w:val="none"/>
          <w:lang w:val="zh-CN" w:eastAsia="zh-CN"/>
        </w:rPr>
        <w:t>年全镇财政运行状况良好，财政资金专项预算分配时限合理，专款分配合规率高，预算执行进度基本达标。本年度我单位加强政府性债务管理、非税收入执收、政策采购实施计划、资产管理、内控制度管理、信息公开、绩效评价及依法接受财政监督等制度的执行和监督，无政府性债务，非税收入全部上缴国库。</w:t>
      </w:r>
    </w:p>
    <w:p w14:paraId="2DB50F0E">
      <w:pPr>
        <w:keepNext w:val="0"/>
        <w:keepLines w:val="0"/>
        <w:pageBreakBefore w:val="0"/>
        <w:widowControl w:val="0"/>
        <w:kinsoku/>
        <w:wordWrap/>
        <w:overflowPunct/>
        <w:topLinePunct/>
        <w:autoSpaceDE/>
        <w:autoSpaceDN/>
        <w:bidi w:val="0"/>
        <w:spacing w:line="560" w:lineRule="exact"/>
        <w:ind w:firstLine="643" w:firstLineChars="200"/>
        <w:textAlignment w:val="auto"/>
        <w:rPr>
          <w:rFonts w:hint="eastAsia" w:ascii="楷体_GB2312" w:hAnsi="楷体_GB2312" w:eastAsia="楷体_GB2312"/>
          <w:b/>
          <w:color w:val="auto"/>
          <w:sz w:val="32"/>
          <w:szCs w:val="24"/>
          <w:lang w:val="zh-CN"/>
        </w:rPr>
      </w:pPr>
      <w:r>
        <w:rPr>
          <w:rFonts w:hint="eastAsia" w:ascii="楷体_GB2312" w:hAnsi="楷体_GB2312" w:eastAsia="楷体_GB2312"/>
          <w:b/>
          <w:color w:val="auto"/>
          <w:sz w:val="32"/>
          <w:szCs w:val="24"/>
          <w:lang w:val="zh-CN"/>
        </w:rPr>
        <w:t>（二）存在问题</w:t>
      </w:r>
    </w:p>
    <w:p w14:paraId="006425F9">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eastAsia" w:ascii="仿宋_GB2312" w:eastAsia="仿宋_GB2312"/>
          <w:color w:val="000000"/>
          <w:sz w:val="32"/>
          <w:szCs w:val="32"/>
          <w:highlight w:val="none"/>
          <w:lang w:val="zh-CN" w:eastAsia="zh-CN"/>
        </w:rPr>
      </w:pPr>
      <w:r>
        <w:rPr>
          <w:rFonts w:hint="eastAsia" w:ascii="仿宋_GB2312" w:eastAsia="仿宋_GB2312"/>
          <w:color w:val="000000"/>
          <w:sz w:val="32"/>
          <w:szCs w:val="32"/>
          <w:highlight w:val="none"/>
          <w:lang w:val="en-US" w:eastAsia="zh-CN"/>
        </w:rPr>
        <w:t>我单位通过开展2023年预算执行情况事后绩效自评工作，发现存在以下问题：</w:t>
      </w:r>
      <w:r>
        <w:rPr>
          <w:rFonts w:hint="eastAsia" w:ascii="仿宋_GB2312" w:eastAsia="仿宋_GB2312"/>
          <w:b/>
          <w:bCs/>
          <w:color w:val="000000"/>
          <w:sz w:val="32"/>
          <w:szCs w:val="32"/>
          <w:highlight w:val="none"/>
          <w:lang w:val="zh-CN" w:eastAsia="zh-CN"/>
        </w:rPr>
        <w:t>一是</w:t>
      </w:r>
      <w:r>
        <w:rPr>
          <w:rFonts w:hint="eastAsia" w:ascii="仿宋_GB2312" w:eastAsia="仿宋_GB2312"/>
          <w:color w:val="000000"/>
          <w:sz w:val="32"/>
          <w:szCs w:val="32"/>
          <w:highlight w:val="none"/>
          <w:lang w:val="zh-CN" w:eastAsia="zh-CN"/>
        </w:rPr>
        <w:t>财政管理职能在不断转变，预算执行存在一定偏差，财政管理水平还有待于提高；</w:t>
      </w:r>
      <w:r>
        <w:rPr>
          <w:rFonts w:hint="eastAsia" w:ascii="仿宋_GB2312" w:eastAsia="仿宋_GB2312"/>
          <w:b/>
          <w:bCs/>
          <w:color w:val="000000"/>
          <w:sz w:val="32"/>
          <w:szCs w:val="32"/>
          <w:highlight w:val="none"/>
          <w:lang w:val="zh-CN" w:eastAsia="zh-CN"/>
        </w:rPr>
        <w:t>二是</w:t>
      </w:r>
      <w:r>
        <w:rPr>
          <w:rFonts w:hint="eastAsia" w:ascii="仿宋_GB2312" w:eastAsia="仿宋_GB2312"/>
          <w:color w:val="000000"/>
          <w:sz w:val="32"/>
          <w:szCs w:val="32"/>
          <w:highlight w:val="none"/>
          <w:lang w:val="zh-CN" w:eastAsia="zh-CN"/>
        </w:rPr>
        <w:t>各种社会矛盾相继凸显，财政的保障范围不断扩大，财政刚性支出大幅增加；</w:t>
      </w:r>
      <w:r>
        <w:rPr>
          <w:rFonts w:hint="eastAsia" w:ascii="仿宋_GB2312" w:eastAsia="仿宋_GB2312"/>
          <w:b/>
          <w:bCs/>
          <w:color w:val="000000"/>
          <w:sz w:val="32"/>
          <w:szCs w:val="32"/>
          <w:highlight w:val="none"/>
          <w:lang w:val="zh-CN" w:eastAsia="zh-CN"/>
        </w:rPr>
        <w:t>三是</w:t>
      </w:r>
      <w:r>
        <w:rPr>
          <w:rFonts w:hint="eastAsia" w:ascii="仿宋_GB2312" w:eastAsia="仿宋_GB2312"/>
          <w:color w:val="000000"/>
          <w:sz w:val="32"/>
          <w:szCs w:val="32"/>
          <w:highlight w:val="none"/>
          <w:lang w:val="zh-CN" w:eastAsia="zh-CN"/>
        </w:rPr>
        <w:t>外部环境复杂严峻，制约我镇经济发展的困难较多，规模经济不够，群众增收压力较大。</w:t>
      </w:r>
    </w:p>
    <w:p w14:paraId="70722C84">
      <w:pPr>
        <w:keepNext w:val="0"/>
        <w:keepLines w:val="0"/>
        <w:pageBreakBefore w:val="0"/>
        <w:widowControl w:val="0"/>
        <w:kinsoku/>
        <w:wordWrap/>
        <w:overflowPunct/>
        <w:topLinePunct/>
        <w:autoSpaceDE/>
        <w:autoSpaceDN/>
        <w:bidi w:val="0"/>
        <w:spacing w:line="560" w:lineRule="exact"/>
        <w:ind w:firstLine="643" w:firstLineChars="200"/>
        <w:textAlignment w:val="auto"/>
        <w:rPr>
          <w:rFonts w:hint="eastAsia" w:ascii="楷体_GB2312" w:hAnsi="楷体_GB2312" w:eastAsia="楷体_GB2312"/>
          <w:b/>
          <w:color w:val="auto"/>
          <w:sz w:val="32"/>
          <w:szCs w:val="24"/>
          <w:lang w:val="zh-CN"/>
        </w:rPr>
      </w:pPr>
      <w:r>
        <w:rPr>
          <w:rFonts w:hint="eastAsia" w:ascii="楷体_GB2312" w:hAnsi="楷体_GB2312" w:eastAsia="楷体_GB2312"/>
          <w:b/>
          <w:color w:val="auto"/>
          <w:sz w:val="32"/>
          <w:szCs w:val="24"/>
          <w:lang w:val="zh-CN"/>
        </w:rPr>
        <w:t>（三）改进建议</w:t>
      </w:r>
    </w:p>
    <w:p w14:paraId="60B81330">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eastAsia="仿宋_GB2312"/>
          <w:sz w:val="32"/>
          <w:szCs w:val="32"/>
          <w:lang w:val="en-US"/>
        </w:rPr>
      </w:pPr>
      <w:r>
        <w:rPr>
          <w:rFonts w:hint="eastAsia" w:ascii="仿宋_GB2312" w:eastAsia="仿宋_GB2312"/>
          <w:color w:val="000000"/>
          <w:sz w:val="32"/>
          <w:szCs w:val="32"/>
          <w:highlight w:val="none"/>
          <w:lang w:val="zh-CN" w:eastAsia="zh-CN"/>
        </w:rPr>
        <w:t>针对发现的问题，我们将采取有效措施，认真加以解决。</w:t>
      </w:r>
      <w:r>
        <w:rPr>
          <w:rFonts w:hint="eastAsia" w:ascii="仿宋_GB2312" w:eastAsia="仿宋_GB2312"/>
          <w:b/>
          <w:bCs/>
          <w:color w:val="000000"/>
          <w:sz w:val="32"/>
          <w:szCs w:val="32"/>
          <w:highlight w:val="none"/>
          <w:lang w:val="zh-CN" w:eastAsia="zh-CN"/>
        </w:rPr>
        <w:t>一是</w:t>
      </w:r>
      <w:r>
        <w:rPr>
          <w:rFonts w:hint="eastAsia" w:ascii="仿宋_GB2312" w:eastAsia="仿宋_GB2312"/>
          <w:color w:val="000000"/>
          <w:sz w:val="32"/>
          <w:szCs w:val="32"/>
          <w:highlight w:val="none"/>
          <w:lang w:val="zh-CN" w:eastAsia="zh-CN"/>
        </w:rPr>
        <w:t>加强党政班子成员和财务人员专业知识和财经政策的教育培训，转变财政管理职能，严格执行预算管理制度，对执行过程中发现的问题，积极衔接上级财政部门，按规定按程序进行预算合理化调整；</w:t>
      </w:r>
      <w:r>
        <w:rPr>
          <w:rFonts w:hint="eastAsia" w:ascii="仿宋_GB2312" w:eastAsia="仿宋_GB2312"/>
          <w:b/>
          <w:bCs/>
          <w:color w:val="000000"/>
          <w:sz w:val="32"/>
          <w:szCs w:val="32"/>
          <w:highlight w:val="none"/>
          <w:lang w:val="zh-CN" w:eastAsia="zh-CN"/>
        </w:rPr>
        <w:t>二是</w:t>
      </w:r>
      <w:r>
        <w:rPr>
          <w:rFonts w:hint="eastAsia" w:ascii="仿宋_GB2312" w:eastAsia="仿宋_GB2312"/>
          <w:color w:val="000000"/>
          <w:sz w:val="32"/>
          <w:szCs w:val="32"/>
          <w:highlight w:val="none"/>
          <w:lang w:val="zh-CN" w:eastAsia="zh-CN"/>
        </w:rPr>
        <w:t>加强基层社会治理，用活用好每一分财政预算资金；</w:t>
      </w:r>
      <w:r>
        <w:rPr>
          <w:rFonts w:hint="eastAsia" w:ascii="仿宋_GB2312" w:eastAsia="仿宋_GB2312"/>
          <w:b/>
          <w:bCs/>
          <w:color w:val="000000"/>
          <w:sz w:val="32"/>
          <w:szCs w:val="32"/>
          <w:highlight w:val="none"/>
          <w:lang w:val="zh-CN" w:eastAsia="zh-CN"/>
        </w:rPr>
        <w:t>三是</w:t>
      </w:r>
      <w:r>
        <w:rPr>
          <w:rFonts w:hint="eastAsia" w:ascii="仿宋_GB2312" w:eastAsia="仿宋_GB2312"/>
          <w:color w:val="000000"/>
          <w:sz w:val="32"/>
          <w:szCs w:val="32"/>
          <w:highlight w:val="none"/>
          <w:lang w:val="zh-CN" w:eastAsia="zh-CN"/>
        </w:rPr>
        <w:t>拓展思路，深化乡村振兴工作，解决经济发展</w:t>
      </w:r>
      <w:r>
        <w:rPr>
          <w:rFonts w:hint="eastAsia" w:ascii="仿宋_GB2312" w:eastAsia="仿宋_GB2312"/>
          <w:color w:val="000000"/>
          <w:sz w:val="32"/>
          <w:szCs w:val="32"/>
          <w:highlight w:val="none"/>
          <w:lang w:val="en-US" w:eastAsia="zh-CN"/>
        </w:rPr>
        <w:t>的</w:t>
      </w:r>
      <w:r>
        <w:rPr>
          <w:rFonts w:hint="eastAsia" w:ascii="仿宋_GB2312" w:eastAsia="仿宋_GB2312"/>
          <w:color w:val="000000"/>
          <w:sz w:val="32"/>
          <w:szCs w:val="32"/>
          <w:highlight w:val="none"/>
          <w:lang w:val="zh-CN" w:eastAsia="zh-CN"/>
        </w:rPr>
        <w:t>困难，扩大我镇经济发</w:t>
      </w:r>
      <w:r>
        <w:rPr>
          <w:rFonts w:hint="eastAsia" w:ascii="仿宋_GB2312" w:eastAsia="仿宋_GB2312"/>
          <w:color w:val="000000"/>
          <w:sz w:val="32"/>
          <w:szCs w:val="32"/>
          <w:highlight w:val="none"/>
          <w:lang w:val="en-US" w:eastAsia="zh-CN"/>
        </w:rPr>
        <w:t>展。</w:t>
      </w:r>
    </w:p>
    <w:p w14:paraId="7C3F7ADA">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eastAsia" w:asciiTheme="minorEastAsia" w:hAnsiTheme="minorEastAsia" w:eastAsiaTheme="minorEastAsia"/>
          <w:sz w:val="32"/>
          <w:szCs w:val="32"/>
          <w:lang w:val="zh-CN"/>
        </w:rPr>
      </w:pPr>
    </w:p>
    <w:p w14:paraId="58331D15">
      <w:pPr>
        <w:keepNext w:val="0"/>
        <w:keepLines w:val="0"/>
        <w:pageBreakBefore w:val="0"/>
        <w:widowControl w:val="0"/>
        <w:kinsoku/>
        <w:wordWrap/>
        <w:overflowPunct/>
        <w:topLinePunct/>
        <w:autoSpaceDE/>
        <w:autoSpaceDN/>
        <w:bidi w:val="0"/>
        <w:spacing w:line="560" w:lineRule="exact"/>
        <w:ind w:firstLine="640" w:firstLineChars="200"/>
        <w:textAlignment w:val="auto"/>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附表：</w:t>
      </w:r>
      <w:r>
        <w:rPr>
          <w:rFonts w:hint="eastAsia" w:asciiTheme="minorEastAsia" w:hAnsiTheme="minorEastAsia" w:eastAsiaTheme="minorEastAsia"/>
          <w:sz w:val="32"/>
          <w:szCs w:val="32"/>
        </w:rPr>
        <w:t>部门</w:t>
      </w:r>
      <w:r>
        <w:rPr>
          <w:rFonts w:hint="eastAsia" w:asciiTheme="minorEastAsia" w:hAnsiTheme="minorEastAsia" w:eastAsiaTheme="minorEastAsia"/>
          <w:sz w:val="32"/>
          <w:szCs w:val="32"/>
          <w:lang w:val="zh-CN"/>
        </w:rPr>
        <w:t>预算项目支出绩效自评表（2023年度）</w:t>
      </w:r>
    </w:p>
    <w:p w14:paraId="5D3C28DA">
      <w:pPr>
        <w:keepNext w:val="0"/>
        <w:keepLines w:val="0"/>
        <w:pageBreakBefore w:val="0"/>
        <w:widowControl w:val="0"/>
        <w:kinsoku/>
        <w:wordWrap/>
        <w:overflowPunct/>
        <w:topLinePunct/>
        <w:autoSpaceDE/>
        <w:autoSpaceDN/>
        <w:bidi w:val="0"/>
        <w:spacing w:line="560" w:lineRule="exact"/>
        <w:ind w:firstLine="420" w:firstLineChars="200"/>
        <w:textAlignment w:val="auto"/>
      </w:pPr>
    </w:p>
    <w:p w14:paraId="369E0206">
      <w:pPr>
        <w:keepNext w:val="0"/>
        <w:keepLines w:val="0"/>
        <w:pageBreakBefore w:val="0"/>
        <w:widowControl w:val="0"/>
        <w:kinsoku/>
        <w:wordWrap/>
        <w:overflowPunct/>
        <w:topLinePunct/>
        <w:autoSpaceDE/>
        <w:autoSpaceDN/>
        <w:bidi w:val="0"/>
        <w:ind w:firstLine="640" w:firstLineChars="200"/>
        <w:rPr>
          <w:rFonts w:hint="eastAsia" w:ascii="黑体" w:hAnsi="黑体" w:eastAsia="黑体"/>
          <w:sz w:val="32"/>
          <w:szCs w:val="32"/>
        </w:rPr>
      </w:pPr>
      <w:r>
        <w:rPr>
          <w:rFonts w:hint="eastAsia" w:ascii="黑体" w:hAnsi="黑体" w:eastAsia="黑体"/>
          <w:sz w:val="32"/>
          <w:szCs w:val="32"/>
        </w:rPr>
        <w:br w:type="page"/>
      </w:r>
    </w:p>
    <w:tbl>
      <w:tblPr>
        <w:tblStyle w:val="1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720"/>
        <w:gridCol w:w="844"/>
        <w:gridCol w:w="1026"/>
        <w:gridCol w:w="482"/>
        <w:gridCol w:w="542"/>
        <w:gridCol w:w="482"/>
        <w:gridCol w:w="835"/>
        <w:gridCol w:w="494"/>
        <w:gridCol w:w="411"/>
        <w:gridCol w:w="1991"/>
      </w:tblGrid>
      <w:tr w14:paraId="10706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3285" w:type="dxa"/>
            <w:gridSpan w:val="4"/>
            <w:tcBorders>
              <w:top w:val="nil"/>
              <w:left w:val="nil"/>
              <w:bottom w:val="nil"/>
              <w:right w:val="nil"/>
            </w:tcBorders>
            <w:shd w:val="clear" w:color="auto" w:fill="auto"/>
            <w:vAlign w:val="center"/>
          </w:tcPr>
          <w:p w14:paraId="73DE23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lang w:val="en-US" w:eastAsia="zh-CN" w:bidi="ar"/>
              </w:rPr>
              <w:t>报表编号：510000_0013zp</w:t>
            </w:r>
          </w:p>
        </w:tc>
        <w:tc>
          <w:tcPr>
            <w:tcW w:w="482" w:type="dxa"/>
            <w:tcBorders>
              <w:top w:val="nil"/>
              <w:left w:val="nil"/>
              <w:bottom w:val="nil"/>
              <w:right w:val="nil"/>
            </w:tcBorders>
            <w:shd w:val="clear" w:color="auto" w:fill="auto"/>
            <w:noWrap/>
            <w:vAlign w:val="center"/>
          </w:tcPr>
          <w:p w14:paraId="6784A91D">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000000"/>
                <w:sz w:val="22"/>
                <w:szCs w:val="22"/>
                <w:u w:val="none"/>
              </w:rPr>
            </w:pPr>
          </w:p>
        </w:tc>
        <w:tc>
          <w:tcPr>
            <w:tcW w:w="1859" w:type="dxa"/>
            <w:gridSpan w:val="3"/>
            <w:tcBorders>
              <w:top w:val="nil"/>
              <w:left w:val="nil"/>
              <w:bottom w:val="nil"/>
              <w:right w:val="nil"/>
            </w:tcBorders>
            <w:shd w:val="clear" w:color="auto" w:fill="auto"/>
            <w:vAlign w:val="center"/>
          </w:tcPr>
          <w:p w14:paraId="21D9EBD6">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000000"/>
                <w:sz w:val="20"/>
                <w:szCs w:val="20"/>
                <w:u w:val="none"/>
              </w:rPr>
            </w:pPr>
          </w:p>
        </w:tc>
        <w:tc>
          <w:tcPr>
            <w:tcW w:w="494" w:type="dxa"/>
            <w:tcBorders>
              <w:top w:val="nil"/>
              <w:left w:val="nil"/>
              <w:bottom w:val="nil"/>
              <w:right w:val="nil"/>
            </w:tcBorders>
            <w:shd w:val="clear" w:color="auto" w:fill="auto"/>
            <w:noWrap/>
            <w:vAlign w:val="center"/>
          </w:tcPr>
          <w:p w14:paraId="18F6C3DF">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000000"/>
                <w:sz w:val="22"/>
                <w:szCs w:val="22"/>
                <w:u w:val="none"/>
              </w:rPr>
            </w:pPr>
          </w:p>
        </w:tc>
        <w:tc>
          <w:tcPr>
            <w:tcW w:w="411" w:type="dxa"/>
            <w:tcBorders>
              <w:top w:val="nil"/>
              <w:left w:val="nil"/>
              <w:bottom w:val="nil"/>
              <w:right w:val="nil"/>
            </w:tcBorders>
            <w:shd w:val="clear" w:color="auto" w:fill="auto"/>
            <w:noWrap/>
            <w:vAlign w:val="center"/>
          </w:tcPr>
          <w:p w14:paraId="05CD6E3D">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000000"/>
                <w:sz w:val="22"/>
                <w:szCs w:val="22"/>
                <w:u w:val="none"/>
              </w:rPr>
            </w:pPr>
          </w:p>
        </w:tc>
        <w:tc>
          <w:tcPr>
            <w:tcW w:w="1991" w:type="dxa"/>
            <w:tcBorders>
              <w:top w:val="nil"/>
              <w:left w:val="nil"/>
              <w:bottom w:val="nil"/>
              <w:right w:val="nil"/>
            </w:tcBorders>
            <w:shd w:val="clear" w:color="auto" w:fill="auto"/>
            <w:noWrap/>
            <w:vAlign w:val="center"/>
          </w:tcPr>
          <w:p w14:paraId="04E16FB2">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000000"/>
                <w:sz w:val="22"/>
                <w:szCs w:val="22"/>
                <w:u w:val="none"/>
              </w:rPr>
            </w:pPr>
          </w:p>
        </w:tc>
      </w:tr>
      <w:tr w14:paraId="2CEFC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F3B5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D6F9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D39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10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39C1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51060422T000000334393-新盛镇黄鹿水库移民后续补助资金</w:t>
            </w:r>
          </w:p>
        </w:tc>
      </w:tr>
      <w:tr w14:paraId="68BBF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246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3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EBCB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德阳市罗江区新盛镇人民政府</w:t>
            </w:r>
          </w:p>
        </w:tc>
        <w:tc>
          <w:tcPr>
            <w:tcW w:w="835" w:type="dxa"/>
            <w:tcBorders>
              <w:top w:val="nil"/>
              <w:left w:val="nil"/>
              <w:bottom w:val="nil"/>
              <w:right w:val="nil"/>
            </w:tcBorders>
            <w:shd w:val="clear" w:color="auto" w:fill="auto"/>
            <w:vAlign w:val="center"/>
          </w:tcPr>
          <w:p w14:paraId="29A8FE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8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2F31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德阳市罗江区新盛镇人民政府</w:t>
            </w:r>
          </w:p>
        </w:tc>
      </w:tr>
      <w:tr w14:paraId="5A486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44B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B96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3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F309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8FEA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70A3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3E955">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F7A54">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000000"/>
                <w:sz w:val="18"/>
                <w:szCs w:val="18"/>
                <w:u w:val="none"/>
              </w:rPr>
            </w:pPr>
          </w:p>
        </w:tc>
        <w:tc>
          <w:tcPr>
            <w:tcW w:w="33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9CB6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完成每年新盛镇黄鹿水库移民50户175人后续生活补助122元/人/月，医疗保险费补助280元/人/年。保障175名黄鹿移民正常生活，维护全镇稳定。</w:t>
            </w:r>
          </w:p>
        </w:tc>
        <w:tc>
          <w:tcPr>
            <w:tcW w:w="37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6F70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sz w:val="18"/>
                <w:szCs w:val="18"/>
                <w:u w:val="none"/>
                <w:lang w:val="en-US" w:eastAsia="zh-CN"/>
              </w:rPr>
              <w:t>按月及时发放补助，保障了</w:t>
            </w:r>
            <w:r>
              <w:rPr>
                <w:rFonts w:ascii="宋体" w:hAnsi="宋体" w:eastAsia="宋体" w:cs="宋体"/>
                <w:i w:val="0"/>
                <w:iCs w:val="0"/>
                <w:color w:val="000000"/>
                <w:kern w:val="0"/>
                <w:sz w:val="18"/>
                <w:szCs w:val="18"/>
                <w:u w:val="none"/>
                <w:lang w:val="en-US" w:eastAsia="zh-CN" w:bidi="ar"/>
              </w:rPr>
              <w:t>新盛镇黄鹿水库移民50户175人</w:t>
            </w:r>
            <w:r>
              <w:rPr>
                <w:rFonts w:hint="eastAsia" w:ascii="宋体" w:hAnsi="宋体" w:cs="宋体"/>
                <w:i w:val="0"/>
                <w:iCs w:val="0"/>
                <w:color w:val="000000"/>
                <w:kern w:val="0"/>
                <w:sz w:val="18"/>
                <w:szCs w:val="18"/>
                <w:u w:val="none"/>
                <w:lang w:val="en-US" w:eastAsia="zh-CN" w:bidi="ar"/>
              </w:rPr>
              <w:t>的正常生活，维护了全镇稳定。圆满完成2023年度目标任务。</w:t>
            </w:r>
          </w:p>
        </w:tc>
      </w:tr>
      <w:tr w14:paraId="306FB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AF82E">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54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10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7E5259F">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按月及时发放补助，年终及时保障医疗保险补助</w:t>
            </w:r>
          </w:p>
        </w:tc>
      </w:tr>
      <w:tr w14:paraId="79223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CC72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ED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45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23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00F2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07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B0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18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21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38F8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286F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05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BE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29.47</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C6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29.47</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7537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28.54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C1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96.84%</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8E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A4D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1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D88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DB02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A409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7F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00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29.47</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0C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29.47</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77E0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28.54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35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96.84%</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11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44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A4BC7">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黑体" w:hAnsi="黑体" w:eastAsia="黑体" w:cs="黑体"/>
                <w:i/>
                <w:iCs/>
                <w:color w:val="000000"/>
                <w:sz w:val="18"/>
                <w:szCs w:val="18"/>
                <w:u w:val="none"/>
              </w:rPr>
            </w:pPr>
          </w:p>
        </w:tc>
      </w:tr>
      <w:tr w14:paraId="424F8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5592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CE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2F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2C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C0D6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57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EF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E9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834E1">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黑体" w:hAnsi="黑体" w:eastAsia="黑体" w:cs="黑体"/>
                <w:i/>
                <w:iCs/>
                <w:color w:val="000000"/>
                <w:sz w:val="18"/>
                <w:szCs w:val="18"/>
                <w:u w:val="none"/>
              </w:rPr>
            </w:pPr>
          </w:p>
        </w:tc>
      </w:tr>
      <w:tr w14:paraId="2472F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C1BA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F6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BF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13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FEDF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45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96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12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E85D5">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黑体" w:hAnsi="黑体" w:eastAsia="黑体" w:cs="黑体"/>
                <w:i/>
                <w:iCs/>
                <w:color w:val="000000"/>
                <w:sz w:val="18"/>
                <w:szCs w:val="18"/>
                <w:u w:val="none"/>
              </w:rPr>
            </w:pPr>
          </w:p>
        </w:tc>
      </w:tr>
      <w:tr w14:paraId="4373E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3793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0B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D69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w:hAnsi="微软雅黑" w:eastAsia="微软雅黑" w:cs="微软雅黑"/>
                <w:i/>
                <w:iCs/>
                <w:color w:val="000000"/>
                <w:sz w:val="16"/>
                <w:szCs w:val="16"/>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1A1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w:hAnsi="微软雅黑" w:eastAsia="微软雅黑" w:cs="微软雅黑"/>
                <w:i/>
                <w:iCs/>
                <w:color w:val="000000"/>
                <w:sz w:val="16"/>
                <w:szCs w:val="16"/>
                <w:u w:val="none"/>
              </w:rPr>
            </w:pP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3A9B4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w:hAnsi="微软雅黑" w:eastAsia="微软雅黑" w:cs="微软雅黑"/>
                <w:i/>
                <w:iCs/>
                <w:color w:val="000000"/>
                <w:sz w:val="16"/>
                <w:szCs w:val="16"/>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D48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w:hAnsi="微软雅黑" w:eastAsia="微软雅黑" w:cs="微软雅黑"/>
                <w:i/>
                <w:iCs/>
                <w:color w:val="000000"/>
                <w:sz w:val="16"/>
                <w:szCs w:val="16"/>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CD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F5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05885">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黑体" w:hAnsi="黑体" w:eastAsia="黑体" w:cs="黑体"/>
                <w:i/>
                <w:iCs/>
                <w:color w:val="000000"/>
                <w:sz w:val="18"/>
                <w:szCs w:val="18"/>
                <w:u w:val="none"/>
              </w:rPr>
            </w:pPr>
          </w:p>
        </w:tc>
      </w:tr>
      <w:tr w14:paraId="5E4E7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569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27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2E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10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28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19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86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03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08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6D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78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8AFD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37EF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2BA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AF4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86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黄鹿水库移民人数</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91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0D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169</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1B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2F2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w:hAnsi="微软雅黑" w:eastAsia="微软雅黑" w:cs="微软雅黑"/>
                <w:i/>
                <w:iCs/>
                <w:color w:val="000000"/>
                <w:sz w:val="16"/>
                <w:szCs w:val="16"/>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6B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A69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A1C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w:hAnsi="微软雅黑" w:eastAsia="微软雅黑" w:cs="微软雅黑"/>
                <w:i/>
                <w:iCs/>
                <w:color w:val="000000"/>
                <w:sz w:val="16"/>
                <w:szCs w:val="16"/>
                <w:u w:val="none"/>
              </w:rPr>
            </w:pPr>
          </w:p>
        </w:tc>
      </w:tr>
      <w:tr w14:paraId="23D53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E659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55AC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7725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BA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黄鹿水库移民户数</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01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21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3E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93F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w:hAnsi="微软雅黑" w:eastAsia="微软雅黑" w:cs="微软雅黑"/>
                <w:i/>
                <w:iCs/>
                <w:color w:val="000000"/>
                <w:sz w:val="16"/>
                <w:szCs w:val="16"/>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2B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CEF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F75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w:hAnsi="微软雅黑" w:eastAsia="微软雅黑" w:cs="微软雅黑"/>
                <w:i/>
                <w:iCs/>
                <w:color w:val="000000"/>
                <w:sz w:val="16"/>
                <w:szCs w:val="16"/>
                <w:u w:val="none"/>
              </w:rPr>
            </w:pPr>
          </w:p>
        </w:tc>
      </w:tr>
      <w:tr w14:paraId="4812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8DB2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C119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5C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D7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一卡通发放率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9B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2B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1D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551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w:hAnsi="微软雅黑" w:eastAsia="微软雅黑" w:cs="微软雅黑"/>
                <w:i/>
                <w:iCs/>
                <w:color w:val="000000"/>
                <w:sz w:val="16"/>
                <w:szCs w:val="16"/>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80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A24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2F5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w:hAnsi="微软雅黑" w:eastAsia="微软雅黑" w:cs="微软雅黑"/>
                <w:i/>
                <w:iCs/>
                <w:color w:val="000000"/>
                <w:sz w:val="16"/>
                <w:szCs w:val="16"/>
                <w:u w:val="none"/>
              </w:rPr>
            </w:pPr>
          </w:p>
        </w:tc>
      </w:tr>
      <w:tr w14:paraId="5F6F4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CFC0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FBCF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56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42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BE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22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62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DA7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w:hAnsi="微软雅黑" w:eastAsia="微软雅黑" w:cs="微软雅黑"/>
                <w:i/>
                <w:iCs/>
                <w:color w:val="000000"/>
                <w:sz w:val="16"/>
                <w:szCs w:val="16"/>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0A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6E4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CA0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w:hAnsi="微软雅黑" w:eastAsia="微软雅黑" w:cs="微软雅黑"/>
                <w:i/>
                <w:iCs/>
                <w:color w:val="000000"/>
                <w:sz w:val="16"/>
                <w:szCs w:val="16"/>
                <w:u w:val="none"/>
              </w:rPr>
            </w:pPr>
          </w:p>
        </w:tc>
      </w:tr>
      <w:tr w14:paraId="76BCC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8513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C3F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E8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17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提高黄鹿水库移民人均纯收入</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EC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56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72B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9C2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w:hAnsi="微软雅黑" w:eastAsia="微软雅黑" w:cs="微软雅黑"/>
                <w:i/>
                <w:iCs/>
                <w:color w:val="000000"/>
                <w:sz w:val="16"/>
                <w:szCs w:val="16"/>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B9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45D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516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w:hAnsi="微软雅黑" w:eastAsia="微软雅黑" w:cs="微软雅黑"/>
                <w:i/>
                <w:iCs/>
                <w:color w:val="000000"/>
                <w:sz w:val="16"/>
                <w:szCs w:val="16"/>
                <w:u w:val="none"/>
              </w:rPr>
            </w:pPr>
          </w:p>
        </w:tc>
      </w:tr>
      <w:tr w14:paraId="2977E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8EEE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1BAC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A4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0D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保障黄鹿移民正常生活，维护全镇稳定</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D8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DF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E76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CD2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w:hAnsi="微软雅黑" w:eastAsia="微软雅黑" w:cs="微软雅黑"/>
                <w:i/>
                <w:iCs/>
                <w:color w:val="000000"/>
                <w:sz w:val="16"/>
                <w:szCs w:val="16"/>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9F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39A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02A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w:hAnsi="微软雅黑" w:eastAsia="微软雅黑" w:cs="微软雅黑"/>
                <w:i/>
                <w:iCs/>
                <w:color w:val="000000"/>
                <w:sz w:val="16"/>
                <w:szCs w:val="16"/>
                <w:u w:val="none"/>
              </w:rPr>
            </w:pPr>
          </w:p>
        </w:tc>
      </w:tr>
      <w:tr w14:paraId="3503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5DEE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5EEE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FA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41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档案使用年限</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0D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62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2D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353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w:hAnsi="微软雅黑" w:eastAsia="微软雅黑" w:cs="微软雅黑"/>
                <w:i/>
                <w:iCs/>
                <w:color w:val="000000"/>
                <w:sz w:val="16"/>
                <w:szCs w:val="16"/>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19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86F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62B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w:hAnsi="微软雅黑" w:eastAsia="微软雅黑" w:cs="微软雅黑"/>
                <w:i/>
                <w:iCs/>
                <w:color w:val="000000"/>
                <w:sz w:val="16"/>
                <w:szCs w:val="16"/>
                <w:u w:val="none"/>
              </w:rPr>
            </w:pPr>
          </w:p>
        </w:tc>
      </w:tr>
      <w:tr w14:paraId="429FA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262B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CCD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00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7C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1B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02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7D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436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w:hAnsi="微软雅黑" w:eastAsia="微软雅黑" w:cs="微软雅黑"/>
                <w:i/>
                <w:iCs/>
                <w:color w:val="000000"/>
                <w:sz w:val="16"/>
                <w:szCs w:val="16"/>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16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7E6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5F7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w:hAnsi="微软雅黑" w:eastAsia="微软雅黑" w:cs="微软雅黑"/>
                <w:i/>
                <w:iCs/>
                <w:color w:val="000000"/>
                <w:sz w:val="16"/>
                <w:szCs w:val="16"/>
                <w:u w:val="none"/>
              </w:rPr>
            </w:pPr>
          </w:p>
        </w:tc>
      </w:tr>
      <w:tr w14:paraId="145B0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AD64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6FFC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F3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帮扶对象满意度指标</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41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水库移民满意度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85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AE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71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1B7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w:hAnsi="微软雅黑" w:eastAsia="微软雅黑" w:cs="微软雅黑"/>
                <w:i/>
                <w:iCs/>
                <w:color w:val="000000"/>
                <w:sz w:val="16"/>
                <w:szCs w:val="16"/>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C9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71F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2F4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w:hAnsi="微软雅黑" w:eastAsia="微软雅黑" w:cs="微软雅黑"/>
                <w:i/>
                <w:iCs/>
                <w:color w:val="000000"/>
                <w:sz w:val="16"/>
                <w:szCs w:val="16"/>
                <w:u w:val="none"/>
              </w:rPr>
            </w:pPr>
          </w:p>
        </w:tc>
      </w:tr>
      <w:tr w14:paraId="7C9EE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4F8A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D27E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D43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31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移民保障资金额（医疗保险费/人）</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50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6A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F6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B0A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w:hAnsi="微软雅黑" w:eastAsia="微软雅黑" w:cs="微软雅黑"/>
                <w:i/>
                <w:iCs/>
                <w:color w:val="000000"/>
                <w:sz w:val="16"/>
                <w:szCs w:val="16"/>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6B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71C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E3F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w:hAnsi="微软雅黑" w:eastAsia="微软雅黑" w:cs="微软雅黑"/>
                <w:i/>
                <w:iCs/>
                <w:color w:val="000000"/>
                <w:sz w:val="16"/>
                <w:szCs w:val="16"/>
                <w:u w:val="none"/>
              </w:rPr>
            </w:pPr>
          </w:p>
        </w:tc>
      </w:tr>
      <w:tr w14:paraId="228F7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A14C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7B27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7392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DA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移民保障资金额（生活补助/人）</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92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97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93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元/月</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77D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w:hAnsi="微软雅黑" w:eastAsia="微软雅黑" w:cs="微软雅黑"/>
                <w:i/>
                <w:iCs/>
                <w:color w:val="000000"/>
                <w:sz w:val="16"/>
                <w:szCs w:val="16"/>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F6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D03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E8D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w:hAnsi="微软雅黑" w:eastAsia="微软雅黑" w:cs="微软雅黑"/>
                <w:i/>
                <w:iCs/>
                <w:color w:val="000000"/>
                <w:sz w:val="16"/>
                <w:szCs w:val="16"/>
                <w:u w:val="none"/>
              </w:rPr>
            </w:pPr>
          </w:p>
        </w:tc>
      </w:tr>
      <w:tr w14:paraId="1F46B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1181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FB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4C71">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1795">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000000"/>
                <w:sz w:val="18"/>
                <w:szCs w:val="18"/>
                <w:u w:val="none"/>
              </w:rPr>
            </w:pPr>
          </w:p>
        </w:tc>
      </w:tr>
      <w:tr w14:paraId="013CD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01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6E49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自评总分为100分，总体评价好。</w:t>
            </w:r>
            <w:r>
              <w:rPr>
                <w:rFonts w:hint="eastAsia" w:ascii="宋体" w:hAnsi="宋体" w:eastAsia="宋体" w:cs="宋体"/>
                <w:i w:val="0"/>
                <w:iCs w:val="0"/>
                <w:color w:val="000000"/>
                <w:kern w:val="0"/>
                <w:sz w:val="18"/>
                <w:szCs w:val="18"/>
                <w:u w:val="none"/>
                <w:lang w:val="zh-CN" w:eastAsia="zh-CN" w:bidi="ar"/>
              </w:rPr>
              <w:t>该项目</w:t>
            </w:r>
            <w:r>
              <w:rPr>
                <w:rFonts w:hint="eastAsia" w:ascii="宋体" w:hAnsi="宋体" w:cs="宋体"/>
                <w:i w:val="0"/>
                <w:iCs w:val="0"/>
                <w:color w:val="000000"/>
                <w:kern w:val="0"/>
                <w:sz w:val="18"/>
                <w:szCs w:val="18"/>
                <w:u w:val="none"/>
                <w:lang w:val="en-US" w:eastAsia="zh-CN" w:bidi="ar"/>
              </w:rPr>
              <w:t>整体</w:t>
            </w:r>
            <w:r>
              <w:rPr>
                <w:rFonts w:hint="eastAsia" w:ascii="宋体" w:hAnsi="宋体" w:eastAsia="宋体" w:cs="宋体"/>
                <w:i w:val="0"/>
                <w:iCs w:val="0"/>
                <w:color w:val="000000"/>
                <w:kern w:val="0"/>
                <w:sz w:val="18"/>
                <w:szCs w:val="18"/>
                <w:u w:val="none"/>
                <w:lang w:val="zh-CN" w:eastAsia="zh-CN" w:bidi="ar"/>
              </w:rPr>
              <w:t>工作完成度高，项目预期的数量指标、质量指标、时效指标、成本指标、社会效益指标、可持续影响指标以及满意度指标均达到预期目标，因该项目的陆续完成，保障</w:t>
            </w:r>
            <w:r>
              <w:rPr>
                <w:rFonts w:hint="eastAsia" w:ascii="宋体" w:hAnsi="宋体" w:eastAsia="宋体" w:cs="宋体"/>
                <w:i w:val="0"/>
                <w:iCs w:val="0"/>
                <w:color w:val="000000"/>
                <w:kern w:val="0"/>
                <w:sz w:val="18"/>
                <w:szCs w:val="18"/>
                <w:u w:val="none"/>
                <w:lang w:val="en-US" w:eastAsia="zh-CN" w:bidi="ar"/>
              </w:rPr>
              <w:t>了</w:t>
            </w:r>
            <w:r>
              <w:rPr>
                <w:rFonts w:hint="eastAsia" w:ascii="宋体" w:hAnsi="宋体" w:eastAsia="宋体" w:cs="宋体"/>
                <w:i w:val="0"/>
                <w:iCs w:val="0"/>
                <w:color w:val="000000"/>
                <w:kern w:val="0"/>
                <w:sz w:val="18"/>
                <w:szCs w:val="18"/>
                <w:u w:val="none"/>
                <w:lang w:val="zh-CN" w:eastAsia="zh-CN" w:bidi="ar"/>
              </w:rPr>
              <w:t>黄鹿移民正常生活，维护全镇稳定。</w:t>
            </w:r>
          </w:p>
        </w:tc>
      </w:tr>
      <w:tr w14:paraId="42A30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F8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9D40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A5AE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BB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291F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A1C7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A258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项目负责人：王龙</w:t>
            </w:r>
          </w:p>
        </w:tc>
        <w:tc>
          <w:tcPr>
            <w:tcW w:w="47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82D0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黑体" w:hAnsi="黑体" w:eastAsia="宋体" w:cs="黑体"/>
                <w:i w:val="0"/>
                <w:iCs w:val="0"/>
                <w:color w:val="000000"/>
                <w:sz w:val="18"/>
                <w:szCs w:val="18"/>
                <w:u w:val="none"/>
                <w:lang w:val="en-US" w:eastAsia="zh-CN"/>
              </w:rPr>
            </w:pPr>
            <w:r>
              <w:rPr>
                <w:rFonts w:hint="eastAsia" w:ascii="黑体" w:hAnsi="黑体" w:eastAsia="黑体" w:cs="黑体"/>
                <w:i w:val="0"/>
                <w:iCs w:val="0"/>
                <w:color w:val="000000"/>
                <w:kern w:val="0"/>
                <w:sz w:val="18"/>
                <w:szCs w:val="18"/>
                <w:u w:val="none"/>
                <w:lang w:val="en-US" w:eastAsia="zh-CN" w:bidi="ar"/>
              </w:rPr>
              <w:t>财务负责人：</w:t>
            </w:r>
            <w:r>
              <w:rPr>
                <w:rFonts w:hint="eastAsia"/>
                <w:lang w:val="en-US" w:eastAsia="zh-CN"/>
              </w:rPr>
              <w:t>胡建英</w:t>
            </w:r>
          </w:p>
        </w:tc>
      </w:tr>
      <w:tr w14:paraId="524FB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5" w:type="dxa"/>
            <w:tcBorders>
              <w:top w:val="nil"/>
              <w:left w:val="nil"/>
              <w:bottom w:val="nil"/>
              <w:right w:val="nil"/>
            </w:tcBorders>
            <w:shd w:val="clear" w:color="auto" w:fill="auto"/>
            <w:vAlign w:val="center"/>
          </w:tcPr>
          <w:p w14:paraId="646B0980">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14:paraId="37711750">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000000"/>
                <w:sz w:val="18"/>
                <w:szCs w:val="18"/>
                <w:u w:val="none"/>
              </w:rPr>
            </w:pPr>
          </w:p>
        </w:tc>
        <w:tc>
          <w:tcPr>
            <w:tcW w:w="844" w:type="dxa"/>
            <w:tcBorders>
              <w:top w:val="nil"/>
              <w:left w:val="nil"/>
              <w:bottom w:val="nil"/>
              <w:right w:val="nil"/>
            </w:tcBorders>
            <w:shd w:val="clear" w:color="auto" w:fill="auto"/>
            <w:vAlign w:val="center"/>
          </w:tcPr>
          <w:p w14:paraId="63E718E8">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000000"/>
                <w:sz w:val="18"/>
                <w:szCs w:val="18"/>
                <w:u w:val="none"/>
              </w:rPr>
            </w:pPr>
          </w:p>
        </w:tc>
        <w:tc>
          <w:tcPr>
            <w:tcW w:w="1026" w:type="dxa"/>
            <w:tcBorders>
              <w:top w:val="nil"/>
              <w:left w:val="nil"/>
              <w:bottom w:val="nil"/>
              <w:right w:val="nil"/>
            </w:tcBorders>
            <w:shd w:val="clear" w:color="auto" w:fill="auto"/>
            <w:vAlign w:val="center"/>
          </w:tcPr>
          <w:p w14:paraId="7DD3B55F">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000000"/>
                <w:sz w:val="18"/>
                <w:szCs w:val="18"/>
                <w:u w:val="none"/>
              </w:rPr>
            </w:pPr>
          </w:p>
        </w:tc>
        <w:tc>
          <w:tcPr>
            <w:tcW w:w="482" w:type="dxa"/>
            <w:tcBorders>
              <w:top w:val="nil"/>
              <w:left w:val="nil"/>
              <w:bottom w:val="nil"/>
              <w:right w:val="nil"/>
            </w:tcBorders>
            <w:shd w:val="clear" w:color="auto" w:fill="auto"/>
            <w:vAlign w:val="center"/>
          </w:tcPr>
          <w:p w14:paraId="678591DF">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000000"/>
                <w:sz w:val="18"/>
                <w:szCs w:val="18"/>
                <w:u w:val="none"/>
              </w:rPr>
            </w:pPr>
          </w:p>
        </w:tc>
        <w:tc>
          <w:tcPr>
            <w:tcW w:w="542" w:type="dxa"/>
            <w:tcBorders>
              <w:top w:val="nil"/>
              <w:left w:val="nil"/>
              <w:bottom w:val="nil"/>
              <w:right w:val="nil"/>
            </w:tcBorders>
            <w:shd w:val="clear" w:color="auto" w:fill="auto"/>
            <w:vAlign w:val="center"/>
          </w:tcPr>
          <w:p w14:paraId="0A24F205">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000000"/>
                <w:sz w:val="18"/>
                <w:szCs w:val="18"/>
                <w:u w:val="none"/>
              </w:rPr>
            </w:pPr>
          </w:p>
        </w:tc>
        <w:tc>
          <w:tcPr>
            <w:tcW w:w="482" w:type="dxa"/>
            <w:tcBorders>
              <w:top w:val="nil"/>
              <w:left w:val="nil"/>
              <w:bottom w:val="nil"/>
              <w:right w:val="nil"/>
            </w:tcBorders>
            <w:shd w:val="clear" w:color="auto" w:fill="auto"/>
            <w:vAlign w:val="center"/>
          </w:tcPr>
          <w:p w14:paraId="3A98D784">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000000"/>
                <w:sz w:val="18"/>
                <w:szCs w:val="18"/>
                <w:u w:val="none"/>
              </w:rPr>
            </w:pPr>
          </w:p>
        </w:tc>
        <w:tc>
          <w:tcPr>
            <w:tcW w:w="835" w:type="dxa"/>
            <w:tcBorders>
              <w:top w:val="nil"/>
              <w:left w:val="nil"/>
              <w:bottom w:val="nil"/>
              <w:right w:val="nil"/>
            </w:tcBorders>
            <w:shd w:val="clear" w:color="auto" w:fill="auto"/>
            <w:vAlign w:val="center"/>
          </w:tcPr>
          <w:p w14:paraId="75CCE289">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14:paraId="47FFD509">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000000"/>
                <w:sz w:val="18"/>
                <w:szCs w:val="18"/>
                <w:u w:val="none"/>
              </w:rPr>
            </w:pPr>
          </w:p>
        </w:tc>
        <w:tc>
          <w:tcPr>
            <w:tcW w:w="411" w:type="dxa"/>
            <w:tcBorders>
              <w:top w:val="nil"/>
              <w:left w:val="nil"/>
              <w:bottom w:val="nil"/>
              <w:right w:val="nil"/>
            </w:tcBorders>
            <w:shd w:val="clear" w:color="auto" w:fill="auto"/>
            <w:vAlign w:val="center"/>
          </w:tcPr>
          <w:p w14:paraId="1E38E859">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000000"/>
                <w:sz w:val="18"/>
                <w:szCs w:val="18"/>
                <w:u w:val="none"/>
              </w:rPr>
            </w:pPr>
          </w:p>
        </w:tc>
        <w:tc>
          <w:tcPr>
            <w:tcW w:w="1991" w:type="dxa"/>
            <w:tcBorders>
              <w:top w:val="nil"/>
              <w:left w:val="nil"/>
              <w:bottom w:val="nil"/>
              <w:right w:val="nil"/>
            </w:tcBorders>
            <w:shd w:val="clear" w:color="auto" w:fill="auto"/>
            <w:vAlign w:val="center"/>
          </w:tcPr>
          <w:p w14:paraId="7F15B8C3">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000000"/>
                <w:sz w:val="18"/>
                <w:szCs w:val="18"/>
                <w:u w:val="none"/>
              </w:rPr>
            </w:pPr>
          </w:p>
        </w:tc>
      </w:tr>
      <w:tr w14:paraId="4A86A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22" w:type="dxa"/>
            <w:gridSpan w:val="11"/>
            <w:tcBorders>
              <w:top w:val="nil"/>
              <w:left w:val="nil"/>
              <w:bottom w:val="nil"/>
              <w:right w:val="nil"/>
            </w:tcBorders>
            <w:shd w:val="clear" w:color="auto" w:fill="auto"/>
            <w:vAlign w:val="center"/>
          </w:tcPr>
          <w:p w14:paraId="3588C5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ascii="宋体" w:hAnsi="宋体" w:eastAsia="宋体" w:cs="宋体"/>
                <w:i w:val="0"/>
                <w:iCs w:val="0"/>
                <w:color w:val="000000"/>
                <w:sz w:val="18"/>
                <w:szCs w:val="18"/>
                <w:u w:val="none"/>
              </w:rPr>
            </w:pPr>
          </w:p>
        </w:tc>
      </w:tr>
      <w:tr w14:paraId="7A04E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22" w:type="dxa"/>
            <w:gridSpan w:val="11"/>
            <w:tcBorders>
              <w:top w:val="nil"/>
              <w:left w:val="nil"/>
              <w:bottom w:val="nil"/>
              <w:right w:val="nil"/>
            </w:tcBorders>
            <w:shd w:val="clear" w:color="auto" w:fill="auto"/>
            <w:vAlign w:val="center"/>
          </w:tcPr>
          <w:p w14:paraId="3B3A1B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14:paraId="0CECC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22" w:type="dxa"/>
            <w:gridSpan w:val="11"/>
            <w:tcBorders>
              <w:top w:val="nil"/>
              <w:left w:val="nil"/>
              <w:bottom w:val="nil"/>
              <w:right w:val="nil"/>
            </w:tcBorders>
            <w:shd w:val="clear" w:color="auto" w:fill="auto"/>
            <w:vAlign w:val="center"/>
          </w:tcPr>
          <w:p w14:paraId="39E965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r w14:paraId="4FCB3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22" w:type="dxa"/>
            <w:gridSpan w:val="11"/>
            <w:tcBorders>
              <w:top w:val="nil"/>
              <w:left w:val="nil"/>
              <w:bottom w:val="nil"/>
              <w:right w:val="nil"/>
            </w:tcBorders>
            <w:shd w:val="clear" w:color="auto" w:fill="auto"/>
            <w:vAlign w:val="center"/>
          </w:tcPr>
          <w:p w14:paraId="17396C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ascii="宋体" w:hAnsi="宋体" w:eastAsia="宋体" w:cs="宋体"/>
                <w:i w:val="0"/>
                <w:iCs w:val="0"/>
                <w:color w:val="000000"/>
                <w:sz w:val="18"/>
                <w:szCs w:val="18"/>
                <w:u w:val="none"/>
              </w:rPr>
            </w:pPr>
          </w:p>
        </w:tc>
      </w:tr>
    </w:tbl>
    <w:p w14:paraId="71391858">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left"/>
        <w:textAlignment w:val="center"/>
        <w:rPr>
          <w:rFonts w:ascii="宋体" w:hAnsi="宋体" w:eastAsia="宋体" w:cs="宋体"/>
          <w:i w:val="0"/>
          <w:iCs w:val="0"/>
          <w:color w:val="C0C0C0"/>
          <w:kern w:val="0"/>
          <w:sz w:val="20"/>
          <w:szCs w:val="20"/>
          <w:u w:val="none"/>
          <w:lang w:val="en-US" w:eastAsia="zh-CN" w:bidi="ar"/>
        </w:rPr>
      </w:pPr>
      <w:r>
        <w:rPr>
          <w:rFonts w:ascii="宋体" w:hAnsi="宋体" w:eastAsia="宋体" w:cs="宋体"/>
          <w:i w:val="0"/>
          <w:iCs w:val="0"/>
          <w:color w:val="C0C0C0"/>
          <w:kern w:val="0"/>
          <w:sz w:val="20"/>
          <w:szCs w:val="20"/>
          <w:u w:val="none"/>
          <w:lang w:val="en-US" w:eastAsia="zh-CN" w:bidi="ar"/>
        </w:rPr>
        <w:br w:type="page"/>
      </w:r>
    </w:p>
    <w:tbl>
      <w:tblPr>
        <w:tblStyle w:val="1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2"/>
        <w:gridCol w:w="668"/>
        <w:gridCol w:w="1022"/>
        <w:gridCol w:w="1201"/>
        <w:gridCol w:w="531"/>
        <w:gridCol w:w="587"/>
        <w:gridCol w:w="531"/>
        <w:gridCol w:w="892"/>
        <w:gridCol w:w="491"/>
        <w:gridCol w:w="405"/>
        <w:gridCol w:w="1542"/>
      </w:tblGrid>
      <w:tr w14:paraId="56A9B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3543" w:type="dxa"/>
            <w:gridSpan w:val="4"/>
            <w:tcBorders>
              <w:top w:val="nil"/>
              <w:left w:val="nil"/>
              <w:bottom w:val="nil"/>
              <w:right w:val="nil"/>
            </w:tcBorders>
            <w:shd w:val="clear" w:color="auto" w:fill="auto"/>
            <w:vAlign w:val="center"/>
          </w:tcPr>
          <w:p w14:paraId="1503354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lang w:val="en-US" w:eastAsia="zh-CN" w:bidi="ar"/>
              </w:rPr>
              <w:t>报表编号：510000_0013zp</w:t>
            </w:r>
          </w:p>
        </w:tc>
        <w:tc>
          <w:tcPr>
            <w:tcW w:w="531" w:type="dxa"/>
            <w:tcBorders>
              <w:top w:val="nil"/>
              <w:left w:val="nil"/>
              <w:bottom w:val="nil"/>
              <w:right w:val="nil"/>
            </w:tcBorders>
            <w:shd w:val="clear" w:color="auto" w:fill="auto"/>
            <w:noWrap/>
            <w:vAlign w:val="center"/>
          </w:tcPr>
          <w:p w14:paraId="7B9C2656">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22"/>
                <w:szCs w:val="22"/>
                <w:u w:val="none"/>
              </w:rPr>
            </w:pPr>
          </w:p>
        </w:tc>
        <w:tc>
          <w:tcPr>
            <w:tcW w:w="2010" w:type="dxa"/>
            <w:gridSpan w:val="3"/>
            <w:tcBorders>
              <w:top w:val="nil"/>
              <w:left w:val="nil"/>
              <w:bottom w:val="nil"/>
              <w:right w:val="nil"/>
            </w:tcBorders>
            <w:shd w:val="clear" w:color="auto" w:fill="auto"/>
            <w:vAlign w:val="center"/>
          </w:tcPr>
          <w:p w14:paraId="29AB0455">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20"/>
                <w:szCs w:val="20"/>
                <w:u w:val="none"/>
              </w:rPr>
            </w:pPr>
          </w:p>
        </w:tc>
        <w:tc>
          <w:tcPr>
            <w:tcW w:w="491" w:type="dxa"/>
            <w:tcBorders>
              <w:top w:val="nil"/>
              <w:left w:val="nil"/>
              <w:bottom w:val="nil"/>
              <w:right w:val="nil"/>
            </w:tcBorders>
            <w:shd w:val="clear" w:color="auto" w:fill="auto"/>
            <w:noWrap/>
            <w:vAlign w:val="center"/>
          </w:tcPr>
          <w:p w14:paraId="00B8FD02">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22"/>
                <w:szCs w:val="22"/>
                <w:u w:val="none"/>
              </w:rPr>
            </w:pPr>
          </w:p>
        </w:tc>
        <w:tc>
          <w:tcPr>
            <w:tcW w:w="405" w:type="dxa"/>
            <w:tcBorders>
              <w:top w:val="nil"/>
              <w:left w:val="nil"/>
              <w:bottom w:val="nil"/>
              <w:right w:val="nil"/>
            </w:tcBorders>
            <w:shd w:val="clear" w:color="auto" w:fill="auto"/>
            <w:noWrap/>
            <w:vAlign w:val="center"/>
          </w:tcPr>
          <w:p w14:paraId="2AC738D2">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22"/>
                <w:szCs w:val="22"/>
                <w:u w:val="none"/>
              </w:rPr>
            </w:pPr>
          </w:p>
        </w:tc>
        <w:tc>
          <w:tcPr>
            <w:tcW w:w="1542" w:type="dxa"/>
            <w:tcBorders>
              <w:top w:val="nil"/>
              <w:left w:val="nil"/>
              <w:bottom w:val="nil"/>
              <w:right w:val="nil"/>
            </w:tcBorders>
            <w:shd w:val="clear" w:color="auto" w:fill="auto"/>
            <w:noWrap/>
            <w:vAlign w:val="center"/>
          </w:tcPr>
          <w:p w14:paraId="27DA39EB">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22"/>
                <w:szCs w:val="22"/>
                <w:u w:val="none"/>
              </w:rPr>
            </w:pPr>
          </w:p>
        </w:tc>
      </w:tr>
      <w:tr w14:paraId="7B8C2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2" w:type="dxa"/>
            <w:tcBorders>
              <w:top w:val="nil"/>
              <w:left w:val="nil"/>
              <w:bottom w:val="nil"/>
              <w:right w:val="nil"/>
            </w:tcBorders>
            <w:shd w:val="clear" w:color="auto" w:fill="auto"/>
            <w:vAlign w:val="center"/>
          </w:tcPr>
          <w:p w14:paraId="48237737">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668" w:type="dxa"/>
            <w:tcBorders>
              <w:top w:val="nil"/>
              <w:left w:val="nil"/>
              <w:bottom w:val="nil"/>
              <w:right w:val="nil"/>
            </w:tcBorders>
            <w:shd w:val="clear" w:color="auto" w:fill="auto"/>
            <w:vAlign w:val="center"/>
          </w:tcPr>
          <w:p w14:paraId="2C0AEF97">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1022" w:type="dxa"/>
            <w:tcBorders>
              <w:top w:val="nil"/>
              <w:left w:val="nil"/>
              <w:bottom w:val="nil"/>
              <w:right w:val="nil"/>
            </w:tcBorders>
            <w:shd w:val="clear" w:color="auto" w:fill="auto"/>
            <w:vAlign w:val="center"/>
          </w:tcPr>
          <w:p w14:paraId="0D531C3A">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1201" w:type="dxa"/>
            <w:tcBorders>
              <w:top w:val="nil"/>
              <w:left w:val="nil"/>
              <w:bottom w:val="nil"/>
              <w:right w:val="nil"/>
            </w:tcBorders>
            <w:shd w:val="clear" w:color="auto" w:fill="auto"/>
            <w:vAlign w:val="center"/>
          </w:tcPr>
          <w:p w14:paraId="67AEB605">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531" w:type="dxa"/>
            <w:tcBorders>
              <w:top w:val="nil"/>
              <w:left w:val="nil"/>
              <w:bottom w:val="nil"/>
              <w:right w:val="nil"/>
            </w:tcBorders>
            <w:shd w:val="clear" w:color="auto" w:fill="auto"/>
            <w:vAlign w:val="center"/>
          </w:tcPr>
          <w:p w14:paraId="4F07C72B">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587" w:type="dxa"/>
            <w:tcBorders>
              <w:top w:val="nil"/>
              <w:left w:val="nil"/>
              <w:bottom w:val="nil"/>
              <w:right w:val="nil"/>
            </w:tcBorders>
            <w:shd w:val="clear" w:color="auto" w:fill="auto"/>
            <w:vAlign w:val="center"/>
          </w:tcPr>
          <w:p w14:paraId="664C0B87">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531" w:type="dxa"/>
            <w:tcBorders>
              <w:top w:val="nil"/>
              <w:left w:val="nil"/>
              <w:bottom w:val="nil"/>
              <w:right w:val="nil"/>
            </w:tcBorders>
            <w:shd w:val="clear" w:color="auto" w:fill="auto"/>
            <w:vAlign w:val="center"/>
          </w:tcPr>
          <w:p w14:paraId="4EB08AC1">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892" w:type="dxa"/>
            <w:tcBorders>
              <w:top w:val="nil"/>
              <w:left w:val="nil"/>
              <w:bottom w:val="nil"/>
              <w:right w:val="nil"/>
            </w:tcBorders>
            <w:shd w:val="clear" w:color="auto" w:fill="auto"/>
            <w:vAlign w:val="center"/>
          </w:tcPr>
          <w:p w14:paraId="4C3B4473">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491" w:type="dxa"/>
            <w:tcBorders>
              <w:top w:val="nil"/>
              <w:left w:val="nil"/>
              <w:bottom w:val="nil"/>
              <w:right w:val="nil"/>
            </w:tcBorders>
            <w:shd w:val="clear" w:color="auto" w:fill="auto"/>
            <w:vAlign w:val="center"/>
          </w:tcPr>
          <w:p w14:paraId="7BE7E147">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405" w:type="dxa"/>
            <w:tcBorders>
              <w:top w:val="nil"/>
              <w:left w:val="nil"/>
              <w:bottom w:val="nil"/>
              <w:right w:val="nil"/>
            </w:tcBorders>
            <w:shd w:val="clear" w:color="auto" w:fill="auto"/>
            <w:vAlign w:val="center"/>
          </w:tcPr>
          <w:p w14:paraId="7CE0BEA6">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1542" w:type="dxa"/>
            <w:tcBorders>
              <w:top w:val="nil"/>
              <w:left w:val="nil"/>
              <w:bottom w:val="nil"/>
              <w:right w:val="nil"/>
            </w:tcBorders>
            <w:shd w:val="clear" w:color="auto" w:fill="auto"/>
            <w:vAlign w:val="center"/>
          </w:tcPr>
          <w:p w14:paraId="3E0B7AF6">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r>
      <w:tr w14:paraId="0067A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AFFB6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2F2A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048C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0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8C455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51060423T000008230916-重点镇综合业务费</w:t>
            </w:r>
          </w:p>
        </w:tc>
      </w:tr>
      <w:tr w14:paraId="492B3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0FB5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8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8337D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德阳市罗江区新盛镇人民政府</w:t>
            </w:r>
          </w:p>
        </w:tc>
        <w:tc>
          <w:tcPr>
            <w:tcW w:w="892" w:type="dxa"/>
            <w:tcBorders>
              <w:top w:val="nil"/>
              <w:left w:val="nil"/>
              <w:bottom w:val="nil"/>
              <w:right w:val="nil"/>
            </w:tcBorders>
            <w:shd w:val="clear" w:color="auto" w:fill="auto"/>
            <w:vAlign w:val="center"/>
          </w:tcPr>
          <w:p w14:paraId="7EB84CB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11976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德阳市罗江区新盛镇人民政府</w:t>
            </w:r>
          </w:p>
        </w:tc>
      </w:tr>
      <w:tr w14:paraId="188DD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4A13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E063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8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A6BC5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73E95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D539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DF721">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87E91">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38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4FF9E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统筹用于乡镇各项支出，做好交管办、安全维稳、民事代办、创城、生态环境保护、乡村振兴、卫生健康及疾病预防、基层治理和民生等工作；做好人大代表、工会、共青团、妇联、关工委等群团工作；做好应急突发事件的处置工作。通过顺利实施辖区内的各项重点工作，保障民生、维护安全稳定。</w:t>
            </w: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9A268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黑体" w:hAnsi="黑体" w:eastAsia="黑体" w:cs="黑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圆满按照年初目标保障好了各项重点工作，</w:t>
            </w:r>
            <w:r>
              <w:rPr>
                <w:rFonts w:ascii="宋体" w:hAnsi="宋体" w:eastAsia="宋体" w:cs="宋体"/>
                <w:i w:val="0"/>
                <w:iCs w:val="0"/>
                <w:color w:val="000000"/>
                <w:kern w:val="0"/>
                <w:sz w:val="18"/>
                <w:szCs w:val="18"/>
                <w:u w:val="none"/>
                <w:lang w:val="en-US" w:eastAsia="zh-CN" w:bidi="ar"/>
              </w:rPr>
              <w:t>做好应急突发事件的处置工作。通过顺利实施辖区内的各项重点工作，保障民生、维护安全稳定。</w:t>
            </w:r>
          </w:p>
        </w:tc>
      </w:tr>
      <w:tr w14:paraId="101F3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35BB5">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430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0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851C45">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按照年初计划，</w:t>
            </w:r>
            <w:r>
              <w:rPr>
                <w:rFonts w:ascii="宋体" w:hAnsi="宋体" w:eastAsia="宋体" w:cs="宋体"/>
                <w:i w:val="0"/>
                <w:iCs w:val="0"/>
                <w:color w:val="000000"/>
                <w:kern w:val="0"/>
                <w:sz w:val="18"/>
                <w:szCs w:val="18"/>
                <w:u w:val="none"/>
                <w:lang w:val="en-US" w:eastAsia="zh-CN" w:bidi="ar"/>
              </w:rPr>
              <w:t>做好交管办、安全维稳、民事代办、创城、生态环境保护、乡村振兴、卫生健康及疾病预防、基层治理和民生等工作；做好人大代表、工会、共青团、妇联、关工委等群团工作；做好应急突发事件的处置工作。</w:t>
            </w:r>
          </w:p>
        </w:tc>
      </w:tr>
      <w:tr w14:paraId="2FCBD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F9C5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D14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763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6C6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0316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B80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93D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B57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ED4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C34F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C44AE">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7C2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928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260.00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97C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260.00</w:t>
            </w:r>
          </w:p>
        </w:tc>
        <w:tc>
          <w:tcPr>
            <w:tcW w:w="1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2FC7A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E67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9C6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E149">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15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F549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BF28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F9115">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7B1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1C6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260.00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B5E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260.00</w:t>
            </w:r>
          </w:p>
        </w:tc>
        <w:tc>
          <w:tcPr>
            <w:tcW w:w="1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0688D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A1A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0EC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731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667F9">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黑体" w:hAnsi="黑体" w:eastAsia="黑体" w:cs="黑体"/>
                <w:i/>
                <w:iCs/>
                <w:color w:val="000000"/>
                <w:sz w:val="18"/>
                <w:szCs w:val="18"/>
                <w:u w:val="none"/>
              </w:rPr>
            </w:pPr>
          </w:p>
        </w:tc>
      </w:tr>
      <w:tr w14:paraId="29529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5A0FB">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CA5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74E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115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B9C4C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408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A20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F72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25646">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黑体" w:hAnsi="黑体" w:eastAsia="黑体" w:cs="黑体"/>
                <w:i/>
                <w:iCs/>
                <w:color w:val="000000"/>
                <w:sz w:val="18"/>
                <w:szCs w:val="18"/>
                <w:u w:val="none"/>
              </w:rPr>
            </w:pPr>
          </w:p>
        </w:tc>
      </w:tr>
      <w:tr w14:paraId="5F043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FBF8A">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429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A8F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8A2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AAE8E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95B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CE9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034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214C9">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黑体" w:hAnsi="黑体" w:eastAsia="黑体" w:cs="黑体"/>
                <w:i/>
                <w:iCs/>
                <w:color w:val="000000"/>
                <w:sz w:val="18"/>
                <w:szCs w:val="18"/>
                <w:u w:val="none"/>
              </w:rPr>
            </w:pPr>
          </w:p>
        </w:tc>
      </w:tr>
      <w:tr w14:paraId="75068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B086D">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0F4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40E3">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AA5E">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c>
          <w:tcPr>
            <w:tcW w:w="1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9A6340">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22D0">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959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18B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C5626">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黑体" w:hAnsi="黑体" w:eastAsia="黑体" w:cs="黑体"/>
                <w:i/>
                <w:iCs/>
                <w:color w:val="000000"/>
                <w:sz w:val="18"/>
                <w:szCs w:val="18"/>
                <w:u w:val="none"/>
              </w:rPr>
            </w:pPr>
          </w:p>
        </w:tc>
      </w:tr>
      <w:tr w14:paraId="6758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A436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2A5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32B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B40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2F3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AE2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013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CCC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A2F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7D7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F4F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35C4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5B7E3">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2A80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721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5D5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预算资金</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E20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8F6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BD8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D135">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DF0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5C9F">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2995">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r>
      <w:tr w14:paraId="6E74A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F3389">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2FBB4">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775B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A76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项目推进合法合理性</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F07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10C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06E9">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EAFC">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83C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A72D">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A115">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r>
      <w:tr w14:paraId="60D6C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11D15">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D21EC">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5714D">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DBA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各项工作完成度</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DD2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FA8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091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8D88">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5BE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201F">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B26E">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r>
      <w:tr w14:paraId="3CF2A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D8AE1">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8FE6D">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768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CA5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各项工作完成时效</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297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639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BAE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273C">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1D6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684F">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4858">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r>
      <w:tr w14:paraId="3130E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5A43E">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1052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FBA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F8D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发展经济、农民增收</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325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517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EA52">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D359">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23C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A612">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1129">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r>
      <w:tr w14:paraId="0C13A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781EE">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DE6C9">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326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E96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提高群众生产生活，维护安全稳定</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B20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979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3EA1">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B458">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368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C848">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2E6C">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r>
      <w:tr w14:paraId="1F322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550D6">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54A21">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891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686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生态环境改善</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6B8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C0E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D7C5">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1DE6">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70E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8F30">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380F">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r>
      <w:tr w14:paraId="7DEF8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68E27">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4F7B3">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BDE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0D6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乡村振兴推进情况</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36E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E5B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12C7">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1A7C">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9BE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03D3">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72CC">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r>
      <w:tr w14:paraId="38354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CC207">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95E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EF6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142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5FE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8AC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B3C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266B">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54A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FC86">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C898">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r>
      <w:tr w14:paraId="18B10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DB111">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C0CB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15F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27E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成本限额</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235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67D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F90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7448">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CAE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4B6C">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6D08">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r>
      <w:tr w14:paraId="5226F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A5A4A">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C47BB">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F49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生态环境成本指标</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A44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生态环境恶化</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3B3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8BF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4876">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6E4D">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A36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BE8E">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B55D">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r>
      <w:tr w14:paraId="2E6EB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0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D22EC0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74F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5FB7">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5392">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r>
      <w:tr w14:paraId="16077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ADD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5B463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自评总分为</w:t>
            </w:r>
            <w:r>
              <w:rPr>
                <w:rFonts w:hint="eastAsia" w:ascii="宋体" w:hAnsi="宋体" w:cs="宋体"/>
                <w:i w:val="0"/>
                <w:iCs w:val="0"/>
                <w:color w:val="000000"/>
                <w:kern w:val="0"/>
                <w:sz w:val="18"/>
                <w:szCs w:val="18"/>
                <w:u w:val="none"/>
                <w:lang w:val="en-US" w:eastAsia="zh-CN" w:bidi="ar"/>
              </w:rPr>
              <w:t>98</w:t>
            </w:r>
            <w:r>
              <w:rPr>
                <w:rFonts w:hint="eastAsia" w:ascii="宋体" w:hAnsi="宋体" w:eastAsia="宋体" w:cs="宋体"/>
                <w:i w:val="0"/>
                <w:iCs w:val="0"/>
                <w:color w:val="000000"/>
                <w:kern w:val="0"/>
                <w:sz w:val="18"/>
                <w:szCs w:val="18"/>
                <w:u w:val="none"/>
                <w:lang w:val="en-US" w:eastAsia="zh-CN" w:bidi="ar"/>
              </w:rPr>
              <w:t>分，总体评价好。</w:t>
            </w:r>
            <w:r>
              <w:rPr>
                <w:rFonts w:hint="eastAsia" w:ascii="宋体" w:hAnsi="宋体" w:eastAsia="宋体" w:cs="宋体"/>
                <w:i w:val="0"/>
                <w:iCs w:val="0"/>
                <w:color w:val="000000"/>
                <w:kern w:val="0"/>
                <w:sz w:val="18"/>
                <w:szCs w:val="18"/>
                <w:u w:val="none"/>
                <w:lang w:val="zh-CN" w:eastAsia="zh-CN" w:bidi="ar"/>
              </w:rPr>
              <w:t>该项目前期工作完成度高，项目预期的数量指标、质量指标、时效指标、成本指标、社会效益指标、可持续影响指标以及满意度指标均达到预期目标，因该项目的陆续完成，</w:t>
            </w:r>
            <w:r>
              <w:rPr>
                <w:rFonts w:hint="eastAsia" w:ascii="宋体" w:hAnsi="宋体" w:eastAsia="宋体" w:cs="宋体"/>
                <w:i w:val="0"/>
                <w:iCs w:val="0"/>
                <w:color w:val="000000"/>
                <w:kern w:val="0"/>
                <w:sz w:val="18"/>
                <w:szCs w:val="18"/>
                <w:u w:val="none"/>
                <w:lang w:val="en-US" w:eastAsia="zh-CN" w:bidi="ar"/>
              </w:rPr>
              <w:t>有效完成了我镇各项工作，</w:t>
            </w:r>
            <w:r>
              <w:rPr>
                <w:rFonts w:hint="eastAsia" w:ascii="宋体" w:hAnsi="宋体" w:eastAsia="宋体" w:cs="宋体"/>
                <w:i w:val="0"/>
                <w:iCs w:val="0"/>
                <w:color w:val="000000"/>
                <w:kern w:val="0"/>
                <w:sz w:val="18"/>
                <w:szCs w:val="18"/>
                <w:u w:val="none"/>
                <w:lang w:val="zh-CN" w:eastAsia="zh-CN" w:bidi="ar"/>
              </w:rPr>
              <w:t>保障了</w:t>
            </w:r>
            <w:r>
              <w:rPr>
                <w:rFonts w:hint="eastAsia" w:ascii="宋体" w:hAnsi="宋体" w:eastAsia="宋体" w:cs="宋体"/>
                <w:i w:val="0"/>
                <w:iCs w:val="0"/>
                <w:color w:val="000000"/>
                <w:kern w:val="0"/>
                <w:sz w:val="18"/>
                <w:szCs w:val="18"/>
                <w:u w:val="none"/>
                <w:lang w:val="en-US" w:eastAsia="zh-CN" w:bidi="ar"/>
              </w:rPr>
              <w:t>基层治理、乡村振兴等重点工作</w:t>
            </w:r>
            <w:r>
              <w:rPr>
                <w:rFonts w:hint="eastAsia" w:ascii="宋体" w:hAnsi="宋体" w:eastAsia="宋体" w:cs="宋体"/>
                <w:i w:val="0"/>
                <w:iCs w:val="0"/>
                <w:color w:val="000000"/>
                <w:kern w:val="0"/>
                <w:sz w:val="18"/>
                <w:szCs w:val="18"/>
                <w:u w:val="none"/>
                <w:lang w:val="zh-CN" w:eastAsia="zh-CN" w:bidi="ar"/>
              </w:rPr>
              <w:t>顺利</w:t>
            </w:r>
            <w:r>
              <w:rPr>
                <w:rFonts w:hint="eastAsia" w:ascii="宋体" w:hAnsi="宋体" w:eastAsia="宋体" w:cs="宋体"/>
                <w:i w:val="0"/>
                <w:iCs w:val="0"/>
                <w:color w:val="000000"/>
                <w:kern w:val="0"/>
                <w:sz w:val="18"/>
                <w:szCs w:val="18"/>
                <w:u w:val="none"/>
                <w:lang w:val="en-US" w:eastAsia="zh-CN" w:bidi="ar"/>
              </w:rPr>
              <w:t>推进</w:t>
            </w:r>
            <w:r>
              <w:rPr>
                <w:rFonts w:hint="eastAsia" w:ascii="宋体" w:hAnsi="宋体" w:eastAsia="宋体" w:cs="宋体"/>
                <w:i w:val="0"/>
                <w:iCs w:val="0"/>
                <w:color w:val="000000"/>
                <w:kern w:val="0"/>
                <w:sz w:val="18"/>
                <w:szCs w:val="18"/>
                <w:u w:val="none"/>
                <w:lang w:val="zh-CN" w:eastAsia="zh-CN" w:bidi="ar"/>
              </w:rPr>
              <w:t>，保障</w:t>
            </w:r>
            <w:r>
              <w:rPr>
                <w:rFonts w:hint="eastAsia" w:ascii="宋体" w:hAnsi="宋体" w:eastAsia="宋体" w:cs="宋体"/>
                <w:i w:val="0"/>
                <w:iCs w:val="0"/>
                <w:color w:val="000000"/>
                <w:kern w:val="0"/>
                <w:sz w:val="18"/>
                <w:szCs w:val="18"/>
                <w:u w:val="none"/>
                <w:lang w:val="en-US" w:eastAsia="zh-CN" w:bidi="ar"/>
              </w:rPr>
              <w:t>了</w:t>
            </w:r>
            <w:r>
              <w:rPr>
                <w:rFonts w:hint="eastAsia" w:ascii="宋体" w:hAnsi="宋体" w:eastAsia="宋体" w:cs="宋体"/>
                <w:i w:val="0"/>
                <w:iCs w:val="0"/>
                <w:color w:val="000000"/>
                <w:kern w:val="0"/>
                <w:sz w:val="18"/>
                <w:szCs w:val="18"/>
                <w:u w:val="none"/>
                <w:lang w:val="zh-CN" w:eastAsia="zh-CN" w:bidi="ar"/>
              </w:rPr>
              <w:t>强农惠农措施及时落地生根。</w:t>
            </w:r>
          </w:p>
        </w:tc>
      </w:tr>
      <w:tr w14:paraId="22D2D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7E2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4C948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6F01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543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4769C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FABA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0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F36A4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项目负责人：胡建英</w:t>
            </w:r>
          </w:p>
        </w:tc>
        <w:tc>
          <w:tcPr>
            <w:tcW w:w="44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212AE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财务负责人：胡建英</w:t>
            </w:r>
          </w:p>
        </w:tc>
      </w:tr>
      <w:tr w14:paraId="7502A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52" w:type="dxa"/>
            <w:tcBorders>
              <w:top w:val="nil"/>
              <w:left w:val="nil"/>
              <w:bottom w:val="nil"/>
              <w:right w:val="nil"/>
            </w:tcBorders>
            <w:shd w:val="clear" w:color="auto" w:fill="auto"/>
            <w:vAlign w:val="center"/>
          </w:tcPr>
          <w:p w14:paraId="6BAA8416">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668" w:type="dxa"/>
            <w:tcBorders>
              <w:top w:val="nil"/>
              <w:left w:val="nil"/>
              <w:bottom w:val="nil"/>
              <w:right w:val="nil"/>
            </w:tcBorders>
            <w:shd w:val="clear" w:color="auto" w:fill="auto"/>
            <w:vAlign w:val="center"/>
          </w:tcPr>
          <w:p w14:paraId="2F6DF7A1">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1022" w:type="dxa"/>
            <w:tcBorders>
              <w:top w:val="nil"/>
              <w:left w:val="nil"/>
              <w:bottom w:val="nil"/>
              <w:right w:val="nil"/>
            </w:tcBorders>
            <w:shd w:val="clear" w:color="auto" w:fill="auto"/>
            <w:vAlign w:val="center"/>
          </w:tcPr>
          <w:p w14:paraId="45E1B176">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1201" w:type="dxa"/>
            <w:tcBorders>
              <w:top w:val="nil"/>
              <w:left w:val="nil"/>
              <w:bottom w:val="nil"/>
              <w:right w:val="nil"/>
            </w:tcBorders>
            <w:shd w:val="clear" w:color="auto" w:fill="auto"/>
            <w:vAlign w:val="center"/>
          </w:tcPr>
          <w:p w14:paraId="08587AD6">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531" w:type="dxa"/>
            <w:tcBorders>
              <w:top w:val="nil"/>
              <w:left w:val="nil"/>
              <w:bottom w:val="nil"/>
              <w:right w:val="nil"/>
            </w:tcBorders>
            <w:shd w:val="clear" w:color="auto" w:fill="auto"/>
            <w:vAlign w:val="center"/>
          </w:tcPr>
          <w:p w14:paraId="4F2695FE">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587" w:type="dxa"/>
            <w:tcBorders>
              <w:top w:val="nil"/>
              <w:left w:val="nil"/>
              <w:bottom w:val="nil"/>
              <w:right w:val="nil"/>
            </w:tcBorders>
            <w:shd w:val="clear" w:color="auto" w:fill="auto"/>
            <w:vAlign w:val="center"/>
          </w:tcPr>
          <w:p w14:paraId="1E01F166">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531" w:type="dxa"/>
            <w:tcBorders>
              <w:top w:val="nil"/>
              <w:left w:val="nil"/>
              <w:bottom w:val="nil"/>
              <w:right w:val="nil"/>
            </w:tcBorders>
            <w:shd w:val="clear" w:color="auto" w:fill="auto"/>
            <w:vAlign w:val="center"/>
          </w:tcPr>
          <w:p w14:paraId="5A3D1691">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892" w:type="dxa"/>
            <w:tcBorders>
              <w:top w:val="nil"/>
              <w:left w:val="nil"/>
              <w:bottom w:val="nil"/>
              <w:right w:val="nil"/>
            </w:tcBorders>
            <w:shd w:val="clear" w:color="auto" w:fill="auto"/>
            <w:vAlign w:val="center"/>
          </w:tcPr>
          <w:p w14:paraId="1D580E89">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491" w:type="dxa"/>
            <w:tcBorders>
              <w:top w:val="nil"/>
              <w:left w:val="nil"/>
              <w:bottom w:val="nil"/>
              <w:right w:val="nil"/>
            </w:tcBorders>
            <w:shd w:val="clear" w:color="auto" w:fill="auto"/>
            <w:vAlign w:val="center"/>
          </w:tcPr>
          <w:p w14:paraId="1DE2478A">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405" w:type="dxa"/>
            <w:tcBorders>
              <w:top w:val="nil"/>
              <w:left w:val="nil"/>
              <w:bottom w:val="nil"/>
              <w:right w:val="nil"/>
            </w:tcBorders>
            <w:shd w:val="clear" w:color="auto" w:fill="auto"/>
            <w:vAlign w:val="center"/>
          </w:tcPr>
          <w:p w14:paraId="44470D7D">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1542" w:type="dxa"/>
            <w:tcBorders>
              <w:top w:val="nil"/>
              <w:left w:val="nil"/>
              <w:bottom w:val="nil"/>
              <w:right w:val="nil"/>
            </w:tcBorders>
            <w:shd w:val="clear" w:color="auto" w:fill="auto"/>
            <w:vAlign w:val="center"/>
          </w:tcPr>
          <w:p w14:paraId="5D5CCD7D">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r>
      <w:tr w14:paraId="6F051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522" w:type="dxa"/>
            <w:gridSpan w:val="11"/>
            <w:tcBorders>
              <w:top w:val="nil"/>
              <w:left w:val="nil"/>
              <w:bottom w:val="nil"/>
              <w:right w:val="nil"/>
            </w:tcBorders>
            <w:shd w:val="clear" w:color="auto" w:fill="auto"/>
            <w:vAlign w:val="center"/>
          </w:tcPr>
          <w:p w14:paraId="51B1B5C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14:paraId="61A3F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522" w:type="dxa"/>
            <w:gridSpan w:val="11"/>
            <w:tcBorders>
              <w:top w:val="nil"/>
              <w:left w:val="nil"/>
              <w:bottom w:val="nil"/>
              <w:right w:val="nil"/>
            </w:tcBorders>
            <w:shd w:val="clear" w:color="auto" w:fill="auto"/>
            <w:vAlign w:val="center"/>
          </w:tcPr>
          <w:p w14:paraId="7A6A831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14:paraId="631081AF">
      <w:pPr>
        <w:pageBreakBefore w:val="0"/>
        <w:kinsoku/>
        <w:wordWrap/>
        <w:overflowPunct/>
        <w:bidi w:val="0"/>
        <w:ind w:firstLine="640" w:firstLineChars="200"/>
        <w:rPr>
          <w:rFonts w:hint="eastAsia" w:ascii="黑体" w:hAnsi="黑体" w:eastAsia="黑体"/>
          <w:sz w:val="32"/>
          <w:szCs w:val="32"/>
        </w:rPr>
      </w:pPr>
      <w:r>
        <w:rPr>
          <w:rFonts w:hint="eastAsia" w:ascii="黑体" w:hAnsi="黑体" w:eastAsia="黑体"/>
          <w:sz w:val="32"/>
          <w:szCs w:val="32"/>
        </w:rPr>
        <w:br w:type="page"/>
      </w:r>
    </w:p>
    <w:tbl>
      <w:tblPr>
        <w:tblStyle w:val="15"/>
        <w:tblW w:w="8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948"/>
        <w:gridCol w:w="583"/>
        <w:gridCol w:w="867"/>
        <w:gridCol w:w="383"/>
        <w:gridCol w:w="367"/>
        <w:gridCol w:w="466"/>
        <w:gridCol w:w="998"/>
        <w:gridCol w:w="633"/>
        <w:gridCol w:w="467"/>
        <w:gridCol w:w="2077"/>
        <w:gridCol w:w="14"/>
      </w:tblGrid>
      <w:tr w14:paraId="30BB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131" w:type="dxa"/>
            <w:gridSpan w:val="4"/>
            <w:tcBorders>
              <w:top w:val="nil"/>
              <w:left w:val="nil"/>
              <w:bottom w:val="nil"/>
              <w:right w:val="nil"/>
            </w:tcBorders>
            <w:shd w:val="clear" w:color="auto" w:fill="auto"/>
            <w:vAlign w:val="center"/>
          </w:tcPr>
          <w:p w14:paraId="23366A4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lang w:val="en-US" w:eastAsia="zh-CN" w:bidi="ar"/>
              </w:rPr>
              <w:t>报表编号：510000_0013zp</w:t>
            </w:r>
          </w:p>
        </w:tc>
        <w:tc>
          <w:tcPr>
            <w:tcW w:w="383" w:type="dxa"/>
            <w:tcBorders>
              <w:top w:val="nil"/>
              <w:left w:val="nil"/>
              <w:bottom w:val="nil"/>
              <w:right w:val="nil"/>
            </w:tcBorders>
            <w:shd w:val="clear" w:color="auto" w:fill="auto"/>
            <w:noWrap/>
            <w:vAlign w:val="center"/>
          </w:tcPr>
          <w:p w14:paraId="28E547EA">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22"/>
                <w:szCs w:val="22"/>
                <w:u w:val="none"/>
              </w:rPr>
            </w:pPr>
          </w:p>
        </w:tc>
        <w:tc>
          <w:tcPr>
            <w:tcW w:w="1831" w:type="dxa"/>
            <w:gridSpan w:val="3"/>
            <w:tcBorders>
              <w:top w:val="nil"/>
              <w:left w:val="nil"/>
              <w:bottom w:val="nil"/>
              <w:right w:val="nil"/>
            </w:tcBorders>
            <w:shd w:val="clear" w:color="auto" w:fill="auto"/>
            <w:vAlign w:val="center"/>
          </w:tcPr>
          <w:p w14:paraId="4B853730">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20"/>
                <w:szCs w:val="20"/>
                <w:u w:val="none"/>
              </w:rPr>
            </w:pPr>
          </w:p>
        </w:tc>
        <w:tc>
          <w:tcPr>
            <w:tcW w:w="633" w:type="dxa"/>
            <w:tcBorders>
              <w:top w:val="nil"/>
              <w:left w:val="nil"/>
              <w:bottom w:val="nil"/>
              <w:right w:val="nil"/>
            </w:tcBorders>
            <w:shd w:val="clear" w:color="auto" w:fill="auto"/>
            <w:noWrap/>
            <w:vAlign w:val="center"/>
          </w:tcPr>
          <w:p w14:paraId="1E659D9C">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22"/>
                <w:szCs w:val="22"/>
                <w:u w:val="none"/>
              </w:rPr>
            </w:pPr>
          </w:p>
        </w:tc>
        <w:tc>
          <w:tcPr>
            <w:tcW w:w="467" w:type="dxa"/>
            <w:tcBorders>
              <w:top w:val="nil"/>
              <w:left w:val="nil"/>
              <w:bottom w:val="nil"/>
              <w:right w:val="nil"/>
            </w:tcBorders>
            <w:shd w:val="clear" w:color="auto" w:fill="auto"/>
            <w:noWrap/>
            <w:vAlign w:val="center"/>
          </w:tcPr>
          <w:p w14:paraId="5FBF401C">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22"/>
                <w:szCs w:val="22"/>
                <w:u w:val="none"/>
              </w:rPr>
            </w:pPr>
          </w:p>
        </w:tc>
        <w:tc>
          <w:tcPr>
            <w:tcW w:w="2091" w:type="dxa"/>
            <w:gridSpan w:val="2"/>
            <w:tcBorders>
              <w:top w:val="nil"/>
              <w:left w:val="nil"/>
              <w:bottom w:val="nil"/>
              <w:right w:val="nil"/>
            </w:tcBorders>
            <w:shd w:val="clear" w:color="auto" w:fill="auto"/>
            <w:noWrap/>
            <w:vAlign w:val="center"/>
          </w:tcPr>
          <w:p w14:paraId="1B7982CB">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22"/>
                <w:szCs w:val="22"/>
                <w:u w:val="none"/>
              </w:rPr>
            </w:pPr>
          </w:p>
        </w:tc>
      </w:tr>
      <w:tr w14:paraId="03CB8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6A6F2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80BE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286" w:hRule="atLeast"/>
        </w:trPr>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FCF9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78310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51060422T000007246134-2022年国有企业退休人员社会化管理中省补助资金</w:t>
            </w:r>
          </w:p>
        </w:tc>
      </w:tr>
      <w:tr w14:paraId="35D7C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512" w:hRule="atLeast"/>
        </w:trPr>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54E8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60846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德阳市罗江区新盛镇人民政府</w:t>
            </w:r>
          </w:p>
        </w:tc>
        <w:tc>
          <w:tcPr>
            <w:tcW w:w="998" w:type="dxa"/>
            <w:tcBorders>
              <w:top w:val="nil"/>
              <w:left w:val="nil"/>
              <w:bottom w:val="nil"/>
              <w:right w:val="nil"/>
            </w:tcBorders>
            <w:shd w:val="clear" w:color="auto" w:fill="auto"/>
            <w:vAlign w:val="center"/>
          </w:tcPr>
          <w:p w14:paraId="602BAA4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D0DE3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德阳市罗江区新盛镇人民政府</w:t>
            </w:r>
          </w:p>
        </w:tc>
      </w:tr>
      <w:tr w14:paraId="2FB5D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286" w:hRule="atLeast"/>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9AB0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4F91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1C576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0590C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2ED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708"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1DDBF">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457F5">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26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697048">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zh-CN" w:eastAsia="zh-CN" w:bidi="ar"/>
              </w:rPr>
              <w:t>2023年年底前全面完成辖区内国有企业退休人员社会化管理补助资金兑付，提升了基层服务水平，保障了辖区稳定。</w:t>
            </w:r>
          </w:p>
        </w:tc>
        <w:tc>
          <w:tcPr>
            <w:tcW w:w="41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C4021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黑体" w:hAnsi="黑体" w:eastAsia="黑体" w:cs="黑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按照目标全额兑付资金，保障了辖区稳定。</w:t>
            </w:r>
          </w:p>
        </w:tc>
      </w:tr>
      <w:tr w14:paraId="17CDC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693"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A4C79">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A1A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005090">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按照年度目标有序开展工作。</w:t>
            </w:r>
          </w:p>
        </w:tc>
      </w:tr>
      <w:tr w14:paraId="04437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61" w:hRule="atLeast"/>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EC9E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9C9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22C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D71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3176C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218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E01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4A7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E5E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3353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46"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5F683">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35B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931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052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c>
          <w:tcPr>
            <w:tcW w:w="1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F01D8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17F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FA3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6282">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2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679F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49CC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91"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721E6">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EA6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26A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E8F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c>
          <w:tcPr>
            <w:tcW w:w="1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85085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913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C01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A5F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54A42">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黑体" w:hAnsi="黑体" w:eastAsia="黑体" w:cs="黑体"/>
                <w:i/>
                <w:iCs/>
                <w:color w:val="000000"/>
                <w:sz w:val="18"/>
                <w:szCs w:val="18"/>
                <w:u w:val="none"/>
              </w:rPr>
            </w:pPr>
          </w:p>
        </w:tc>
      </w:tr>
      <w:tr w14:paraId="013FA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407"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D728C">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1F1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DD6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B36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50334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387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9DC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873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83C29">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黑体" w:hAnsi="黑体" w:eastAsia="黑体" w:cs="黑体"/>
                <w:i/>
                <w:iCs/>
                <w:color w:val="000000"/>
                <w:sz w:val="18"/>
                <w:szCs w:val="18"/>
                <w:u w:val="none"/>
              </w:rPr>
            </w:pPr>
          </w:p>
        </w:tc>
      </w:tr>
      <w:tr w14:paraId="231CA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61"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BEA46">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9F4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974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76F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570E9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FF0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BFE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4C3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8F544">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黑体" w:hAnsi="黑体" w:eastAsia="黑体" w:cs="黑体"/>
                <w:i/>
                <w:iCs/>
                <w:color w:val="000000"/>
                <w:sz w:val="18"/>
                <w:szCs w:val="18"/>
                <w:u w:val="none"/>
              </w:rPr>
            </w:pPr>
          </w:p>
        </w:tc>
      </w:tr>
      <w:tr w14:paraId="504D5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39"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B20FF">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8F6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729F">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9CDB">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c>
          <w:tcPr>
            <w:tcW w:w="1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F76FA">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24F8">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9B4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81C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5513F">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黑体" w:hAnsi="黑体" w:eastAsia="黑体" w:cs="黑体"/>
                <w:i/>
                <w:iCs/>
                <w:color w:val="000000"/>
                <w:sz w:val="18"/>
                <w:szCs w:val="18"/>
                <w:u w:val="none"/>
              </w:rPr>
            </w:pPr>
          </w:p>
        </w:tc>
      </w:tr>
      <w:tr w14:paraId="67FB4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FF04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41F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D1D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8B0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6C0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834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013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656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27A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1AE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8C8D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FA15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02562">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0DE7">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DF32">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0AFE">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4450">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81B4">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B5A1">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154D">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4779">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AFD2">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宋体" w:hAnsi="宋体" w:eastAsia="宋体" w:cs="宋体"/>
                <w:i w:val="0"/>
                <w:iCs w:val="0"/>
                <w:color w:val="000000"/>
                <w:sz w:val="18"/>
                <w:szCs w:val="18"/>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2F904">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微软雅黑" w:hAnsi="微软雅黑" w:eastAsia="微软雅黑" w:cs="微软雅黑"/>
                <w:i/>
                <w:iCs/>
                <w:color w:val="000000"/>
                <w:sz w:val="16"/>
                <w:szCs w:val="16"/>
                <w:u w:val="none"/>
              </w:rPr>
            </w:pPr>
          </w:p>
        </w:tc>
      </w:tr>
      <w:tr w14:paraId="74247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286" w:hRule="atLeast"/>
        </w:trPr>
        <w:tc>
          <w:tcPr>
            <w:tcW w:w="53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3EFEAB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442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99E4">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158A">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r>
      <w:tr w14:paraId="4405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603"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A73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7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6343C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自评总分为</w:t>
            </w:r>
            <w:r>
              <w:rPr>
                <w:rFonts w:hint="eastAsia" w:ascii="宋体" w:hAnsi="宋体" w:cs="宋体"/>
                <w:i w:val="0"/>
                <w:iCs w:val="0"/>
                <w:color w:val="000000"/>
                <w:kern w:val="0"/>
                <w:sz w:val="18"/>
                <w:szCs w:val="18"/>
                <w:u w:val="none"/>
                <w:lang w:val="en-US" w:eastAsia="zh-CN" w:bidi="ar"/>
              </w:rPr>
              <w:t>93</w:t>
            </w:r>
            <w:r>
              <w:rPr>
                <w:rFonts w:hint="eastAsia" w:ascii="宋体" w:hAnsi="宋体" w:eastAsia="宋体" w:cs="宋体"/>
                <w:i w:val="0"/>
                <w:iCs w:val="0"/>
                <w:color w:val="000000"/>
                <w:kern w:val="0"/>
                <w:sz w:val="18"/>
                <w:szCs w:val="18"/>
                <w:u w:val="none"/>
                <w:lang w:val="en-US" w:eastAsia="zh-CN" w:bidi="ar"/>
              </w:rPr>
              <w:t>分，总体评价</w:t>
            </w:r>
            <w:r>
              <w:rPr>
                <w:rFonts w:hint="eastAsia" w:ascii="宋体" w:hAnsi="宋体" w:cs="宋体"/>
                <w:i w:val="0"/>
                <w:iCs w:val="0"/>
                <w:color w:val="000000"/>
                <w:kern w:val="0"/>
                <w:sz w:val="18"/>
                <w:szCs w:val="18"/>
                <w:u w:val="none"/>
                <w:lang w:val="en-US" w:eastAsia="zh-CN" w:bidi="ar"/>
              </w:rPr>
              <w:t>较</w:t>
            </w:r>
            <w:r>
              <w:rPr>
                <w:rFonts w:hint="eastAsia" w:ascii="宋体" w:hAnsi="宋体" w:eastAsia="宋体" w:cs="宋体"/>
                <w:i w:val="0"/>
                <w:iCs w:val="0"/>
                <w:color w:val="000000"/>
                <w:kern w:val="0"/>
                <w:sz w:val="18"/>
                <w:szCs w:val="18"/>
                <w:u w:val="none"/>
                <w:lang w:val="en-US" w:eastAsia="zh-CN" w:bidi="ar"/>
              </w:rPr>
              <w:t>好。</w:t>
            </w:r>
            <w:r>
              <w:rPr>
                <w:rFonts w:hint="eastAsia" w:ascii="宋体" w:hAnsi="宋体" w:eastAsia="宋体" w:cs="宋体"/>
                <w:i w:val="0"/>
                <w:iCs w:val="0"/>
                <w:color w:val="000000"/>
                <w:kern w:val="0"/>
                <w:sz w:val="18"/>
                <w:szCs w:val="18"/>
                <w:u w:val="none"/>
                <w:lang w:val="zh-CN" w:eastAsia="zh-CN" w:bidi="ar"/>
              </w:rPr>
              <w:t>2023年年底前全面完成辖区内国有企业退休人员社会化管理补助资金兑付，提升了基层服务水平，保障了辖区稳定。在投入方面本着节约原则和应补尽补的原则，对辖区符合该项目类型的人员均给予了补助，达到了稳定社会的效果。</w:t>
            </w:r>
          </w:p>
        </w:tc>
      </w:tr>
      <w:tr w14:paraId="602DB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572"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FF7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7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B97BCA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B345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633"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CE4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7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BD587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5E34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286" w:hRule="atLeast"/>
        </w:trPr>
        <w:tc>
          <w:tcPr>
            <w:tcW w:w="3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6AC60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项目负责人：胡建英</w:t>
            </w:r>
          </w:p>
        </w:tc>
        <w:tc>
          <w:tcPr>
            <w:tcW w:w="50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02368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财务负责人：胡建英</w:t>
            </w:r>
          </w:p>
        </w:tc>
      </w:tr>
      <w:tr w14:paraId="30E1B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33" w:type="dxa"/>
            <w:tcBorders>
              <w:top w:val="nil"/>
              <w:left w:val="nil"/>
              <w:bottom w:val="nil"/>
              <w:right w:val="nil"/>
            </w:tcBorders>
            <w:shd w:val="clear" w:color="auto" w:fill="auto"/>
            <w:vAlign w:val="center"/>
          </w:tcPr>
          <w:p w14:paraId="15423B9F">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948" w:type="dxa"/>
            <w:tcBorders>
              <w:top w:val="nil"/>
              <w:left w:val="nil"/>
              <w:bottom w:val="nil"/>
              <w:right w:val="nil"/>
            </w:tcBorders>
            <w:shd w:val="clear" w:color="auto" w:fill="auto"/>
            <w:vAlign w:val="center"/>
          </w:tcPr>
          <w:p w14:paraId="6B08C6D4">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583" w:type="dxa"/>
            <w:tcBorders>
              <w:top w:val="nil"/>
              <w:left w:val="nil"/>
              <w:bottom w:val="nil"/>
              <w:right w:val="nil"/>
            </w:tcBorders>
            <w:shd w:val="clear" w:color="auto" w:fill="auto"/>
            <w:vAlign w:val="center"/>
          </w:tcPr>
          <w:p w14:paraId="08A7F463">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867" w:type="dxa"/>
            <w:tcBorders>
              <w:top w:val="nil"/>
              <w:left w:val="nil"/>
              <w:bottom w:val="nil"/>
              <w:right w:val="nil"/>
            </w:tcBorders>
            <w:shd w:val="clear" w:color="auto" w:fill="auto"/>
            <w:vAlign w:val="center"/>
          </w:tcPr>
          <w:p w14:paraId="14E6F269">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383" w:type="dxa"/>
            <w:tcBorders>
              <w:top w:val="nil"/>
              <w:left w:val="nil"/>
              <w:bottom w:val="nil"/>
              <w:right w:val="nil"/>
            </w:tcBorders>
            <w:shd w:val="clear" w:color="auto" w:fill="auto"/>
            <w:vAlign w:val="center"/>
          </w:tcPr>
          <w:p w14:paraId="30F098F3">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367" w:type="dxa"/>
            <w:tcBorders>
              <w:top w:val="nil"/>
              <w:left w:val="nil"/>
              <w:bottom w:val="nil"/>
              <w:right w:val="nil"/>
            </w:tcBorders>
            <w:shd w:val="clear" w:color="auto" w:fill="auto"/>
            <w:vAlign w:val="center"/>
          </w:tcPr>
          <w:p w14:paraId="7899E711">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466" w:type="dxa"/>
            <w:tcBorders>
              <w:top w:val="nil"/>
              <w:left w:val="nil"/>
              <w:bottom w:val="nil"/>
              <w:right w:val="nil"/>
            </w:tcBorders>
            <w:shd w:val="clear" w:color="auto" w:fill="auto"/>
            <w:vAlign w:val="center"/>
          </w:tcPr>
          <w:p w14:paraId="1C59AF24">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998" w:type="dxa"/>
            <w:tcBorders>
              <w:top w:val="nil"/>
              <w:left w:val="nil"/>
              <w:bottom w:val="nil"/>
              <w:right w:val="nil"/>
            </w:tcBorders>
            <w:shd w:val="clear" w:color="auto" w:fill="auto"/>
            <w:vAlign w:val="center"/>
          </w:tcPr>
          <w:p w14:paraId="3DFBF108">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633" w:type="dxa"/>
            <w:tcBorders>
              <w:top w:val="nil"/>
              <w:left w:val="nil"/>
              <w:bottom w:val="nil"/>
              <w:right w:val="nil"/>
            </w:tcBorders>
            <w:shd w:val="clear" w:color="auto" w:fill="auto"/>
            <w:vAlign w:val="center"/>
          </w:tcPr>
          <w:p w14:paraId="6312AEBD">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467" w:type="dxa"/>
            <w:tcBorders>
              <w:top w:val="nil"/>
              <w:left w:val="nil"/>
              <w:bottom w:val="nil"/>
              <w:right w:val="nil"/>
            </w:tcBorders>
            <w:shd w:val="clear" w:color="auto" w:fill="auto"/>
            <w:vAlign w:val="center"/>
          </w:tcPr>
          <w:p w14:paraId="78B60643">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c>
          <w:tcPr>
            <w:tcW w:w="2091" w:type="dxa"/>
            <w:gridSpan w:val="2"/>
            <w:tcBorders>
              <w:top w:val="nil"/>
              <w:left w:val="nil"/>
              <w:bottom w:val="nil"/>
              <w:right w:val="nil"/>
            </w:tcBorders>
            <w:shd w:val="clear" w:color="auto" w:fill="auto"/>
            <w:vAlign w:val="center"/>
          </w:tcPr>
          <w:p w14:paraId="7BDA5899">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宋体" w:hAnsi="宋体" w:eastAsia="宋体" w:cs="宋体"/>
                <w:i w:val="0"/>
                <w:iCs w:val="0"/>
                <w:color w:val="000000"/>
                <w:sz w:val="18"/>
                <w:szCs w:val="18"/>
                <w:u w:val="none"/>
              </w:rPr>
            </w:pPr>
          </w:p>
        </w:tc>
      </w:tr>
      <w:tr w14:paraId="2FFFD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286" w:hRule="atLeast"/>
        </w:trPr>
        <w:tc>
          <w:tcPr>
            <w:tcW w:w="8522" w:type="dxa"/>
            <w:gridSpan w:val="11"/>
            <w:tcBorders>
              <w:top w:val="nil"/>
              <w:left w:val="nil"/>
              <w:bottom w:val="nil"/>
              <w:right w:val="nil"/>
            </w:tcBorders>
            <w:shd w:val="clear" w:color="auto" w:fill="auto"/>
            <w:vAlign w:val="center"/>
          </w:tcPr>
          <w:p w14:paraId="2FDE307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14:paraId="185E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286" w:hRule="atLeast"/>
        </w:trPr>
        <w:tc>
          <w:tcPr>
            <w:tcW w:w="8522" w:type="dxa"/>
            <w:gridSpan w:val="11"/>
            <w:tcBorders>
              <w:top w:val="nil"/>
              <w:left w:val="nil"/>
              <w:bottom w:val="nil"/>
              <w:right w:val="nil"/>
            </w:tcBorders>
            <w:shd w:val="clear" w:color="auto" w:fill="auto"/>
            <w:vAlign w:val="center"/>
          </w:tcPr>
          <w:p w14:paraId="2715F06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14:paraId="1316A2A4">
      <w:pPr>
        <w:pageBreakBefore w:val="0"/>
        <w:kinsoku/>
        <w:wordWrap/>
        <w:overflowPunct/>
        <w:bidi w:val="0"/>
        <w:ind w:firstLine="640" w:firstLineChars="200"/>
        <w:rPr>
          <w:rFonts w:hint="eastAsia" w:ascii="黑体" w:hAnsi="黑体" w:eastAsia="黑体"/>
          <w:sz w:val="32"/>
          <w:szCs w:val="32"/>
        </w:rPr>
      </w:pPr>
      <w:r>
        <w:rPr>
          <w:rFonts w:hint="eastAsia" w:ascii="黑体" w:hAnsi="黑体" w:eastAsia="黑体"/>
          <w:sz w:val="32"/>
          <w:szCs w:val="32"/>
        </w:rPr>
        <w:br w:type="page"/>
      </w:r>
    </w:p>
    <w:p w14:paraId="4B585429">
      <w:pPr>
        <w:keepNext w:val="0"/>
        <w:keepLines w:val="0"/>
        <w:pageBreakBefore w:val="0"/>
        <w:widowControl w:val="0"/>
        <w:kinsoku/>
        <w:wordWrap/>
        <w:overflowPunct/>
        <w:topLinePunct/>
        <w:autoSpaceDE/>
        <w:autoSpaceDN/>
        <w:bidi w:val="0"/>
        <w:spacing w:line="560" w:lineRule="exact"/>
        <w:textAlignment w:val="auto"/>
        <w:outlineLvl w:val="1"/>
        <w:rPr>
          <w:rFonts w:hint="eastAsia" w:ascii="黑体" w:hAnsi="黑体" w:eastAsia="黑体"/>
          <w:sz w:val="32"/>
          <w:szCs w:val="32"/>
        </w:rPr>
      </w:pPr>
      <w:bookmarkStart w:id="103" w:name="_Toc11045"/>
      <w:bookmarkStart w:id="104" w:name="_Toc22482"/>
      <w:r>
        <w:rPr>
          <w:rFonts w:hint="eastAsia" w:ascii="黑体" w:hAnsi="黑体" w:eastAsia="黑体"/>
          <w:sz w:val="32"/>
          <w:szCs w:val="32"/>
        </w:rPr>
        <w:t>附件2</w:t>
      </w:r>
      <w:bookmarkEnd w:id="103"/>
      <w:bookmarkEnd w:id="104"/>
    </w:p>
    <w:p w14:paraId="76D1B76B">
      <w:pPr>
        <w:keepNext w:val="0"/>
        <w:keepLines w:val="0"/>
        <w:pageBreakBefore w:val="0"/>
        <w:widowControl w:val="0"/>
        <w:kinsoku/>
        <w:wordWrap/>
        <w:overflowPunct/>
        <w:topLinePunct/>
        <w:autoSpaceDE/>
        <w:autoSpaceDN/>
        <w:bidi w:val="0"/>
        <w:spacing w:line="560" w:lineRule="exact"/>
        <w:jc w:val="center"/>
        <w:textAlignment w:val="auto"/>
        <w:outlineLvl w:val="1"/>
        <w:rPr>
          <w:rFonts w:hint="eastAsia" w:ascii="方正小标宋简体" w:hAnsi="宋体" w:eastAsia="方正小标宋简体" w:cs="Times New Roman"/>
          <w:color w:val="auto"/>
          <w:kern w:val="0"/>
          <w:sz w:val="40"/>
          <w:szCs w:val="44"/>
          <w:highlight w:val="none"/>
          <w:lang w:val="en-US"/>
        </w:rPr>
      </w:pPr>
      <w:bookmarkStart w:id="105" w:name="_Toc13611"/>
      <w:bookmarkStart w:id="106" w:name="_Toc8200"/>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3</w:t>
      </w:r>
      <w:r>
        <w:rPr>
          <w:rFonts w:hint="eastAsia" w:ascii="方正小标宋简体" w:hAnsi="宋体" w:eastAsia="方正小标宋简体"/>
          <w:color w:val="auto"/>
          <w:kern w:val="0"/>
          <w:sz w:val="40"/>
          <w:szCs w:val="44"/>
          <w:highlight w:val="none"/>
        </w:rPr>
        <w:t>年新盛镇黄鹿水库移民后续</w:t>
      </w:r>
      <w:r>
        <w:rPr>
          <w:rFonts w:hint="eastAsia" w:ascii="方正小标宋简体" w:hAnsi="宋体" w:eastAsia="方正小标宋简体" w:cs="Times New Roman"/>
          <w:color w:val="auto"/>
          <w:kern w:val="0"/>
          <w:sz w:val="40"/>
          <w:szCs w:val="44"/>
          <w:highlight w:val="none"/>
        </w:rPr>
        <w:t>补助资金</w:t>
      </w:r>
      <w:bookmarkEnd w:id="105"/>
      <w:bookmarkEnd w:id="106"/>
      <w:bookmarkStart w:id="107" w:name="_Toc6538"/>
      <w:bookmarkStart w:id="108" w:name="_Toc10334"/>
      <w:r>
        <w:rPr>
          <w:rFonts w:hint="eastAsia" w:ascii="方正小标宋简体" w:hAnsi="宋体" w:eastAsia="方正小标宋简体" w:cs="Times New Roman"/>
          <w:color w:val="auto"/>
          <w:kern w:val="0"/>
          <w:sz w:val="40"/>
          <w:szCs w:val="44"/>
          <w:highlight w:val="none"/>
          <w:lang w:val="en-US"/>
        </w:rPr>
        <w:t>预算项目绩效自评报告</w:t>
      </w:r>
      <w:bookmarkEnd w:id="107"/>
      <w:bookmarkEnd w:id="108"/>
    </w:p>
    <w:p w14:paraId="5ABC3ED2">
      <w:pPr>
        <w:keepNext w:val="0"/>
        <w:keepLines w:val="0"/>
        <w:pageBreakBefore w:val="0"/>
        <w:widowControl w:val="0"/>
        <w:numPr>
          <w:ilvl w:val="0"/>
          <w:numId w:val="0"/>
        </w:numPr>
        <w:kinsoku/>
        <w:wordWrap/>
        <w:overflowPunct/>
        <w:topLinePunct/>
        <w:autoSpaceDE/>
        <w:autoSpaceDN/>
        <w:bidi w:val="0"/>
        <w:spacing w:line="560" w:lineRule="exact"/>
        <w:jc w:val="both"/>
        <w:textAlignment w:val="auto"/>
        <w:outlineLvl w:val="1"/>
        <w:rPr>
          <w:rFonts w:hint="eastAsia" w:ascii="黑体" w:hAnsi="黑体" w:eastAsia="黑体"/>
          <w:color w:val="auto"/>
          <w:kern w:val="2"/>
          <w:sz w:val="32"/>
          <w:szCs w:val="24"/>
          <w:highlight w:val="none"/>
          <w:lang w:val="zh-CN"/>
        </w:rPr>
      </w:pPr>
      <w:bookmarkStart w:id="109" w:name="_Toc6156"/>
      <w:bookmarkStart w:id="110" w:name="_Toc14479"/>
      <w:bookmarkStart w:id="111" w:name="_Toc3566"/>
    </w:p>
    <w:p w14:paraId="709BA59F">
      <w:pPr>
        <w:keepNext w:val="0"/>
        <w:keepLines w:val="0"/>
        <w:pageBreakBefore w:val="0"/>
        <w:widowControl w:val="0"/>
        <w:numPr>
          <w:ilvl w:val="0"/>
          <w:numId w:val="5"/>
        </w:numPr>
        <w:kinsoku/>
        <w:wordWrap/>
        <w:overflowPunct/>
        <w:topLinePunct/>
        <w:autoSpaceDE/>
        <w:autoSpaceDN/>
        <w:bidi w:val="0"/>
        <w:spacing w:line="560" w:lineRule="atLeast"/>
        <w:ind w:firstLine="640" w:firstLineChars="200"/>
        <w:jc w:val="both"/>
        <w:textAlignment w:val="auto"/>
        <w:outlineLvl w:val="1"/>
        <w:rPr>
          <w:rFonts w:hint="eastAsia" w:ascii="黑体" w:hAnsi="黑体" w:eastAsia="黑体"/>
          <w:color w:val="auto"/>
          <w:kern w:val="2"/>
          <w:sz w:val="32"/>
          <w:szCs w:val="24"/>
          <w:highlight w:val="none"/>
          <w:lang w:val="zh-CN"/>
        </w:rPr>
      </w:pPr>
      <w:r>
        <w:rPr>
          <w:rFonts w:hint="eastAsia" w:ascii="黑体" w:hAnsi="黑体" w:eastAsia="黑体"/>
          <w:color w:val="auto"/>
          <w:kern w:val="2"/>
          <w:sz w:val="32"/>
          <w:szCs w:val="24"/>
          <w:highlight w:val="none"/>
          <w:lang w:val="zh-CN"/>
        </w:rPr>
        <w:t>项目概况</w:t>
      </w:r>
      <w:bookmarkEnd w:id="109"/>
      <w:bookmarkEnd w:id="110"/>
      <w:bookmarkEnd w:id="111"/>
    </w:p>
    <w:p w14:paraId="4588C310">
      <w:pPr>
        <w:keepNext w:val="0"/>
        <w:keepLines w:val="0"/>
        <w:pageBreakBefore w:val="0"/>
        <w:widowControl w:val="0"/>
        <w:kinsoku/>
        <w:wordWrap/>
        <w:overflowPunct/>
        <w:topLinePunct/>
        <w:autoSpaceDE/>
        <w:autoSpaceDN/>
        <w:bidi w:val="0"/>
        <w:adjustRightInd w:val="0"/>
        <w:snapToGrid/>
        <w:spacing w:beforeLines="0" w:afterLines="0" w:line="560" w:lineRule="atLeast"/>
        <w:ind w:firstLine="643" w:firstLineChars="200"/>
        <w:jc w:val="both"/>
        <w:textAlignment w:val="auto"/>
        <w:outlineLvl w:val="9"/>
        <w:rPr>
          <w:rFonts w:hint="eastAsia" w:ascii="楷体_GB2312" w:hAnsi="楷体_GB2312" w:eastAsia="楷体_GB2312"/>
          <w:b/>
          <w:color w:val="auto"/>
          <w:kern w:val="2"/>
          <w:sz w:val="32"/>
          <w:szCs w:val="24"/>
          <w:highlight w:val="none"/>
          <w:lang w:val="zh-CN"/>
        </w:rPr>
      </w:pPr>
      <w:r>
        <w:rPr>
          <w:rFonts w:hint="eastAsia" w:ascii="楷体_GB2312" w:hAnsi="楷体_GB2312" w:eastAsia="楷体_GB2312"/>
          <w:b/>
          <w:color w:val="auto"/>
          <w:kern w:val="2"/>
          <w:sz w:val="32"/>
          <w:szCs w:val="24"/>
          <w:highlight w:val="none"/>
          <w:lang w:val="zh-CN"/>
        </w:rPr>
        <w:t>（一）</w:t>
      </w:r>
      <w:r>
        <w:rPr>
          <w:rFonts w:hint="eastAsia" w:ascii="楷体_GB2312" w:hAnsi="楷体_GB2312" w:eastAsia="楷体_GB2312"/>
          <w:b/>
          <w:color w:val="auto"/>
          <w:kern w:val="2"/>
          <w:sz w:val="32"/>
          <w:szCs w:val="24"/>
          <w:highlight w:val="none"/>
          <w:lang w:val="en-US" w:eastAsia="zh-CN"/>
        </w:rPr>
        <w:t>设立背景及</w:t>
      </w:r>
      <w:r>
        <w:rPr>
          <w:rFonts w:hint="eastAsia" w:ascii="楷体_GB2312" w:hAnsi="楷体_GB2312" w:eastAsia="楷体_GB2312"/>
          <w:b/>
          <w:color w:val="auto"/>
          <w:kern w:val="2"/>
          <w:sz w:val="32"/>
          <w:szCs w:val="24"/>
          <w:highlight w:val="none"/>
          <w:lang w:val="zh-CN"/>
        </w:rPr>
        <w:t>基本情况</w:t>
      </w:r>
    </w:p>
    <w:p w14:paraId="3B8E36E0">
      <w:pPr>
        <w:keepNext w:val="0"/>
        <w:keepLines w:val="0"/>
        <w:pageBreakBefore w:val="0"/>
        <w:widowControl w:val="0"/>
        <w:kinsoku/>
        <w:wordWrap/>
        <w:overflowPunct/>
        <w:topLinePunct/>
        <w:autoSpaceDE/>
        <w:autoSpaceDN/>
        <w:bidi w:val="0"/>
        <w:adjustRightInd w:val="0"/>
        <w:snapToGrid/>
        <w:spacing w:beforeLines="0" w:afterLines="0" w:line="560" w:lineRule="atLeast"/>
        <w:ind w:firstLine="640" w:firstLineChars="200"/>
        <w:textAlignment w:val="auto"/>
        <w:rPr>
          <w:rFonts w:hint="eastAsia" w:ascii="仿宋_GB2312" w:hAnsi="仿宋_GB2312" w:eastAsia="仿宋_GB2312"/>
          <w:color w:val="auto"/>
          <w:sz w:val="32"/>
          <w:szCs w:val="24"/>
          <w:highlight w:val="none"/>
          <w:lang w:val="zh-CN"/>
        </w:rPr>
      </w:pPr>
      <w:r>
        <w:rPr>
          <w:rFonts w:ascii="仿宋_GB2312" w:hAnsi="Cambria" w:eastAsia="仿宋_GB2312" w:cs="仿宋_GB2312"/>
          <w:kern w:val="0"/>
          <w:sz w:val="32"/>
          <w:szCs w:val="32"/>
          <w:highlight w:val="none"/>
          <w:lang w:val="zh-CN"/>
        </w:rPr>
        <w:t>1</w:t>
      </w:r>
      <w:r>
        <w:rPr>
          <w:rFonts w:hint="eastAsia" w:ascii="仿宋_GB2312" w:hAnsi="Cambria" w:eastAsia="仿宋_GB2312" w:cs="仿宋_GB2312"/>
          <w:kern w:val="0"/>
          <w:sz w:val="32"/>
          <w:szCs w:val="32"/>
          <w:highlight w:val="none"/>
          <w:lang w:val="zh-CN"/>
        </w:rPr>
        <w:t>．</w:t>
      </w:r>
      <w:r>
        <w:rPr>
          <w:rFonts w:hint="eastAsia" w:ascii="仿宋_GB2312" w:hAnsi="仿宋_GB2312" w:eastAsia="仿宋_GB2312"/>
          <w:color w:val="auto"/>
          <w:sz w:val="32"/>
          <w:szCs w:val="24"/>
          <w:highlight w:val="none"/>
          <w:lang w:val="en-US" w:eastAsia="zh-CN"/>
        </w:rPr>
        <w:t>根据《德阳市罗江区低保问题整改专题会会议纪要》</w:t>
      </w:r>
      <w:r>
        <w:rPr>
          <w:rFonts w:hint="eastAsia" w:ascii="仿宋_GB2312" w:hAnsi="仿宋_GB2312" w:eastAsia="仿宋_GB2312"/>
          <w:color w:val="auto"/>
          <w:sz w:val="32"/>
          <w:szCs w:val="24"/>
          <w:lang w:val="en-US" w:eastAsia="zh-CN"/>
        </w:rPr>
        <w:t>（德市罗府阅[</w:t>
      </w:r>
      <w:r>
        <w:rPr>
          <w:rFonts w:hint="eastAsia" w:ascii="仿宋_GB2312" w:hAnsi="仿宋_GB2312" w:eastAsia="仿宋_GB2312"/>
          <w:color w:val="auto"/>
          <w:sz w:val="32"/>
          <w:szCs w:val="24"/>
          <w:highlight w:val="none"/>
          <w:lang w:val="en-US" w:eastAsia="zh-CN"/>
        </w:rPr>
        <w:t>2018]16号）纪要精神，</w:t>
      </w:r>
      <w:r>
        <w:rPr>
          <w:rFonts w:hint="eastAsia" w:ascii="仿宋_GB2312" w:hAnsi="仿宋_GB2312" w:eastAsia="仿宋_GB2312"/>
          <w:color w:val="auto"/>
          <w:sz w:val="32"/>
          <w:szCs w:val="24"/>
          <w:highlight w:val="none"/>
          <w:lang w:val="zh-CN"/>
        </w:rPr>
        <w:t>该项目为长期性项目，主要用于新盛镇黄鹿水库移民后续补助。</w:t>
      </w:r>
    </w:p>
    <w:p w14:paraId="46F4AC86">
      <w:pPr>
        <w:keepNext w:val="0"/>
        <w:keepLines w:val="0"/>
        <w:pageBreakBefore w:val="0"/>
        <w:widowControl w:val="0"/>
        <w:kinsoku/>
        <w:wordWrap/>
        <w:overflowPunct/>
        <w:topLinePunct/>
        <w:autoSpaceDE/>
        <w:autoSpaceDN/>
        <w:bidi w:val="0"/>
        <w:adjustRightInd w:val="0"/>
        <w:snapToGrid/>
        <w:spacing w:beforeLines="0" w:afterLines="0" w:line="560" w:lineRule="atLeast"/>
        <w:ind w:firstLine="640" w:firstLineChars="200"/>
        <w:textAlignment w:val="auto"/>
        <w:rPr>
          <w:rFonts w:hint="eastAsia" w:ascii="仿宋_GB2312" w:hAnsi="仿宋_GB2312" w:eastAsia="仿宋_GB2312"/>
          <w:color w:val="auto"/>
          <w:sz w:val="32"/>
          <w:szCs w:val="24"/>
          <w:highlight w:val="none"/>
          <w:lang w:val="zh-CN"/>
        </w:rPr>
      </w:pPr>
      <w:r>
        <w:rPr>
          <w:rFonts w:ascii="仿宋_GB2312" w:hAnsi="Cambria" w:eastAsia="仿宋_GB2312" w:cs="仿宋_GB2312"/>
          <w:kern w:val="0"/>
          <w:sz w:val="32"/>
          <w:szCs w:val="32"/>
          <w:highlight w:val="none"/>
          <w:lang w:val="zh-CN"/>
        </w:rPr>
        <w:t>2</w:t>
      </w:r>
      <w:r>
        <w:rPr>
          <w:rFonts w:hint="eastAsia" w:ascii="仿宋_GB2312" w:hAnsi="Cambria" w:eastAsia="仿宋_GB2312" w:cs="仿宋_GB2312"/>
          <w:kern w:val="0"/>
          <w:sz w:val="32"/>
          <w:szCs w:val="32"/>
          <w:highlight w:val="none"/>
          <w:lang w:val="zh-CN"/>
        </w:rPr>
        <w:t>．</w:t>
      </w:r>
      <w:r>
        <w:rPr>
          <w:rFonts w:hint="eastAsia" w:ascii="仿宋_GB2312" w:hAnsi="仿宋_GB2312" w:eastAsia="仿宋_GB2312"/>
          <w:color w:val="auto"/>
          <w:sz w:val="32"/>
          <w:szCs w:val="24"/>
          <w:highlight w:val="none"/>
          <w:lang w:val="zh-CN"/>
        </w:rPr>
        <w:t>项目资金</w:t>
      </w:r>
      <w:r>
        <w:rPr>
          <w:rFonts w:hint="eastAsia" w:ascii="仿宋_GB2312" w:hAnsi="仿宋_GB2312" w:eastAsia="仿宋_GB2312"/>
          <w:color w:val="auto"/>
          <w:sz w:val="32"/>
          <w:szCs w:val="24"/>
          <w:highlight w:val="none"/>
          <w:lang w:val="en-US" w:eastAsia="zh-CN"/>
        </w:rPr>
        <w:t>29.47</w:t>
      </w:r>
      <w:r>
        <w:rPr>
          <w:rFonts w:hint="eastAsia" w:ascii="仿宋_GB2312" w:hAnsi="仿宋_GB2312" w:eastAsia="仿宋_GB2312"/>
          <w:color w:val="auto"/>
          <w:sz w:val="32"/>
          <w:szCs w:val="24"/>
          <w:highlight w:val="none"/>
          <w:lang w:val="zh-CN"/>
        </w:rPr>
        <w:t>万元，用于保障黄鹿水库移民正常生活和维护</w:t>
      </w:r>
      <w:r>
        <w:rPr>
          <w:rFonts w:hint="eastAsia" w:ascii="仿宋_GB2312" w:hAnsi="仿宋_GB2312" w:eastAsia="仿宋_GB2312"/>
          <w:color w:val="auto"/>
          <w:sz w:val="32"/>
          <w:szCs w:val="24"/>
          <w:highlight w:val="none"/>
          <w:lang w:val="en-US" w:eastAsia="zh-CN"/>
        </w:rPr>
        <w:t>社会稳定</w:t>
      </w:r>
      <w:r>
        <w:rPr>
          <w:rFonts w:hint="eastAsia" w:ascii="仿宋_GB2312" w:hAnsi="仿宋_GB2312" w:eastAsia="仿宋_GB2312"/>
          <w:color w:val="auto"/>
          <w:sz w:val="32"/>
          <w:szCs w:val="24"/>
          <w:highlight w:val="none"/>
          <w:lang w:val="zh-CN"/>
        </w:rPr>
        <w:t>，于202</w:t>
      </w:r>
      <w:r>
        <w:rPr>
          <w:rFonts w:hint="eastAsia" w:ascii="仿宋_GB2312" w:hAnsi="仿宋_GB2312" w:eastAsia="仿宋_GB2312"/>
          <w:color w:val="auto"/>
          <w:sz w:val="32"/>
          <w:szCs w:val="24"/>
          <w:highlight w:val="none"/>
          <w:lang w:val="en-US" w:eastAsia="zh-CN"/>
        </w:rPr>
        <w:t>3</w:t>
      </w:r>
      <w:r>
        <w:rPr>
          <w:rFonts w:hint="eastAsia" w:ascii="仿宋_GB2312" w:hAnsi="仿宋_GB2312" w:eastAsia="仿宋_GB2312"/>
          <w:color w:val="auto"/>
          <w:sz w:val="32"/>
          <w:szCs w:val="24"/>
          <w:highlight w:val="none"/>
          <w:lang w:val="zh-CN"/>
        </w:rPr>
        <w:t>年12月底前按照项目进度完成发放及拨付。</w:t>
      </w:r>
    </w:p>
    <w:p w14:paraId="74D4F36D">
      <w:pPr>
        <w:keepNext w:val="0"/>
        <w:keepLines w:val="0"/>
        <w:pageBreakBefore w:val="0"/>
        <w:widowControl w:val="0"/>
        <w:kinsoku/>
        <w:wordWrap/>
        <w:overflowPunct/>
        <w:topLinePunct/>
        <w:autoSpaceDE/>
        <w:autoSpaceDN/>
        <w:bidi w:val="0"/>
        <w:adjustRightInd w:val="0"/>
        <w:snapToGrid/>
        <w:spacing w:beforeLines="0" w:afterLines="0" w:line="560" w:lineRule="atLeast"/>
        <w:ind w:firstLine="640" w:firstLineChars="200"/>
        <w:textAlignment w:val="auto"/>
        <w:rPr>
          <w:rFonts w:hint="eastAsia" w:ascii="仿宋_GB2312" w:hAnsi="Cambria" w:eastAsia="仿宋_GB2312" w:cs="仿宋_GB2312"/>
          <w:kern w:val="0"/>
          <w:sz w:val="32"/>
          <w:szCs w:val="32"/>
          <w:highlight w:val="none"/>
          <w:lang w:val="zh-CN"/>
        </w:rPr>
      </w:pPr>
      <w:r>
        <w:rPr>
          <w:rFonts w:ascii="仿宋_GB2312" w:hAnsi="Cambria" w:eastAsia="仿宋_GB2312" w:cs="仿宋_GB2312"/>
          <w:kern w:val="0"/>
          <w:sz w:val="32"/>
          <w:szCs w:val="32"/>
          <w:highlight w:val="none"/>
          <w:lang w:val="zh-CN"/>
        </w:rPr>
        <w:t>3</w:t>
      </w:r>
      <w:r>
        <w:rPr>
          <w:rFonts w:hint="eastAsia" w:ascii="仿宋_GB2312" w:hAnsi="Cambria" w:eastAsia="仿宋_GB2312" w:cs="仿宋_GB2312"/>
          <w:kern w:val="0"/>
          <w:sz w:val="32"/>
          <w:szCs w:val="32"/>
          <w:highlight w:val="none"/>
          <w:lang w:val="zh-CN"/>
        </w:rPr>
        <w:t>．</w:t>
      </w:r>
      <w:r>
        <w:rPr>
          <w:rFonts w:hint="eastAsia" w:ascii="仿宋_GB2312" w:hAnsi="仿宋_GB2312" w:eastAsia="仿宋_GB2312"/>
          <w:color w:val="auto"/>
          <w:sz w:val="32"/>
          <w:szCs w:val="24"/>
          <w:highlight w:val="none"/>
          <w:lang w:val="en-US" w:eastAsia="zh-CN"/>
        </w:rPr>
        <w:t>我单位为该项目的具体实施单位。</w:t>
      </w:r>
    </w:p>
    <w:p w14:paraId="4AE2DC22">
      <w:pPr>
        <w:keepNext w:val="0"/>
        <w:keepLines w:val="0"/>
        <w:pageBreakBefore w:val="0"/>
        <w:widowControl w:val="0"/>
        <w:kinsoku/>
        <w:wordWrap/>
        <w:overflowPunct/>
        <w:topLinePunct/>
        <w:autoSpaceDE/>
        <w:autoSpaceDN/>
        <w:bidi w:val="0"/>
        <w:adjustRightInd w:val="0"/>
        <w:snapToGrid/>
        <w:spacing w:beforeLines="0" w:afterLines="0" w:line="560" w:lineRule="atLeast"/>
        <w:ind w:firstLine="640" w:firstLineChars="200"/>
        <w:textAlignment w:val="auto"/>
        <w:rPr>
          <w:rFonts w:hint="eastAsia" w:ascii="仿宋_GB2312" w:hAnsi="仿宋_GB2312" w:eastAsia="仿宋_GB2312"/>
          <w:color w:val="auto"/>
          <w:sz w:val="32"/>
          <w:szCs w:val="24"/>
          <w:highlight w:val="none"/>
          <w:lang w:val="zh-CN"/>
        </w:rPr>
      </w:pPr>
      <w:r>
        <w:rPr>
          <w:rFonts w:ascii="仿宋_GB2312" w:hAnsi="Cambria" w:eastAsia="仿宋_GB2312" w:cs="仿宋_GB2312"/>
          <w:kern w:val="0"/>
          <w:sz w:val="32"/>
          <w:szCs w:val="32"/>
          <w:highlight w:val="none"/>
          <w:lang w:val="zh-CN"/>
        </w:rPr>
        <w:t>4</w:t>
      </w:r>
      <w:r>
        <w:rPr>
          <w:rFonts w:hint="eastAsia" w:ascii="仿宋_GB2312" w:hAnsi="Cambria" w:eastAsia="仿宋_GB2312" w:cs="仿宋_GB2312"/>
          <w:kern w:val="0"/>
          <w:sz w:val="32"/>
          <w:szCs w:val="32"/>
          <w:highlight w:val="none"/>
          <w:lang w:val="zh-CN"/>
        </w:rPr>
        <w:t>．</w:t>
      </w:r>
      <w:r>
        <w:rPr>
          <w:rFonts w:hint="eastAsia" w:ascii="仿宋_GB2312" w:hAnsi="仿宋_GB2312" w:eastAsia="仿宋_GB2312"/>
          <w:color w:val="auto"/>
          <w:sz w:val="32"/>
          <w:szCs w:val="24"/>
          <w:highlight w:val="none"/>
          <w:lang w:val="zh-CN"/>
        </w:rPr>
        <w:t>项目资金</w:t>
      </w:r>
      <w:r>
        <w:rPr>
          <w:rFonts w:hint="eastAsia" w:ascii="仿宋_GB2312" w:hAnsi="仿宋_GB2312" w:eastAsia="仿宋_GB2312"/>
          <w:color w:val="auto"/>
          <w:sz w:val="32"/>
          <w:szCs w:val="24"/>
          <w:highlight w:val="none"/>
          <w:lang w:val="en-US" w:eastAsia="zh-CN"/>
        </w:rPr>
        <w:t>用于</w:t>
      </w:r>
      <w:r>
        <w:rPr>
          <w:rFonts w:hint="eastAsia" w:ascii="仿宋_GB2312" w:hAnsi="仿宋_GB2312" w:eastAsia="仿宋_GB2312"/>
          <w:color w:val="auto"/>
          <w:sz w:val="32"/>
          <w:szCs w:val="24"/>
          <w:highlight w:val="none"/>
          <w:lang w:val="zh-CN"/>
        </w:rPr>
        <w:t>黄鹿移民数</w:t>
      </w:r>
      <w:r>
        <w:rPr>
          <w:rFonts w:hint="eastAsia" w:ascii="仿宋_GB2312" w:hAnsi="仿宋_GB2312" w:eastAsia="仿宋_GB2312"/>
          <w:color w:val="auto"/>
          <w:sz w:val="32"/>
          <w:szCs w:val="24"/>
          <w:highlight w:val="none"/>
          <w:lang w:val="en-US" w:eastAsia="zh-CN"/>
        </w:rPr>
        <w:t>50</w:t>
      </w:r>
      <w:r>
        <w:rPr>
          <w:rFonts w:hint="eastAsia" w:ascii="仿宋_GB2312" w:hAnsi="仿宋_GB2312" w:eastAsia="仿宋_GB2312"/>
          <w:color w:val="auto"/>
          <w:sz w:val="32"/>
          <w:szCs w:val="24"/>
          <w:highlight w:val="none"/>
          <w:lang w:val="zh-CN"/>
        </w:rPr>
        <w:t>户1</w:t>
      </w:r>
      <w:r>
        <w:rPr>
          <w:rFonts w:hint="eastAsia" w:ascii="仿宋_GB2312" w:hAnsi="仿宋_GB2312" w:eastAsia="仿宋_GB2312"/>
          <w:color w:val="auto"/>
          <w:sz w:val="32"/>
          <w:szCs w:val="24"/>
          <w:highlight w:val="none"/>
          <w:lang w:val="en-US" w:eastAsia="zh-CN"/>
        </w:rPr>
        <w:t>75</w:t>
      </w:r>
      <w:r>
        <w:rPr>
          <w:rFonts w:hint="eastAsia" w:ascii="仿宋_GB2312" w:hAnsi="仿宋_GB2312" w:eastAsia="仿宋_GB2312"/>
          <w:color w:val="auto"/>
          <w:sz w:val="32"/>
          <w:szCs w:val="24"/>
          <w:highlight w:val="none"/>
          <w:lang w:val="zh-CN"/>
        </w:rPr>
        <w:t>人（</w:t>
      </w:r>
      <w:r>
        <w:rPr>
          <w:rFonts w:hint="eastAsia" w:ascii="仿宋_GB2312" w:hAnsi="仿宋_GB2312" w:eastAsia="仿宋_GB2312"/>
          <w:color w:val="auto"/>
          <w:sz w:val="32"/>
          <w:szCs w:val="24"/>
          <w:highlight w:val="none"/>
          <w:lang w:val="en-US" w:eastAsia="zh-CN"/>
        </w:rPr>
        <w:t>年初人数）</w:t>
      </w:r>
      <w:r>
        <w:rPr>
          <w:rFonts w:hint="eastAsia" w:ascii="仿宋_GB2312" w:hAnsi="仿宋_GB2312" w:eastAsia="仿宋_GB2312"/>
          <w:color w:val="auto"/>
          <w:sz w:val="32"/>
          <w:szCs w:val="24"/>
          <w:highlight w:val="none"/>
          <w:lang w:val="zh-CN"/>
        </w:rPr>
        <w:t>，每人每月122元</w:t>
      </w:r>
      <w:r>
        <w:rPr>
          <w:rFonts w:hint="eastAsia" w:ascii="仿宋_GB2312" w:hAnsi="仿宋_GB2312" w:eastAsia="仿宋_GB2312"/>
          <w:color w:val="auto"/>
          <w:sz w:val="32"/>
          <w:szCs w:val="24"/>
          <w:highlight w:val="none"/>
          <w:lang w:val="en-US" w:eastAsia="zh-CN"/>
        </w:rPr>
        <w:t>生活补助</w:t>
      </w:r>
      <w:r>
        <w:rPr>
          <w:rFonts w:hint="eastAsia" w:ascii="仿宋_GB2312" w:hAnsi="仿宋_GB2312" w:eastAsia="仿宋_GB2312"/>
          <w:color w:val="auto"/>
          <w:sz w:val="32"/>
          <w:szCs w:val="24"/>
          <w:highlight w:val="none"/>
          <w:lang w:val="zh-CN"/>
        </w:rPr>
        <w:t>，每人每</w:t>
      </w:r>
      <w:r>
        <w:rPr>
          <w:rFonts w:hint="eastAsia" w:ascii="仿宋_GB2312" w:hAnsi="仿宋_GB2312" w:eastAsia="仿宋_GB2312"/>
          <w:color w:val="auto"/>
          <w:sz w:val="32"/>
          <w:szCs w:val="24"/>
          <w:highlight w:val="none"/>
          <w:lang w:val="en-US" w:eastAsia="zh-CN"/>
        </w:rPr>
        <w:t>年280元医疗保险补助</w:t>
      </w:r>
      <w:r>
        <w:rPr>
          <w:rFonts w:hint="eastAsia" w:ascii="仿宋_GB2312" w:hAnsi="仿宋_GB2312" w:eastAsia="仿宋_GB2312"/>
          <w:color w:val="auto"/>
          <w:sz w:val="32"/>
          <w:szCs w:val="24"/>
          <w:highlight w:val="none"/>
          <w:lang w:val="zh-CN"/>
        </w:rPr>
        <w:t>。</w:t>
      </w:r>
    </w:p>
    <w:p w14:paraId="5187EEC6">
      <w:pPr>
        <w:keepNext w:val="0"/>
        <w:keepLines w:val="0"/>
        <w:pageBreakBefore w:val="0"/>
        <w:widowControl w:val="0"/>
        <w:kinsoku/>
        <w:wordWrap/>
        <w:overflowPunct/>
        <w:autoSpaceDE/>
        <w:autoSpaceDN/>
        <w:bidi w:val="0"/>
        <w:spacing w:line="560" w:lineRule="atLeast"/>
        <w:ind w:firstLine="643" w:firstLineChars="200"/>
        <w:textAlignment w:val="auto"/>
        <w:rPr>
          <w:rFonts w:eastAsia="仿宋_GB2312"/>
          <w:sz w:val="32"/>
          <w:szCs w:val="32"/>
          <w:highlight w:val="none"/>
          <w:lang w:val="zh-CN"/>
        </w:rPr>
      </w:pPr>
      <w:r>
        <w:rPr>
          <w:rFonts w:hint="eastAsia" w:ascii="楷体_GB2312" w:eastAsia="楷体_GB2312"/>
          <w:b/>
          <w:sz w:val="32"/>
          <w:szCs w:val="32"/>
          <w:highlight w:val="none"/>
          <w:lang w:val="zh-CN"/>
        </w:rPr>
        <w:t>（二）实施目的及支持方向。</w:t>
      </w:r>
      <w:r>
        <w:rPr>
          <w:rFonts w:hint="eastAsia" w:ascii="仿宋_GB2312" w:hAnsi="仿宋_GB2312" w:eastAsia="仿宋_GB2312" w:cs="仿宋_GB2312"/>
          <w:sz w:val="32"/>
          <w:szCs w:val="32"/>
          <w:highlight w:val="none"/>
          <w:lang w:val="zh-CN" w:eastAsia="zh-CN"/>
        </w:rPr>
        <w:t>及时</w:t>
      </w:r>
      <w:r>
        <w:rPr>
          <w:rFonts w:hint="eastAsia" w:ascii="仿宋_GB2312" w:hAnsi="仿宋_GB2312" w:eastAsia="仿宋_GB2312"/>
          <w:color w:val="auto"/>
          <w:sz w:val="32"/>
          <w:szCs w:val="24"/>
          <w:highlight w:val="none"/>
          <w:lang w:val="zh-CN"/>
        </w:rPr>
        <w:t>黄鹿移民数</w:t>
      </w:r>
      <w:r>
        <w:rPr>
          <w:rFonts w:hint="eastAsia" w:ascii="仿宋_GB2312" w:hAnsi="仿宋_GB2312" w:eastAsia="仿宋_GB2312"/>
          <w:color w:val="auto"/>
          <w:sz w:val="32"/>
          <w:szCs w:val="24"/>
          <w:highlight w:val="none"/>
          <w:lang w:val="en-US" w:eastAsia="zh-CN"/>
        </w:rPr>
        <w:t>50</w:t>
      </w:r>
      <w:r>
        <w:rPr>
          <w:rFonts w:hint="eastAsia" w:ascii="仿宋_GB2312" w:hAnsi="仿宋_GB2312" w:eastAsia="仿宋_GB2312"/>
          <w:color w:val="auto"/>
          <w:sz w:val="32"/>
          <w:szCs w:val="24"/>
          <w:highlight w:val="none"/>
          <w:lang w:val="zh-CN"/>
        </w:rPr>
        <w:t>户1</w:t>
      </w:r>
      <w:r>
        <w:rPr>
          <w:rFonts w:hint="eastAsia" w:ascii="仿宋_GB2312" w:hAnsi="仿宋_GB2312" w:eastAsia="仿宋_GB2312"/>
          <w:color w:val="auto"/>
          <w:sz w:val="32"/>
          <w:szCs w:val="24"/>
          <w:highlight w:val="none"/>
          <w:lang w:val="en-US" w:eastAsia="zh-CN"/>
        </w:rPr>
        <w:t>75</w:t>
      </w:r>
      <w:r>
        <w:rPr>
          <w:rFonts w:hint="eastAsia" w:ascii="仿宋_GB2312" w:hAnsi="仿宋_GB2312" w:eastAsia="仿宋_GB2312"/>
          <w:color w:val="auto"/>
          <w:sz w:val="32"/>
          <w:szCs w:val="24"/>
          <w:highlight w:val="none"/>
          <w:lang w:val="zh-CN"/>
        </w:rPr>
        <w:t>人（</w:t>
      </w:r>
      <w:r>
        <w:rPr>
          <w:rFonts w:hint="eastAsia" w:ascii="仿宋_GB2312" w:hAnsi="仿宋_GB2312" w:eastAsia="仿宋_GB2312"/>
          <w:color w:val="auto"/>
          <w:sz w:val="32"/>
          <w:szCs w:val="24"/>
          <w:highlight w:val="none"/>
          <w:lang w:val="en-US" w:eastAsia="zh-CN"/>
        </w:rPr>
        <w:t>年初人数）</w:t>
      </w:r>
      <w:r>
        <w:rPr>
          <w:rFonts w:hint="eastAsia" w:ascii="仿宋_GB2312" w:hAnsi="仿宋_GB2312" w:eastAsia="仿宋_GB2312"/>
          <w:color w:val="auto"/>
          <w:sz w:val="32"/>
          <w:szCs w:val="24"/>
          <w:highlight w:val="none"/>
          <w:lang w:val="zh-CN"/>
        </w:rPr>
        <w:t>，每人每月122元</w:t>
      </w:r>
      <w:r>
        <w:rPr>
          <w:rFonts w:hint="eastAsia" w:ascii="仿宋_GB2312" w:hAnsi="仿宋_GB2312" w:eastAsia="仿宋_GB2312"/>
          <w:color w:val="auto"/>
          <w:sz w:val="32"/>
          <w:szCs w:val="24"/>
          <w:highlight w:val="none"/>
          <w:lang w:val="en-US" w:eastAsia="zh-CN"/>
        </w:rPr>
        <w:t>生活补助</w:t>
      </w:r>
      <w:r>
        <w:rPr>
          <w:rFonts w:hint="eastAsia" w:ascii="仿宋_GB2312" w:hAnsi="仿宋_GB2312" w:eastAsia="仿宋_GB2312"/>
          <w:color w:val="auto"/>
          <w:sz w:val="32"/>
          <w:szCs w:val="24"/>
          <w:highlight w:val="none"/>
          <w:lang w:val="zh-CN"/>
        </w:rPr>
        <w:t>，每人每</w:t>
      </w:r>
      <w:r>
        <w:rPr>
          <w:rFonts w:hint="eastAsia" w:ascii="仿宋_GB2312" w:hAnsi="仿宋_GB2312" w:eastAsia="仿宋_GB2312"/>
          <w:color w:val="auto"/>
          <w:sz w:val="32"/>
          <w:szCs w:val="24"/>
          <w:highlight w:val="none"/>
          <w:lang w:val="en-US" w:eastAsia="zh-CN"/>
        </w:rPr>
        <w:t>年280元医疗保险补助</w:t>
      </w:r>
      <w:r>
        <w:rPr>
          <w:rFonts w:hint="eastAsia" w:ascii="仿宋_GB2312" w:hAnsi="仿宋_GB2312" w:eastAsia="仿宋_GB2312" w:cs="仿宋_GB2312"/>
          <w:sz w:val="32"/>
          <w:szCs w:val="32"/>
          <w:highlight w:val="none"/>
          <w:lang w:val="zh-CN" w:eastAsia="zh-CN"/>
        </w:rPr>
        <w:t>，维护辖区内稳定。</w:t>
      </w:r>
    </w:p>
    <w:p w14:paraId="5AA091BD">
      <w:pPr>
        <w:keepNext w:val="0"/>
        <w:keepLines w:val="0"/>
        <w:pageBreakBefore w:val="0"/>
        <w:widowControl w:val="0"/>
        <w:kinsoku/>
        <w:wordWrap/>
        <w:overflowPunct/>
        <w:autoSpaceDE/>
        <w:autoSpaceDN/>
        <w:bidi w:val="0"/>
        <w:adjustRightInd w:val="0"/>
        <w:snapToGrid w:val="0"/>
        <w:spacing w:line="560" w:lineRule="atLeast"/>
        <w:ind w:firstLine="643" w:firstLineChars="200"/>
        <w:textAlignment w:val="auto"/>
        <w:rPr>
          <w:rFonts w:hint="eastAsia" w:ascii="楷体_GB2312" w:eastAsia="楷体_GB2312"/>
          <w:b/>
          <w:sz w:val="32"/>
          <w:szCs w:val="32"/>
          <w:highlight w:val="none"/>
          <w:lang w:val="zh-CN"/>
        </w:rPr>
      </w:pPr>
      <w:r>
        <w:rPr>
          <w:rFonts w:hint="eastAsia" w:ascii="楷体_GB2312" w:eastAsia="楷体_GB2312"/>
          <w:b/>
          <w:sz w:val="32"/>
          <w:szCs w:val="32"/>
          <w:highlight w:val="none"/>
          <w:lang w:val="zh-CN"/>
        </w:rPr>
        <w:t>（三）预算安排及分配管理。</w:t>
      </w:r>
    </w:p>
    <w:p w14:paraId="0B05418B">
      <w:pPr>
        <w:keepNext w:val="0"/>
        <w:keepLines w:val="0"/>
        <w:pageBreakBefore w:val="0"/>
        <w:widowControl w:val="0"/>
        <w:kinsoku/>
        <w:wordWrap/>
        <w:overflowPunct/>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1.资金计划情况。该项目</w:t>
      </w:r>
      <w:r>
        <w:rPr>
          <w:rFonts w:hint="eastAsia" w:ascii="仿宋_GB2312" w:hAnsi="仿宋_GB2312" w:eastAsia="仿宋_GB2312" w:cs="仿宋_GB2312"/>
          <w:sz w:val="32"/>
          <w:szCs w:val="32"/>
          <w:highlight w:val="none"/>
          <w:lang w:eastAsia="zh-CN"/>
        </w:rPr>
        <w:t>资金系</w:t>
      </w:r>
      <w:r>
        <w:rPr>
          <w:rFonts w:hint="eastAsia" w:ascii="仿宋_GB2312" w:hAnsi="仿宋_GB2312" w:eastAsia="仿宋_GB2312" w:cs="仿宋_GB2312"/>
          <w:sz w:val="32"/>
          <w:szCs w:val="32"/>
          <w:highlight w:val="none"/>
        </w:rPr>
        <w:t>财政预算</w:t>
      </w:r>
      <w:r>
        <w:rPr>
          <w:rFonts w:hint="eastAsia" w:ascii="仿宋_GB2312" w:hAnsi="仿宋_GB2312" w:eastAsia="仿宋_GB2312" w:cs="仿宋_GB2312"/>
          <w:sz w:val="32"/>
          <w:szCs w:val="32"/>
          <w:highlight w:val="none"/>
          <w:lang w:eastAsia="zh-CN"/>
        </w:rPr>
        <w:t>资金，</w:t>
      </w:r>
      <w:r>
        <w:rPr>
          <w:rFonts w:hint="eastAsia" w:ascii="仿宋_GB2312" w:hAnsi="仿宋_GB2312" w:eastAsia="仿宋_GB2312" w:cs="仿宋_GB2312"/>
          <w:sz w:val="32"/>
          <w:szCs w:val="32"/>
          <w:highlight w:val="none"/>
        </w:rPr>
        <w:t>计划</w:t>
      </w:r>
      <w:r>
        <w:rPr>
          <w:rFonts w:hint="eastAsia" w:ascii="仿宋_GB2312" w:hAnsi="仿宋_GB2312" w:eastAsia="仿宋_GB2312" w:cs="仿宋_GB2312"/>
          <w:sz w:val="32"/>
          <w:szCs w:val="32"/>
          <w:highlight w:val="none"/>
          <w:lang w:val="en-US" w:eastAsia="zh-CN"/>
        </w:rPr>
        <w:t>月按人数</w:t>
      </w:r>
      <w:r>
        <w:rPr>
          <w:rFonts w:hint="eastAsia" w:ascii="仿宋_GB2312" w:hAnsi="仿宋_GB2312" w:eastAsia="仿宋_GB2312" w:cs="仿宋_GB2312"/>
          <w:sz w:val="32"/>
          <w:szCs w:val="32"/>
          <w:highlight w:val="none"/>
        </w:rPr>
        <w:t>使用财政预算资金兑付，</w:t>
      </w:r>
      <w:r>
        <w:rPr>
          <w:rFonts w:hint="eastAsia" w:ascii="仿宋_GB2312" w:hAnsi="仿宋_GB2312" w:eastAsia="仿宋_GB2312" w:cs="仿宋_GB2312"/>
          <w:sz w:val="32"/>
          <w:szCs w:val="32"/>
          <w:highlight w:val="none"/>
          <w:lang w:val="en-US" w:eastAsia="zh-CN"/>
        </w:rPr>
        <w:t>预算</w:t>
      </w:r>
      <w:r>
        <w:rPr>
          <w:rFonts w:hint="eastAsia" w:ascii="仿宋_GB2312" w:hAnsi="仿宋_GB2312" w:eastAsia="仿宋_GB2312" w:cs="仿宋_GB2312"/>
          <w:sz w:val="32"/>
          <w:szCs w:val="32"/>
          <w:highlight w:val="none"/>
        </w:rPr>
        <w:t>资金共计</w:t>
      </w:r>
      <w:r>
        <w:rPr>
          <w:rFonts w:hint="eastAsia" w:ascii="仿宋_GB2312" w:hAnsi="仿宋_GB2312" w:eastAsia="仿宋_GB2312"/>
          <w:color w:val="auto"/>
          <w:sz w:val="32"/>
          <w:szCs w:val="24"/>
          <w:highlight w:val="none"/>
          <w:lang w:val="en-US" w:eastAsia="zh-CN"/>
        </w:rPr>
        <w:t>29.47</w:t>
      </w:r>
      <w:r>
        <w:rPr>
          <w:rFonts w:hint="eastAsia" w:ascii="仿宋_GB2312" w:hAnsi="仿宋_GB2312" w:eastAsia="仿宋_GB2312"/>
          <w:color w:val="auto"/>
          <w:sz w:val="32"/>
          <w:szCs w:val="24"/>
          <w:highlight w:val="none"/>
          <w:lang w:val="zh-CN"/>
        </w:rPr>
        <w:t>万元</w:t>
      </w:r>
      <w:r>
        <w:rPr>
          <w:rFonts w:hint="eastAsia" w:ascii="仿宋_GB2312" w:hAnsi="仿宋_GB2312" w:eastAsia="仿宋_GB2312" w:cs="仿宋_GB2312"/>
          <w:sz w:val="32"/>
          <w:szCs w:val="32"/>
          <w:highlight w:val="none"/>
        </w:rPr>
        <w:t>。</w:t>
      </w:r>
    </w:p>
    <w:p w14:paraId="2FC5EAD7">
      <w:pPr>
        <w:keepNext w:val="0"/>
        <w:keepLines w:val="0"/>
        <w:pageBreakBefore w:val="0"/>
        <w:widowControl w:val="0"/>
        <w:kinsoku/>
        <w:wordWrap/>
        <w:overflowPunct/>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2.资金到位情况。截止202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年12月，该项目资金已全部到位，到位率高、到位及时。</w:t>
      </w:r>
    </w:p>
    <w:p w14:paraId="76BB0203">
      <w:pPr>
        <w:keepNext w:val="0"/>
        <w:keepLines w:val="0"/>
        <w:pageBreakBefore w:val="0"/>
        <w:widowControl w:val="0"/>
        <w:kinsoku/>
        <w:wordWrap/>
        <w:overflowPunct/>
        <w:autoSpaceDE/>
        <w:autoSpaceDN/>
        <w:bidi w:val="0"/>
        <w:adjustRightInd w:val="0"/>
        <w:snapToGrid w:val="0"/>
        <w:spacing w:line="560" w:lineRule="atLeast"/>
        <w:ind w:firstLine="640" w:firstLineChars="200"/>
        <w:textAlignment w:val="auto"/>
        <w:rPr>
          <w:rFonts w:eastAsia="仿宋_GB2312"/>
          <w:sz w:val="32"/>
          <w:szCs w:val="32"/>
          <w:highlight w:val="none"/>
          <w:lang w:val="zh-CN"/>
        </w:rPr>
      </w:pPr>
      <w:r>
        <w:rPr>
          <w:rFonts w:hint="eastAsia" w:ascii="仿宋_GB2312" w:hAnsi="仿宋_GB2312" w:eastAsia="仿宋_GB2312" w:cs="仿宋_GB2312"/>
          <w:sz w:val="32"/>
          <w:szCs w:val="32"/>
          <w:highlight w:val="none"/>
        </w:rPr>
        <w:t>3.资金使用情况。截止202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年12月，该项目资金</w:t>
      </w:r>
      <w:r>
        <w:rPr>
          <w:rFonts w:hint="eastAsia" w:ascii="仿宋_GB2312" w:hAnsi="仿宋_GB2312" w:eastAsia="仿宋_GB2312" w:cs="仿宋_GB2312"/>
          <w:sz w:val="32"/>
          <w:szCs w:val="32"/>
          <w:highlight w:val="none"/>
          <w:lang w:eastAsia="zh-CN"/>
        </w:rPr>
        <w:t>已通过审核并全部</w:t>
      </w:r>
      <w:r>
        <w:rPr>
          <w:rFonts w:hint="eastAsia" w:ascii="仿宋_GB2312" w:hAnsi="仿宋_GB2312" w:eastAsia="仿宋_GB2312" w:cs="仿宋_GB2312"/>
          <w:sz w:val="32"/>
          <w:szCs w:val="32"/>
          <w:highlight w:val="none"/>
        </w:rPr>
        <w:t>兑付到位，支付范围、支付标准、支付进度、支付依据合规合法、与预算相符。</w:t>
      </w:r>
    </w:p>
    <w:p w14:paraId="72D3E14C">
      <w:pPr>
        <w:keepNext w:val="0"/>
        <w:keepLines w:val="0"/>
        <w:pageBreakBefore w:val="0"/>
        <w:widowControl w:val="0"/>
        <w:kinsoku/>
        <w:wordWrap/>
        <w:overflowPunct/>
        <w:autoSpaceDE/>
        <w:autoSpaceDN/>
        <w:bidi w:val="0"/>
        <w:adjustRightInd w:val="0"/>
        <w:snapToGrid w:val="0"/>
        <w:spacing w:line="560" w:lineRule="atLeast"/>
        <w:ind w:firstLine="720"/>
        <w:textAlignment w:val="auto"/>
        <w:rPr>
          <w:rFonts w:hint="eastAsia" w:ascii="楷体_GB2312" w:eastAsia="楷体_GB2312"/>
          <w:b/>
          <w:sz w:val="32"/>
          <w:szCs w:val="32"/>
          <w:highlight w:val="none"/>
          <w:lang w:val="zh-CN"/>
        </w:rPr>
      </w:pPr>
      <w:r>
        <w:rPr>
          <w:rFonts w:hint="eastAsia" w:ascii="楷体_GB2312" w:eastAsia="楷体_GB2312"/>
          <w:b/>
          <w:sz w:val="32"/>
          <w:szCs w:val="32"/>
          <w:highlight w:val="none"/>
          <w:lang w:val="zh-CN"/>
        </w:rPr>
        <w:t>（四）项目绩效目标设置。</w:t>
      </w:r>
    </w:p>
    <w:p w14:paraId="74EE2A91">
      <w:pPr>
        <w:keepNext w:val="0"/>
        <w:keepLines w:val="0"/>
        <w:pageBreakBefore w:val="0"/>
        <w:widowControl w:val="0"/>
        <w:numPr>
          <w:ilvl w:val="0"/>
          <w:numId w:val="0"/>
        </w:numPr>
        <w:kinsoku/>
        <w:wordWrap/>
        <w:overflowPunct/>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1.项目实现的具体目标是保障</w:t>
      </w:r>
      <w:r>
        <w:rPr>
          <w:rFonts w:hint="eastAsia" w:ascii="仿宋_GB2312" w:hAnsi="仿宋_GB2312" w:eastAsia="仿宋_GB2312"/>
          <w:color w:val="auto"/>
          <w:sz w:val="32"/>
          <w:szCs w:val="24"/>
          <w:highlight w:val="none"/>
          <w:lang w:val="zh-CN"/>
        </w:rPr>
        <w:t>黄鹿移民数</w:t>
      </w:r>
      <w:r>
        <w:rPr>
          <w:rFonts w:hint="eastAsia" w:ascii="仿宋_GB2312" w:hAnsi="仿宋_GB2312" w:eastAsia="仿宋_GB2312"/>
          <w:color w:val="auto"/>
          <w:sz w:val="32"/>
          <w:szCs w:val="24"/>
          <w:highlight w:val="none"/>
          <w:lang w:val="en-US" w:eastAsia="zh-CN"/>
        </w:rPr>
        <w:t>50</w:t>
      </w:r>
      <w:r>
        <w:rPr>
          <w:rFonts w:hint="eastAsia" w:ascii="仿宋_GB2312" w:hAnsi="仿宋_GB2312" w:eastAsia="仿宋_GB2312"/>
          <w:color w:val="auto"/>
          <w:sz w:val="32"/>
          <w:szCs w:val="24"/>
          <w:highlight w:val="none"/>
          <w:lang w:val="zh-CN"/>
        </w:rPr>
        <w:t>户1</w:t>
      </w:r>
      <w:r>
        <w:rPr>
          <w:rFonts w:hint="eastAsia" w:ascii="仿宋_GB2312" w:hAnsi="仿宋_GB2312" w:eastAsia="仿宋_GB2312"/>
          <w:color w:val="auto"/>
          <w:sz w:val="32"/>
          <w:szCs w:val="24"/>
          <w:highlight w:val="none"/>
          <w:lang w:val="en-US" w:eastAsia="zh-CN"/>
        </w:rPr>
        <w:t>75</w:t>
      </w:r>
      <w:r>
        <w:rPr>
          <w:rFonts w:hint="eastAsia" w:ascii="仿宋_GB2312" w:hAnsi="仿宋_GB2312" w:eastAsia="仿宋_GB2312"/>
          <w:color w:val="auto"/>
          <w:sz w:val="32"/>
          <w:szCs w:val="24"/>
          <w:highlight w:val="none"/>
          <w:lang w:val="zh-CN"/>
        </w:rPr>
        <w:t>人正常生活和维护</w:t>
      </w:r>
      <w:r>
        <w:rPr>
          <w:rFonts w:hint="eastAsia" w:ascii="仿宋_GB2312" w:hAnsi="仿宋_GB2312" w:eastAsia="仿宋_GB2312"/>
          <w:color w:val="auto"/>
          <w:sz w:val="32"/>
          <w:szCs w:val="24"/>
          <w:highlight w:val="none"/>
          <w:lang w:val="en-US" w:eastAsia="zh-CN"/>
        </w:rPr>
        <w:t>社会稳定</w:t>
      </w:r>
      <w:r>
        <w:rPr>
          <w:rFonts w:hint="eastAsia" w:ascii="仿宋_GB2312" w:hAnsi="仿宋_GB2312" w:eastAsia="仿宋_GB2312" w:cs="仿宋_GB2312"/>
          <w:sz w:val="32"/>
          <w:szCs w:val="32"/>
          <w:highlight w:val="none"/>
          <w:lang w:val="en-US" w:eastAsia="zh-CN"/>
        </w:rPr>
        <w:t>。</w:t>
      </w:r>
    </w:p>
    <w:p w14:paraId="5D517514">
      <w:pPr>
        <w:keepNext w:val="0"/>
        <w:keepLines w:val="0"/>
        <w:pageBreakBefore w:val="0"/>
        <w:widowControl w:val="0"/>
        <w:kinsoku/>
        <w:wordWrap/>
        <w:overflowPunct/>
        <w:autoSpaceDE/>
        <w:autoSpaceDN/>
        <w:bidi w:val="0"/>
        <w:adjustRightInd w:val="0"/>
        <w:snapToGrid w:val="0"/>
        <w:spacing w:line="560" w:lineRule="atLeast"/>
        <w:ind w:firstLine="72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2.按照实际人数予以申报，申报与实际相符，申报目标合理可行。</w:t>
      </w:r>
    </w:p>
    <w:p w14:paraId="13794264">
      <w:pPr>
        <w:keepNext w:val="0"/>
        <w:keepLines w:val="0"/>
        <w:pageBreakBefore w:val="0"/>
        <w:widowControl w:val="0"/>
        <w:kinsoku/>
        <w:wordWrap/>
        <w:overflowPunct/>
        <w:autoSpaceDE/>
        <w:autoSpaceDN/>
        <w:bidi w:val="0"/>
        <w:spacing w:line="560" w:lineRule="atLeast"/>
        <w:ind w:left="3" w:firstLine="640" w:firstLineChars="200"/>
        <w:textAlignment w:val="auto"/>
        <w:rPr>
          <w:rFonts w:eastAsia="仿宋_GB2312"/>
          <w:sz w:val="32"/>
          <w:szCs w:val="32"/>
          <w:highlight w:val="none"/>
          <w:lang w:val="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项目自评工作有序开展。</w:t>
      </w:r>
      <w:r>
        <w:rPr>
          <w:rFonts w:hint="eastAsia" w:ascii="仿宋_GB2312" w:hAnsi="仿宋_GB2312" w:eastAsia="仿宋_GB2312" w:cs="仿宋_GB2312"/>
          <w:sz w:val="32"/>
          <w:szCs w:val="32"/>
          <w:highlight w:val="none"/>
          <w:lang w:eastAsia="zh-CN"/>
        </w:rPr>
        <w:t>由</w:t>
      </w:r>
      <w:r>
        <w:rPr>
          <w:rFonts w:hint="eastAsia" w:ascii="仿宋_GB2312" w:hAnsi="仿宋_GB2312" w:eastAsia="仿宋_GB2312" w:cs="仿宋_GB2312"/>
          <w:sz w:val="32"/>
          <w:szCs w:val="32"/>
          <w:highlight w:val="none"/>
          <w:lang w:val="en-US" w:eastAsia="zh-CN"/>
        </w:rPr>
        <w:t>社会事务办</w:t>
      </w:r>
      <w:r>
        <w:rPr>
          <w:rFonts w:hint="eastAsia" w:ascii="仿宋_GB2312" w:hAnsi="仿宋_GB2312" w:eastAsia="仿宋_GB2312" w:cs="仿宋_GB2312"/>
          <w:sz w:val="32"/>
          <w:szCs w:val="32"/>
          <w:highlight w:val="none"/>
          <w:lang w:eastAsia="zh-CN"/>
        </w:rPr>
        <w:t>提供相关佐证资料，详细评价项目资料申报情况；</w:t>
      </w:r>
      <w:r>
        <w:rPr>
          <w:rFonts w:hint="eastAsia" w:ascii="仿宋_GB2312" w:hAnsi="仿宋_GB2312" w:eastAsia="仿宋_GB2312" w:cs="仿宋_GB2312"/>
          <w:sz w:val="32"/>
          <w:szCs w:val="32"/>
          <w:highlight w:val="none"/>
        </w:rPr>
        <w:t>根据财政资金下达时间审定资金到位使用情况；评定项目单位财务管理情况；评定项目整体绩效。</w:t>
      </w:r>
    </w:p>
    <w:p w14:paraId="6D4E6DF2">
      <w:pPr>
        <w:keepNext w:val="0"/>
        <w:keepLines w:val="0"/>
        <w:pageBreakBefore w:val="0"/>
        <w:widowControl w:val="0"/>
        <w:kinsoku/>
        <w:wordWrap/>
        <w:overflowPunct/>
        <w:topLinePunct/>
        <w:autoSpaceDE/>
        <w:autoSpaceDN/>
        <w:bidi w:val="0"/>
        <w:adjustRightInd w:val="0"/>
        <w:snapToGrid/>
        <w:spacing w:beforeLines="0" w:afterLines="0" w:line="560" w:lineRule="atLeast"/>
        <w:ind w:firstLine="643" w:firstLineChars="200"/>
        <w:jc w:val="both"/>
        <w:textAlignment w:val="auto"/>
        <w:rPr>
          <w:rFonts w:hint="eastAsia" w:ascii="楷体_GB2312" w:hAnsi="楷体_GB2312" w:eastAsia="楷体_GB2312"/>
          <w:b/>
          <w:color w:val="auto"/>
          <w:kern w:val="2"/>
          <w:sz w:val="32"/>
          <w:szCs w:val="24"/>
          <w:lang w:val="en-US" w:eastAsia="zh-CN"/>
        </w:rPr>
      </w:pPr>
      <w:r>
        <w:rPr>
          <w:rFonts w:hint="eastAsia" w:ascii="楷体_GB2312" w:hAnsi="楷体_GB2312" w:eastAsia="楷体_GB2312"/>
          <w:b/>
          <w:color w:val="auto"/>
          <w:kern w:val="2"/>
          <w:sz w:val="32"/>
          <w:szCs w:val="24"/>
          <w:lang w:val="en-US" w:eastAsia="zh-CN"/>
        </w:rPr>
        <w:t>二、评价实施</w:t>
      </w:r>
    </w:p>
    <w:p w14:paraId="60714BAB">
      <w:pPr>
        <w:keepNext w:val="0"/>
        <w:keepLines w:val="0"/>
        <w:pageBreakBefore w:val="0"/>
        <w:widowControl w:val="0"/>
        <w:kinsoku/>
        <w:wordWrap/>
        <w:overflowPunct/>
        <w:autoSpaceDE/>
        <w:autoSpaceDN/>
        <w:bidi w:val="0"/>
        <w:spacing w:line="560" w:lineRule="atLeast"/>
        <w:ind w:firstLine="643" w:firstLineChars="200"/>
        <w:textAlignment w:val="auto"/>
        <w:rPr>
          <w:rFonts w:eastAsia="仿宋_GB2312"/>
          <w:sz w:val="32"/>
          <w:szCs w:val="32"/>
          <w:highlight w:val="none"/>
          <w:lang w:val="zh-CN"/>
        </w:rPr>
      </w:pPr>
      <w:r>
        <w:rPr>
          <w:rFonts w:hint="eastAsia" w:ascii="楷体_GB2312" w:eastAsia="楷体_GB2312"/>
          <w:b/>
          <w:sz w:val="32"/>
          <w:szCs w:val="32"/>
          <w:highlight w:val="none"/>
          <w:lang w:val="zh-CN"/>
        </w:rPr>
        <w:t>（一）评价目的。</w:t>
      </w:r>
      <w:r>
        <w:rPr>
          <w:rFonts w:hint="eastAsia" w:ascii="仿宋_GB2312" w:hAnsi="仿宋_GB2312" w:eastAsia="仿宋_GB2312" w:cs="Times New Roman"/>
          <w:color w:val="auto"/>
          <w:sz w:val="32"/>
          <w:szCs w:val="24"/>
          <w:highlight w:val="none"/>
          <w:lang w:val="en-US" w:eastAsia="zh-CN"/>
        </w:rPr>
        <w:t>切实保障</w:t>
      </w:r>
      <w:r>
        <w:rPr>
          <w:rFonts w:hint="eastAsia" w:ascii="仿宋_GB2312" w:hAnsi="仿宋_GB2312" w:eastAsia="仿宋_GB2312" w:cs="Times New Roman"/>
          <w:color w:val="auto"/>
          <w:sz w:val="32"/>
          <w:szCs w:val="24"/>
          <w:highlight w:val="none"/>
          <w:lang w:val="zh-CN" w:eastAsia="zh-CN"/>
        </w:rPr>
        <w:t>完成202</w:t>
      </w:r>
      <w:r>
        <w:rPr>
          <w:rFonts w:hint="eastAsia" w:ascii="仿宋_GB2312" w:hAnsi="仿宋_GB2312" w:eastAsia="仿宋_GB2312" w:cs="Times New Roman"/>
          <w:color w:val="auto"/>
          <w:sz w:val="32"/>
          <w:szCs w:val="24"/>
          <w:highlight w:val="none"/>
          <w:lang w:val="en-US" w:eastAsia="zh-CN"/>
        </w:rPr>
        <w:t>3</w:t>
      </w:r>
      <w:r>
        <w:rPr>
          <w:rFonts w:hint="eastAsia" w:ascii="仿宋_GB2312" w:hAnsi="仿宋_GB2312" w:eastAsia="仿宋_GB2312" w:cs="Times New Roman"/>
          <w:color w:val="auto"/>
          <w:sz w:val="32"/>
          <w:szCs w:val="24"/>
          <w:highlight w:val="none"/>
          <w:lang w:val="zh-CN" w:eastAsia="zh-CN"/>
        </w:rPr>
        <w:t>年新盛镇黄鹿水库移民</w:t>
      </w:r>
      <w:r>
        <w:rPr>
          <w:rFonts w:hint="eastAsia" w:ascii="仿宋_GB2312" w:hAnsi="仿宋_GB2312" w:eastAsia="仿宋_GB2312" w:cs="Times New Roman"/>
          <w:color w:val="auto"/>
          <w:sz w:val="32"/>
          <w:szCs w:val="24"/>
          <w:highlight w:val="none"/>
          <w:lang w:val="en-US" w:eastAsia="zh-CN"/>
        </w:rPr>
        <w:t>50</w:t>
      </w:r>
      <w:r>
        <w:rPr>
          <w:rFonts w:hint="eastAsia" w:ascii="仿宋_GB2312" w:hAnsi="仿宋_GB2312" w:eastAsia="仿宋_GB2312" w:cs="Times New Roman"/>
          <w:color w:val="auto"/>
          <w:sz w:val="32"/>
          <w:szCs w:val="24"/>
          <w:highlight w:val="none"/>
          <w:lang w:val="zh-CN" w:eastAsia="zh-CN"/>
        </w:rPr>
        <w:t>户1</w:t>
      </w:r>
      <w:r>
        <w:rPr>
          <w:rFonts w:hint="eastAsia" w:ascii="仿宋_GB2312" w:hAnsi="仿宋_GB2312" w:eastAsia="仿宋_GB2312" w:cs="Times New Roman"/>
          <w:color w:val="auto"/>
          <w:sz w:val="32"/>
          <w:szCs w:val="24"/>
          <w:highlight w:val="none"/>
          <w:lang w:val="en-US" w:eastAsia="zh-CN"/>
        </w:rPr>
        <w:t>75</w:t>
      </w:r>
      <w:r>
        <w:rPr>
          <w:rFonts w:hint="eastAsia" w:ascii="仿宋_GB2312" w:hAnsi="仿宋_GB2312" w:eastAsia="仿宋_GB2312" w:cs="Times New Roman"/>
          <w:color w:val="auto"/>
          <w:sz w:val="32"/>
          <w:szCs w:val="24"/>
          <w:highlight w:val="none"/>
          <w:lang w:val="zh-CN" w:eastAsia="zh-CN"/>
        </w:rPr>
        <w:t>人后续生活补助</w:t>
      </w:r>
      <w:r>
        <w:rPr>
          <w:rFonts w:hint="eastAsia" w:ascii="仿宋_GB2312" w:hAnsi="仿宋_GB2312" w:eastAsia="仿宋_GB2312" w:cs="Times New Roman"/>
          <w:color w:val="auto"/>
          <w:sz w:val="32"/>
          <w:szCs w:val="24"/>
          <w:highlight w:val="none"/>
          <w:lang w:val="en-US" w:eastAsia="zh-CN"/>
        </w:rPr>
        <w:t>费用</w:t>
      </w:r>
      <w:r>
        <w:rPr>
          <w:rFonts w:hint="eastAsia" w:ascii="仿宋_GB2312" w:hAnsi="仿宋_GB2312" w:eastAsia="仿宋_GB2312"/>
          <w:color w:val="auto"/>
          <w:sz w:val="32"/>
          <w:szCs w:val="24"/>
          <w:highlight w:val="none"/>
          <w:lang w:val="zh-CN"/>
        </w:rPr>
        <w:t>，维护全</w:t>
      </w:r>
      <w:r>
        <w:rPr>
          <w:rFonts w:hint="eastAsia" w:ascii="仿宋_GB2312" w:hAnsi="仿宋_GB2312" w:eastAsia="仿宋_GB2312"/>
          <w:color w:val="auto"/>
          <w:sz w:val="32"/>
          <w:szCs w:val="24"/>
          <w:lang w:val="zh-CN"/>
        </w:rPr>
        <w:t>镇稳定。</w:t>
      </w:r>
    </w:p>
    <w:p w14:paraId="2E8C70EE">
      <w:pPr>
        <w:keepNext w:val="0"/>
        <w:keepLines w:val="0"/>
        <w:pageBreakBefore w:val="0"/>
        <w:widowControl w:val="0"/>
        <w:kinsoku/>
        <w:wordWrap/>
        <w:overflowPunct/>
        <w:autoSpaceDE/>
        <w:autoSpaceDN/>
        <w:bidi w:val="0"/>
        <w:spacing w:line="560" w:lineRule="atLeast"/>
        <w:ind w:firstLine="643" w:firstLineChars="200"/>
        <w:textAlignment w:val="auto"/>
        <w:rPr>
          <w:rFonts w:eastAsia="仿宋_GB2312"/>
          <w:sz w:val="32"/>
          <w:szCs w:val="32"/>
          <w:highlight w:val="none"/>
          <w:lang w:val="zh-CN"/>
        </w:rPr>
      </w:pPr>
      <w:r>
        <w:rPr>
          <w:rFonts w:hint="eastAsia" w:ascii="楷体_GB2312" w:eastAsia="楷体_GB2312"/>
          <w:b/>
          <w:sz w:val="32"/>
          <w:szCs w:val="32"/>
          <w:highlight w:val="none"/>
          <w:lang w:val="zh-CN"/>
        </w:rPr>
        <w:t>（二）预设问题及评价重点。</w:t>
      </w:r>
      <w:r>
        <w:rPr>
          <w:rFonts w:hint="eastAsia" w:eastAsia="仿宋_GB2312"/>
          <w:sz w:val="32"/>
          <w:szCs w:val="32"/>
          <w:highlight w:val="none"/>
          <w:lang w:val="zh-CN"/>
        </w:rPr>
        <w:t>按照绩效评价指标体系，对资金支出使用全过程及其实施效果进行综合评价和判断，</w:t>
      </w:r>
      <w:r>
        <w:rPr>
          <w:rFonts w:hint="eastAsia" w:eastAsia="仿宋_GB2312"/>
          <w:sz w:val="32"/>
          <w:szCs w:val="32"/>
          <w:highlight w:val="none"/>
          <w:lang w:val="en-US" w:eastAsia="zh-CN"/>
        </w:rPr>
        <w:t>主要包含数量指标、质量指标、效益指标，明确项目是否具有可替代性，实施完成时间等内容，确保项目实施达到预设目标。</w:t>
      </w:r>
    </w:p>
    <w:p w14:paraId="4A6292E6">
      <w:pPr>
        <w:keepNext w:val="0"/>
        <w:keepLines w:val="0"/>
        <w:pageBreakBefore w:val="0"/>
        <w:widowControl w:val="0"/>
        <w:kinsoku/>
        <w:wordWrap/>
        <w:overflowPunct/>
        <w:autoSpaceDE/>
        <w:autoSpaceDN/>
        <w:bidi w:val="0"/>
        <w:spacing w:line="560" w:lineRule="atLeast"/>
        <w:ind w:firstLine="643" w:firstLineChars="200"/>
        <w:textAlignment w:val="auto"/>
        <w:rPr>
          <w:rFonts w:hint="default" w:eastAsia="楷体_GB2312"/>
          <w:sz w:val="32"/>
          <w:szCs w:val="32"/>
          <w:highlight w:val="none"/>
          <w:lang w:val="en-US" w:eastAsia="zh-CN"/>
        </w:rPr>
      </w:pPr>
      <w:r>
        <w:rPr>
          <w:rFonts w:hint="eastAsia" w:ascii="楷体_GB2312" w:eastAsia="楷体_GB2312"/>
          <w:b/>
          <w:sz w:val="32"/>
          <w:szCs w:val="32"/>
          <w:highlight w:val="none"/>
          <w:lang w:val="zh-CN"/>
        </w:rPr>
        <w:t>（三）评价选点。</w:t>
      </w:r>
      <w:r>
        <w:rPr>
          <w:rFonts w:hint="eastAsia" w:eastAsia="仿宋_GB2312"/>
          <w:sz w:val="32"/>
          <w:szCs w:val="32"/>
          <w:highlight w:val="none"/>
          <w:lang w:val="en-US" w:eastAsia="zh-CN"/>
        </w:rPr>
        <w:t>一是根据实施环节，在资金使用执行情况、项目完成进度等环节开展绩效评价；二是选取部分人员开展资金兑付检查，确保补助资金发放到人。</w:t>
      </w:r>
    </w:p>
    <w:p w14:paraId="549EEA64">
      <w:pPr>
        <w:keepNext w:val="0"/>
        <w:keepLines w:val="0"/>
        <w:pageBreakBefore w:val="0"/>
        <w:widowControl w:val="0"/>
        <w:kinsoku/>
        <w:wordWrap/>
        <w:overflowPunct/>
        <w:autoSpaceDE/>
        <w:autoSpaceDN/>
        <w:bidi w:val="0"/>
        <w:spacing w:line="560" w:lineRule="atLeast"/>
        <w:ind w:firstLine="643" w:firstLineChars="200"/>
        <w:textAlignment w:val="auto"/>
        <w:rPr>
          <w:rFonts w:eastAsia="仿宋_GB2312"/>
          <w:sz w:val="32"/>
          <w:szCs w:val="32"/>
          <w:highlight w:val="none"/>
          <w:lang w:val="zh-CN"/>
        </w:rPr>
      </w:pPr>
      <w:r>
        <w:rPr>
          <w:rFonts w:hint="eastAsia" w:ascii="楷体_GB2312" w:eastAsia="楷体_GB2312"/>
          <w:b/>
          <w:sz w:val="32"/>
          <w:szCs w:val="32"/>
          <w:highlight w:val="none"/>
          <w:lang w:val="zh-CN"/>
        </w:rPr>
        <w:t>（四）评价方法。</w:t>
      </w:r>
      <w:r>
        <w:rPr>
          <w:rFonts w:hint="eastAsia" w:eastAsia="仿宋_GB2312"/>
          <w:sz w:val="32"/>
          <w:szCs w:val="32"/>
          <w:highlight w:val="none"/>
          <w:lang w:val="zh-CN"/>
        </w:rPr>
        <w:t>根据</w:t>
      </w:r>
      <w:r>
        <w:rPr>
          <w:rFonts w:hint="eastAsia" w:eastAsia="仿宋_GB2312"/>
          <w:sz w:val="32"/>
          <w:szCs w:val="32"/>
          <w:highlight w:val="none"/>
          <w:lang w:val="en-US" w:eastAsia="zh-CN"/>
        </w:rPr>
        <w:t>实际</w:t>
      </w:r>
      <w:r>
        <w:rPr>
          <w:rFonts w:hint="eastAsia" w:eastAsia="仿宋_GB2312"/>
          <w:sz w:val="32"/>
          <w:szCs w:val="32"/>
          <w:highlight w:val="none"/>
          <w:lang w:val="zh-CN"/>
        </w:rPr>
        <w:t>项目情况和评价重点。</w:t>
      </w:r>
      <w:r>
        <w:rPr>
          <w:rFonts w:hint="eastAsia" w:eastAsia="仿宋_GB2312"/>
          <w:sz w:val="32"/>
          <w:szCs w:val="32"/>
          <w:highlight w:val="none"/>
          <w:lang w:val="en-US" w:eastAsia="zh-CN"/>
        </w:rPr>
        <w:t>我镇</w:t>
      </w:r>
      <w:r>
        <w:rPr>
          <w:rFonts w:hint="eastAsia" w:eastAsia="仿宋_GB2312"/>
          <w:sz w:val="32"/>
          <w:szCs w:val="32"/>
          <w:highlight w:val="none"/>
          <w:lang w:val="zh-CN"/>
        </w:rPr>
        <w:t>采用单位自评法、</w:t>
      </w:r>
      <w:r>
        <w:rPr>
          <w:rFonts w:hint="eastAsia" w:eastAsia="仿宋_GB2312"/>
          <w:sz w:val="32"/>
          <w:szCs w:val="32"/>
          <w:highlight w:val="none"/>
          <w:lang w:val="en-US" w:eastAsia="zh-CN"/>
        </w:rPr>
        <w:t>问卷调查法</w:t>
      </w:r>
      <w:r>
        <w:rPr>
          <w:rFonts w:hint="eastAsia" w:eastAsia="仿宋_GB2312"/>
          <w:sz w:val="32"/>
          <w:szCs w:val="32"/>
          <w:highlight w:val="none"/>
          <w:lang w:val="zh-CN"/>
        </w:rPr>
        <w:t>等多种方法。来收集相关材料和开展具体评价。</w:t>
      </w:r>
    </w:p>
    <w:p w14:paraId="5ABA8B8A">
      <w:pPr>
        <w:keepNext w:val="0"/>
        <w:keepLines w:val="0"/>
        <w:pageBreakBefore w:val="0"/>
        <w:widowControl w:val="0"/>
        <w:kinsoku/>
        <w:wordWrap/>
        <w:overflowPunct/>
        <w:topLinePunct/>
        <w:autoSpaceDE/>
        <w:autoSpaceDN/>
        <w:bidi w:val="0"/>
        <w:adjustRightInd w:val="0"/>
        <w:snapToGrid/>
        <w:spacing w:beforeLines="0" w:afterLines="0" w:line="560" w:lineRule="atLeast"/>
        <w:ind w:firstLine="643" w:firstLineChars="200"/>
        <w:jc w:val="both"/>
        <w:textAlignment w:val="auto"/>
        <w:rPr>
          <w:rFonts w:hint="eastAsia" w:ascii="楷体_GB2312" w:hAnsi="楷体_GB2312" w:eastAsia="楷体_GB2312"/>
          <w:b/>
          <w:color w:val="auto"/>
          <w:kern w:val="2"/>
          <w:sz w:val="32"/>
          <w:szCs w:val="24"/>
          <w:lang w:val="zh-CN"/>
        </w:rPr>
      </w:pPr>
      <w:r>
        <w:rPr>
          <w:rFonts w:hint="eastAsia" w:ascii="楷体_GB2312" w:eastAsia="楷体_GB2312"/>
          <w:b/>
          <w:sz w:val="32"/>
          <w:szCs w:val="32"/>
          <w:highlight w:val="none"/>
          <w:lang w:val="zh-CN"/>
        </w:rPr>
        <w:t>（五）评价组织。</w:t>
      </w:r>
      <w:r>
        <w:rPr>
          <w:rFonts w:hint="eastAsia" w:ascii="仿宋_GB2312" w:hAnsi="仿宋_GB2312" w:eastAsia="仿宋_GB2312" w:cs="仿宋_GB2312"/>
          <w:spacing w:val="8"/>
          <w:sz w:val="32"/>
          <w:szCs w:val="32"/>
          <w:highlight w:val="none"/>
        </w:rPr>
        <w:t>镇党委政府高度重视该项目，</w:t>
      </w:r>
      <w:r>
        <w:rPr>
          <w:rFonts w:hint="eastAsia" w:ascii="仿宋_GB2312" w:hAnsi="仿宋_GB2312" w:eastAsia="仿宋_GB2312" w:cs="Times New Roman"/>
          <w:color w:val="auto"/>
          <w:sz w:val="32"/>
          <w:szCs w:val="24"/>
          <w:lang w:val="en-US" w:eastAsia="zh-CN"/>
        </w:rPr>
        <w:t>成立了由镇党委副书记、镇长任组长，业务分管领导和财务分管领导任副组长，业务办公室、财政办公室和党建办公室人员为成员的项目实施评价小组，镇党委副书记、镇长负总责。业务分管领导为主要负责人，负责项目实施的合理性、合法性、真实性；业务办公室人员编制项目实施方案和项目绩效目标，并按照方案具体实施项目、申请项目资金。财政办公室人员根据项目实施方案和项目绩效目标申请预算资金，项目实施过程中根据业务工作人员资金申请情况，核实申请资金的合理性、合法性后及时拨付；财务分管领导负责项目资金按时拨付。党建办公室负责项目实施、资金拨付的监督责任。</w:t>
      </w:r>
      <w:r>
        <w:rPr>
          <w:rFonts w:hint="eastAsia" w:ascii="仿宋_GB2312" w:hAnsi="仿宋_GB2312" w:eastAsia="仿宋_GB2312" w:cs="Times New Roman"/>
          <w:color w:val="auto"/>
          <w:sz w:val="32"/>
          <w:szCs w:val="24"/>
          <w:lang w:val="zh-CN"/>
        </w:rPr>
        <w:t>我单位项目组织架构及实施流程严格按照项目规划组织实施和管理</w:t>
      </w:r>
      <w:r>
        <w:rPr>
          <w:rFonts w:hint="eastAsia" w:ascii="楷体_GB2312" w:hAnsi="楷体_GB2312" w:eastAsia="楷体_GB2312"/>
          <w:b/>
          <w:color w:val="auto"/>
          <w:kern w:val="2"/>
          <w:sz w:val="32"/>
          <w:szCs w:val="24"/>
          <w:lang w:val="zh-CN"/>
        </w:rPr>
        <w:t>。</w:t>
      </w:r>
    </w:p>
    <w:p w14:paraId="42C55D89">
      <w:pPr>
        <w:keepNext w:val="0"/>
        <w:keepLines w:val="0"/>
        <w:pageBreakBefore w:val="0"/>
        <w:widowControl w:val="0"/>
        <w:kinsoku/>
        <w:wordWrap/>
        <w:overflowPunct/>
        <w:autoSpaceDE/>
        <w:autoSpaceDN/>
        <w:bidi w:val="0"/>
        <w:spacing w:line="560" w:lineRule="atLeast"/>
        <w:ind w:firstLine="640" w:firstLineChars="200"/>
        <w:textAlignment w:val="auto"/>
        <w:rPr>
          <w:rFonts w:ascii="黑体" w:hAnsi="黑体" w:eastAsia="黑体"/>
          <w:sz w:val="32"/>
          <w:szCs w:val="32"/>
          <w:highlight w:val="none"/>
          <w:lang w:val="zh-CN"/>
        </w:rPr>
      </w:pPr>
      <w:r>
        <w:rPr>
          <w:rFonts w:hint="eastAsia" w:ascii="黑体" w:hAnsi="黑体" w:eastAsia="黑体"/>
          <w:sz w:val="32"/>
          <w:szCs w:val="32"/>
          <w:highlight w:val="none"/>
          <w:lang w:val="zh-CN"/>
        </w:rPr>
        <w:t>三、绩效分析</w:t>
      </w:r>
    </w:p>
    <w:p w14:paraId="4B179070">
      <w:pPr>
        <w:keepNext w:val="0"/>
        <w:keepLines w:val="0"/>
        <w:pageBreakBefore w:val="0"/>
        <w:widowControl w:val="0"/>
        <w:kinsoku/>
        <w:wordWrap/>
        <w:overflowPunct/>
        <w:autoSpaceDE/>
        <w:autoSpaceDN/>
        <w:bidi w:val="0"/>
        <w:spacing w:line="560" w:lineRule="atLeast"/>
        <w:ind w:firstLine="643" w:firstLineChars="200"/>
        <w:textAlignment w:val="auto"/>
        <w:rPr>
          <w:rFonts w:ascii="楷体_GB2312" w:eastAsia="楷体_GB2312"/>
          <w:b/>
          <w:sz w:val="32"/>
          <w:szCs w:val="32"/>
          <w:highlight w:val="none"/>
          <w:lang w:val="zh-CN"/>
        </w:rPr>
      </w:pPr>
      <w:r>
        <w:rPr>
          <w:rFonts w:hint="eastAsia" w:ascii="楷体_GB2312" w:eastAsia="楷体_GB2312"/>
          <w:b/>
          <w:sz w:val="32"/>
          <w:szCs w:val="32"/>
          <w:highlight w:val="none"/>
          <w:lang w:val="zh-CN"/>
        </w:rPr>
        <w:t>（一）通用指标绩效分析。</w:t>
      </w:r>
    </w:p>
    <w:p w14:paraId="5CFB0816">
      <w:pPr>
        <w:keepNext w:val="0"/>
        <w:keepLines w:val="0"/>
        <w:pageBreakBefore w:val="0"/>
        <w:widowControl w:val="0"/>
        <w:kinsoku/>
        <w:wordWrap/>
        <w:overflowPunct/>
        <w:autoSpaceDE/>
        <w:autoSpaceDN/>
        <w:bidi w:val="0"/>
        <w:adjustRightInd w:val="0"/>
        <w:snapToGrid w:val="0"/>
        <w:spacing w:line="560" w:lineRule="atLeast"/>
        <w:ind w:firstLine="720"/>
        <w:textAlignment w:val="auto"/>
        <w:rPr>
          <w:rFonts w:eastAsia="仿宋_GB2312"/>
          <w:sz w:val="32"/>
          <w:szCs w:val="32"/>
          <w:highlight w:val="none"/>
          <w:lang w:val="zh-CN"/>
        </w:rPr>
      </w:pPr>
      <w:r>
        <w:rPr>
          <w:rFonts w:hint="eastAsia" w:ascii="楷体_GB2312" w:eastAsia="楷体_GB2312"/>
          <w:sz w:val="32"/>
          <w:szCs w:val="32"/>
          <w:highlight w:val="none"/>
          <w:lang w:val="zh-CN"/>
        </w:rPr>
        <w:t>1.项目决策。</w:t>
      </w:r>
      <w:r>
        <w:rPr>
          <w:rFonts w:hint="eastAsia" w:ascii="仿宋_GB2312" w:hAnsi="仿宋_GB2312" w:eastAsia="仿宋_GB2312" w:cs="仿宋_GB2312"/>
          <w:sz w:val="32"/>
          <w:szCs w:val="32"/>
          <w:highlight w:val="none"/>
          <w:lang w:val="en-US" w:eastAsia="zh-CN"/>
        </w:rPr>
        <w:t>以切</w:t>
      </w:r>
      <w:r>
        <w:rPr>
          <w:rFonts w:hint="eastAsia" w:ascii="仿宋_GB2312" w:hAnsi="仿宋_GB2312" w:eastAsia="仿宋_GB2312" w:cs="Times New Roman"/>
          <w:color w:val="auto"/>
          <w:sz w:val="32"/>
          <w:szCs w:val="24"/>
          <w:highlight w:val="none"/>
          <w:lang w:val="en-US" w:eastAsia="zh-CN"/>
        </w:rPr>
        <w:t>实保障</w:t>
      </w:r>
      <w:r>
        <w:rPr>
          <w:rFonts w:hint="eastAsia" w:ascii="仿宋_GB2312" w:hAnsi="仿宋_GB2312" w:eastAsia="仿宋_GB2312" w:cs="Times New Roman"/>
          <w:color w:val="auto"/>
          <w:sz w:val="32"/>
          <w:szCs w:val="24"/>
          <w:highlight w:val="none"/>
          <w:lang w:val="zh-CN" w:eastAsia="zh-CN"/>
        </w:rPr>
        <w:t>202</w:t>
      </w:r>
      <w:r>
        <w:rPr>
          <w:rFonts w:hint="eastAsia" w:ascii="仿宋_GB2312" w:hAnsi="仿宋_GB2312" w:eastAsia="仿宋_GB2312" w:cs="Times New Roman"/>
          <w:color w:val="auto"/>
          <w:sz w:val="32"/>
          <w:szCs w:val="24"/>
          <w:highlight w:val="none"/>
          <w:lang w:val="en-US" w:eastAsia="zh-CN"/>
        </w:rPr>
        <w:t>3</w:t>
      </w:r>
      <w:r>
        <w:rPr>
          <w:rFonts w:hint="eastAsia" w:ascii="仿宋_GB2312" w:hAnsi="仿宋_GB2312" w:eastAsia="仿宋_GB2312" w:cs="Times New Roman"/>
          <w:color w:val="auto"/>
          <w:sz w:val="32"/>
          <w:szCs w:val="24"/>
          <w:highlight w:val="none"/>
          <w:lang w:val="zh-CN" w:eastAsia="zh-CN"/>
        </w:rPr>
        <w:t>年新盛镇黄鹿水库移民</w:t>
      </w:r>
      <w:r>
        <w:rPr>
          <w:rFonts w:hint="eastAsia" w:ascii="仿宋_GB2312" w:hAnsi="仿宋_GB2312" w:eastAsia="仿宋_GB2312" w:cs="Times New Roman"/>
          <w:color w:val="auto"/>
          <w:sz w:val="32"/>
          <w:szCs w:val="24"/>
          <w:highlight w:val="none"/>
          <w:lang w:val="en-US" w:eastAsia="zh-CN"/>
        </w:rPr>
        <w:t>50</w:t>
      </w:r>
      <w:r>
        <w:rPr>
          <w:rFonts w:hint="eastAsia" w:ascii="仿宋_GB2312" w:hAnsi="仿宋_GB2312" w:eastAsia="仿宋_GB2312" w:cs="Times New Roman"/>
          <w:color w:val="auto"/>
          <w:sz w:val="32"/>
          <w:szCs w:val="24"/>
          <w:highlight w:val="none"/>
          <w:lang w:val="zh-CN" w:eastAsia="zh-CN"/>
        </w:rPr>
        <w:t>户1</w:t>
      </w:r>
      <w:r>
        <w:rPr>
          <w:rFonts w:hint="eastAsia" w:ascii="仿宋_GB2312" w:hAnsi="仿宋_GB2312" w:eastAsia="仿宋_GB2312" w:cs="Times New Roman"/>
          <w:color w:val="auto"/>
          <w:sz w:val="32"/>
          <w:szCs w:val="24"/>
          <w:highlight w:val="none"/>
          <w:lang w:val="en-US" w:eastAsia="zh-CN"/>
        </w:rPr>
        <w:t>75</w:t>
      </w:r>
      <w:r>
        <w:rPr>
          <w:rFonts w:hint="eastAsia" w:ascii="仿宋_GB2312" w:hAnsi="仿宋_GB2312" w:eastAsia="仿宋_GB2312" w:cs="Times New Roman"/>
          <w:color w:val="auto"/>
          <w:sz w:val="32"/>
          <w:szCs w:val="24"/>
          <w:highlight w:val="none"/>
          <w:lang w:val="zh-CN" w:eastAsia="zh-CN"/>
        </w:rPr>
        <w:t>人后续生活补助</w:t>
      </w:r>
      <w:r>
        <w:rPr>
          <w:rFonts w:hint="eastAsia" w:ascii="仿宋_GB2312" w:hAnsi="仿宋_GB2312" w:eastAsia="仿宋_GB2312" w:cs="Times New Roman"/>
          <w:color w:val="auto"/>
          <w:sz w:val="32"/>
          <w:szCs w:val="24"/>
          <w:highlight w:val="none"/>
          <w:lang w:val="en-US" w:eastAsia="zh-CN"/>
        </w:rPr>
        <w:t>费用</w:t>
      </w:r>
      <w:r>
        <w:rPr>
          <w:rFonts w:hint="eastAsia" w:ascii="仿宋_GB2312" w:hAnsi="仿宋_GB2312" w:eastAsia="仿宋_GB2312" w:cs="仿宋_GB2312"/>
          <w:sz w:val="32"/>
          <w:szCs w:val="32"/>
          <w:highlight w:val="none"/>
          <w:lang w:val="en-US" w:eastAsia="zh-CN"/>
        </w:rPr>
        <w:t>为立项依据，按照</w:t>
      </w:r>
      <w:r>
        <w:rPr>
          <w:rFonts w:hint="eastAsia" w:ascii="仿宋_GB2312" w:hAnsi="仿宋_GB2312" w:eastAsia="仿宋_GB2312" w:cs="仿宋_GB2312"/>
          <w:sz w:val="32"/>
          <w:szCs w:val="32"/>
          <w:highlight w:val="none"/>
          <w:lang w:val="zh-CN"/>
        </w:rPr>
        <w:t>项目认定、金额核定、资金拨付</w:t>
      </w:r>
      <w:r>
        <w:rPr>
          <w:rFonts w:hint="eastAsia" w:ascii="仿宋_GB2312" w:hAnsi="仿宋_GB2312" w:eastAsia="仿宋_GB2312" w:cs="仿宋_GB2312"/>
          <w:sz w:val="32"/>
          <w:szCs w:val="32"/>
          <w:highlight w:val="none"/>
          <w:lang w:val="en-US" w:eastAsia="zh-CN"/>
        </w:rPr>
        <w:t>流程规范实施</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val="en-US" w:eastAsia="zh-CN"/>
        </w:rPr>
        <w:t>由我镇根据实际，按标准及人数统一拨付至户主账户。</w:t>
      </w:r>
    </w:p>
    <w:p w14:paraId="4976989B">
      <w:pPr>
        <w:keepNext w:val="0"/>
        <w:keepLines w:val="0"/>
        <w:pageBreakBefore w:val="0"/>
        <w:widowControl w:val="0"/>
        <w:kinsoku/>
        <w:wordWrap/>
        <w:overflowPunct/>
        <w:autoSpaceDE/>
        <w:autoSpaceDN/>
        <w:bidi w:val="0"/>
        <w:adjustRightInd w:val="0"/>
        <w:snapToGrid w:val="0"/>
        <w:spacing w:line="560" w:lineRule="atLeast"/>
        <w:ind w:firstLine="640" w:firstLineChars="200"/>
        <w:textAlignment w:val="auto"/>
        <w:rPr>
          <w:rFonts w:eastAsia="仿宋_GB2312"/>
          <w:sz w:val="32"/>
          <w:szCs w:val="32"/>
          <w:highlight w:val="none"/>
          <w:lang w:val="zh-CN"/>
        </w:rPr>
      </w:pPr>
      <w:r>
        <w:rPr>
          <w:rFonts w:hint="eastAsia" w:ascii="楷体_GB2312" w:eastAsia="楷体_GB2312"/>
          <w:sz w:val="32"/>
          <w:szCs w:val="32"/>
          <w:highlight w:val="none"/>
          <w:lang w:val="zh-CN"/>
        </w:rPr>
        <w:t>2.项目管理。</w:t>
      </w:r>
      <w:r>
        <w:rPr>
          <w:rFonts w:hint="eastAsia" w:ascii="仿宋_GB2312" w:hAnsi="仿宋_GB2312" w:eastAsia="仿宋_GB2312" w:cs="仿宋_GB2312"/>
          <w:sz w:val="32"/>
          <w:szCs w:val="32"/>
          <w:highlight w:val="none"/>
          <w:lang w:val="zh-CN"/>
        </w:rPr>
        <w:t>结合项目组织实施管理办法，由</w:t>
      </w:r>
      <w:r>
        <w:rPr>
          <w:rFonts w:hint="eastAsia" w:ascii="仿宋_GB2312" w:hAnsi="仿宋_GB2312" w:eastAsia="仿宋_GB2312" w:cs="仿宋_GB2312"/>
          <w:sz w:val="32"/>
          <w:szCs w:val="32"/>
          <w:highlight w:val="none"/>
          <w:lang w:val="en-US" w:eastAsia="zh-CN"/>
        </w:rPr>
        <w:t>新盛</w:t>
      </w:r>
      <w:r>
        <w:rPr>
          <w:rFonts w:hint="eastAsia" w:ascii="仿宋_GB2312" w:hAnsi="仿宋_GB2312" w:eastAsia="仿宋_GB2312" w:cs="仿宋_GB2312"/>
          <w:sz w:val="32"/>
          <w:szCs w:val="32"/>
          <w:highlight w:val="none"/>
          <w:lang w:val="zh-CN"/>
        </w:rPr>
        <w:t>镇监督实施，全体成员积极配合，通力合作，协调项目相关工作。</w:t>
      </w:r>
    </w:p>
    <w:p w14:paraId="7F394FD7">
      <w:pPr>
        <w:keepNext w:val="0"/>
        <w:keepLines w:val="0"/>
        <w:pageBreakBefore w:val="0"/>
        <w:widowControl w:val="0"/>
        <w:kinsoku/>
        <w:wordWrap/>
        <w:overflowPunct/>
        <w:autoSpaceDE/>
        <w:autoSpaceDN/>
        <w:bidi w:val="0"/>
        <w:spacing w:line="560" w:lineRule="atLeast"/>
        <w:ind w:firstLine="640" w:firstLineChars="200"/>
        <w:textAlignment w:val="auto"/>
        <w:rPr>
          <w:rFonts w:eastAsia="仿宋_GB2312"/>
          <w:sz w:val="32"/>
          <w:szCs w:val="32"/>
          <w:highlight w:val="none"/>
          <w:lang w:val="zh-CN"/>
        </w:rPr>
      </w:pPr>
      <w:r>
        <w:rPr>
          <w:rFonts w:hint="eastAsia" w:ascii="楷体_GB2312" w:eastAsia="楷体_GB2312"/>
          <w:sz w:val="32"/>
          <w:szCs w:val="32"/>
          <w:highlight w:val="none"/>
          <w:lang w:val="zh-CN"/>
        </w:rPr>
        <w:t>3.项目实施。</w:t>
      </w:r>
      <w:r>
        <w:rPr>
          <w:rFonts w:hint="eastAsia" w:ascii="仿宋_GB2312" w:hAnsi="仿宋_GB2312" w:eastAsia="仿宋_GB2312" w:cs="仿宋_GB2312"/>
          <w:sz w:val="32"/>
          <w:szCs w:val="32"/>
          <w:highlight w:val="none"/>
          <w:lang w:val="zh-CN"/>
        </w:rPr>
        <w:t>项目资金由镇财政所具体管理，按计划拨付。资金进行单位核算，专项资金专用，不得挤占挪用项目资金。项目小组日常监督检查，及时协调解决困难和问题，保证工程质量。充分利用社会监督和群众监督，保障群众的合法权益。</w:t>
      </w:r>
    </w:p>
    <w:p w14:paraId="03EC22AD">
      <w:pPr>
        <w:keepNext w:val="0"/>
        <w:keepLines w:val="0"/>
        <w:pageBreakBefore w:val="0"/>
        <w:widowControl w:val="0"/>
        <w:kinsoku/>
        <w:wordWrap/>
        <w:overflowPunct/>
        <w:autoSpaceDE/>
        <w:autoSpaceDN/>
        <w:bidi w:val="0"/>
        <w:spacing w:line="560" w:lineRule="atLeast"/>
        <w:ind w:firstLine="640" w:firstLineChars="200"/>
        <w:textAlignment w:val="auto"/>
        <w:rPr>
          <w:rFonts w:hint="eastAsia" w:eastAsia="仿宋_GB2312"/>
          <w:sz w:val="32"/>
          <w:szCs w:val="32"/>
          <w:highlight w:val="none"/>
          <w:lang w:val="zh-CN"/>
        </w:rPr>
      </w:pPr>
      <w:r>
        <w:rPr>
          <w:rFonts w:hint="eastAsia" w:ascii="楷体_GB2312" w:eastAsia="楷体_GB2312"/>
          <w:sz w:val="32"/>
          <w:szCs w:val="32"/>
          <w:highlight w:val="none"/>
          <w:lang w:val="zh-CN"/>
        </w:rPr>
        <w:t>4.项目结果。</w:t>
      </w:r>
      <w:r>
        <w:rPr>
          <w:rFonts w:hint="eastAsia" w:eastAsia="仿宋_GB2312"/>
          <w:sz w:val="32"/>
          <w:szCs w:val="32"/>
          <w:highlight w:val="none"/>
          <w:lang w:val="zh-CN"/>
        </w:rPr>
        <w:t>2023年年底前全面完成</w:t>
      </w:r>
      <w:r>
        <w:rPr>
          <w:rFonts w:hint="eastAsia" w:eastAsia="仿宋_GB2312"/>
          <w:sz w:val="32"/>
          <w:szCs w:val="32"/>
          <w:highlight w:val="none"/>
          <w:lang w:val="en-US" w:eastAsia="zh-CN"/>
        </w:rPr>
        <w:t>了</w:t>
      </w:r>
      <w:r>
        <w:rPr>
          <w:rFonts w:hint="eastAsia" w:ascii="仿宋_GB2312" w:hAnsi="仿宋_GB2312" w:eastAsia="仿宋_GB2312" w:cs="Times New Roman"/>
          <w:color w:val="auto"/>
          <w:sz w:val="32"/>
          <w:szCs w:val="24"/>
          <w:highlight w:val="none"/>
          <w:lang w:val="zh-CN" w:eastAsia="zh-CN"/>
        </w:rPr>
        <w:t>202</w:t>
      </w:r>
      <w:r>
        <w:rPr>
          <w:rFonts w:hint="eastAsia" w:ascii="仿宋_GB2312" w:hAnsi="仿宋_GB2312" w:eastAsia="仿宋_GB2312" w:cs="Times New Roman"/>
          <w:color w:val="auto"/>
          <w:sz w:val="32"/>
          <w:szCs w:val="24"/>
          <w:highlight w:val="none"/>
          <w:lang w:val="en-US" w:eastAsia="zh-CN"/>
        </w:rPr>
        <w:t>3</w:t>
      </w:r>
      <w:r>
        <w:rPr>
          <w:rFonts w:hint="eastAsia" w:ascii="仿宋_GB2312" w:hAnsi="仿宋_GB2312" w:eastAsia="仿宋_GB2312" w:cs="Times New Roman"/>
          <w:color w:val="auto"/>
          <w:sz w:val="32"/>
          <w:szCs w:val="24"/>
          <w:highlight w:val="none"/>
          <w:lang w:val="zh-CN" w:eastAsia="zh-CN"/>
        </w:rPr>
        <w:t>年新盛镇黄鹿水库移民</w:t>
      </w:r>
      <w:r>
        <w:rPr>
          <w:rFonts w:hint="eastAsia" w:ascii="仿宋_GB2312" w:hAnsi="仿宋_GB2312" w:eastAsia="仿宋_GB2312" w:cs="Times New Roman"/>
          <w:color w:val="auto"/>
          <w:sz w:val="32"/>
          <w:szCs w:val="24"/>
          <w:highlight w:val="none"/>
          <w:lang w:val="en-US" w:eastAsia="zh-CN"/>
        </w:rPr>
        <w:t>50</w:t>
      </w:r>
      <w:r>
        <w:rPr>
          <w:rFonts w:hint="eastAsia" w:ascii="仿宋_GB2312" w:hAnsi="仿宋_GB2312" w:eastAsia="仿宋_GB2312" w:cs="Times New Roman"/>
          <w:color w:val="auto"/>
          <w:sz w:val="32"/>
          <w:szCs w:val="24"/>
          <w:highlight w:val="none"/>
          <w:lang w:val="zh-CN" w:eastAsia="zh-CN"/>
        </w:rPr>
        <w:t>户1</w:t>
      </w:r>
      <w:r>
        <w:rPr>
          <w:rFonts w:hint="eastAsia" w:ascii="仿宋_GB2312" w:hAnsi="仿宋_GB2312" w:eastAsia="仿宋_GB2312" w:cs="Times New Roman"/>
          <w:color w:val="auto"/>
          <w:sz w:val="32"/>
          <w:szCs w:val="24"/>
          <w:highlight w:val="none"/>
          <w:lang w:val="en-US" w:eastAsia="zh-CN"/>
        </w:rPr>
        <w:t>75</w:t>
      </w:r>
      <w:r>
        <w:rPr>
          <w:rFonts w:hint="eastAsia" w:ascii="仿宋_GB2312" w:hAnsi="仿宋_GB2312" w:eastAsia="仿宋_GB2312" w:cs="Times New Roman"/>
          <w:color w:val="auto"/>
          <w:sz w:val="32"/>
          <w:szCs w:val="24"/>
          <w:highlight w:val="none"/>
          <w:lang w:val="zh-CN" w:eastAsia="zh-CN"/>
        </w:rPr>
        <w:t>人后续生活补助</w:t>
      </w:r>
      <w:r>
        <w:rPr>
          <w:rFonts w:hint="eastAsia" w:ascii="仿宋_GB2312" w:hAnsi="仿宋_GB2312" w:eastAsia="仿宋_GB2312" w:cs="Times New Roman"/>
          <w:color w:val="auto"/>
          <w:sz w:val="32"/>
          <w:szCs w:val="24"/>
          <w:highlight w:val="none"/>
          <w:lang w:val="en-US" w:eastAsia="zh-CN"/>
        </w:rPr>
        <w:t>费用</w:t>
      </w:r>
      <w:r>
        <w:rPr>
          <w:rFonts w:hint="eastAsia" w:eastAsia="仿宋_GB2312"/>
          <w:sz w:val="32"/>
          <w:szCs w:val="32"/>
          <w:highlight w:val="none"/>
          <w:lang w:val="zh-CN"/>
        </w:rPr>
        <w:t>补助资金兑付，保障了辖区稳定。</w:t>
      </w:r>
    </w:p>
    <w:p w14:paraId="1A713247">
      <w:pPr>
        <w:keepNext w:val="0"/>
        <w:keepLines w:val="0"/>
        <w:pageBreakBefore w:val="0"/>
        <w:widowControl w:val="0"/>
        <w:kinsoku/>
        <w:wordWrap/>
        <w:overflowPunct/>
        <w:autoSpaceDE/>
        <w:autoSpaceDN/>
        <w:bidi w:val="0"/>
        <w:spacing w:line="560" w:lineRule="atLeast"/>
        <w:ind w:firstLine="643" w:firstLineChars="200"/>
        <w:textAlignment w:val="auto"/>
        <w:rPr>
          <w:rFonts w:eastAsia="仿宋_GB2312"/>
          <w:sz w:val="32"/>
          <w:szCs w:val="32"/>
          <w:highlight w:val="none"/>
          <w:lang w:val="zh-CN"/>
        </w:rPr>
      </w:pPr>
      <w:r>
        <w:rPr>
          <w:rFonts w:hint="eastAsia" w:ascii="楷体_GB2312" w:eastAsia="楷体_GB2312"/>
          <w:b/>
          <w:sz w:val="32"/>
          <w:szCs w:val="32"/>
          <w:highlight w:val="none"/>
          <w:lang w:val="zh-CN"/>
        </w:rPr>
        <w:t>（二）专用指标绩效分析。</w:t>
      </w:r>
    </w:p>
    <w:p w14:paraId="382C5016">
      <w:pPr>
        <w:keepNext w:val="0"/>
        <w:keepLines w:val="0"/>
        <w:pageBreakBefore w:val="0"/>
        <w:widowControl w:val="0"/>
        <w:kinsoku/>
        <w:wordWrap/>
        <w:overflowPunct/>
        <w:autoSpaceDE/>
        <w:autoSpaceDN/>
        <w:bidi w:val="0"/>
        <w:spacing w:line="560" w:lineRule="atLeast"/>
        <w:ind w:firstLine="640" w:firstLineChars="200"/>
        <w:textAlignment w:val="auto"/>
        <w:rPr>
          <w:rFonts w:hint="default" w:eastAsia="仿宋_GB2312"/>
          <w:sz w:val="32"/>
          <w:szCs w:val="32"/>
          <w:highlight w:val="none"/>
          <w:lang w:val="en-US" w:eastAsia="zh-CN"/>
        </w:rPr>
      </w:pPr>
      <w:r>
        <w:rPr>
          <w:rFonts w:hint="eastAsia" w:ascii="楷体_GB2312" w:eastAsia="楷体_GB2312"/>
          <w:sz w:val="32"/>
          <w:szCs w:val="32"/>
          <w:highlight w:val="none"/>
          <w:lang w:val="zh-CN"/>
        </w:rPr>
        <w:t>1.产业发展。</w:t>
      </w:r>
      <w:r>
        <w:rPr>
          <w:rFonts w:hint="eastAsia" w:eastAsia="仿宋_GB2312"/>
          <w:sz w:val="32"/>
          <w:szCs w:val="32"/>
          <w:highlight w:val="none"/>
          <w:lang w:val="en-US" w:eastAsia="zh-CN"/>
        </w:rPr>
        <w:t>该项目有利于</w:t>
      </w:r>
      <w:r>
        <w:rPr>
          <w:rFonts w:hint="eastAsia" w:ascii="仿宋_GB2312" w:hAnsi="仿宋_GB2312" w:eastAsia="仿宋_GB2312" w:cs="Times New Roman"/>
          <w:color w:val="auto"/>
          <w:sz w:val="32"/>
          <w:szCs w:val="24"/>
          <w:highlight w:val="none"/>
          <w:lang w:val="en-US" w:eastAsia="zh-CN"/>
        </w:rPr>
        <w:t>保障</w:t>
      </w:r>
      <w:r>
        <w:rPr>
          <w:rFonts w:hint="eastAsia" w:ascii="仿宋_GB2312" w:hAnsi="仿宋_GB2312" w:eastAsia="仿宋_GB2312" w:cs="Times New Roman"/>
          <w:color w:val="auto"/>
          <w:sz w:val="32"/>
          <w:szCs w:val="24"/>
          <w:highlight w:val="none"/>
          <w:lang w:val="zh-CN" w:eastAsia="zh-CN"/>
        </w:rPr>
        <w:t>202</w:t>
      </w:r>
      <w:r>
        <w:rPr>
          <w:rFonts w:hint="eastAsia" w:ascii="仿宋_GB2312" w:hAnsi="仿宋_GB2312" w:eastAsia="仿宋_GB2312" w:cs="Times New Roman"/>
          <w:color w:val="auto"/>
          <w:sz w:val="32"/>
          <w:szCs w:val="24"/>
          <w:highlight w:val="none"/>
          <w:lang w:val="en-US" w:eastAsia="zh-CN"/>
        </w:rPr>
        <w:t>3</w:t>
      </w:r>
      <w:r>
        <w:rPr>
          <w:rFonts w:hint="eastAsia" w:ascii="仿宋_GB2312" w:hAnsi="仿宋_GB2312" w:eastAsia="仿宋_GB2312" w:cs="Times New Roman"/>
          <w:color w:val="auto"/>
          <w:sz w:val="32"/>
          <w:szCs w:val="24"/>
          <w:highlight w:val="none"/>
          <w:lang w:val="zh-CN" w:eastAsia="zh-CN"/>
        </w:rPr>
        <w:t>年新盛镇黄鹿水库移民</w:t>
      </w:r>
      <w:r>
        <w:rPr>
          <w:rFonts w:hint="eastAsia" w:ascii="仿宋_GB2312" w:hAnsi="仿宋_GB2312" w:eastAsia="仿宋_GB2312" w:cs="Times New Roman"/>
          <w:color w:val="auto"/>
          <w:sz w:val="32"/>
          <w:szCs w:val="24"/>
          <w:highlight w:val="none"/>
          <w:lang w:val="en-US" w:eastAsia="zh-CN"/>
        </w:rPr>
        <w:t>50</w:t>
      </w:r>
      <w:r>
        <w:rPr>
          <w:rFonts w:hint="eastAsia" w:ascii="仿宋_GB2312" w:hAnsi="仿宋_GB2312" w:eastAsia="仿宋_GB2312" w:cs="Times New Roman"/>
          <w:color w:val="auto"/>
          <w:sz w:val="32"/>
          <w:szCs w:val="24"/>
          <w:highlight w:val="none"/>
          <w:lang w:val="zh-CN" w:eastAsia="zh-CN"/>
        </w:rPr>
        <w:t>户1</w:t>
      </w:r>
      <w:r>
        <w:rPr>
          <w:rFonts w:hint="eastAsia" w:ascii="仿宋_GB2312" w:hAnsi="仿宋_GB2312" w:eastAsia="仿宋_GB2312" w:cs="Times New Roman"/>
          <w:color w:val="auto"/>
          <w:sz w:val="32"/>
          <w:szCs w:val="24"/>
          <w:highlight w:val="none"/>
          <w:lang w:val="en-US" w:eastAsia="zh-CN"/>
        </w:rPr>
        <w:t>75</w:t>
      </w:r>
      <w:r>
        <w:rPr>
          <w:rFonts w:hint="eastAsia" w:ascii="仿宋_GB2312" w:hAnsi="仿宋_GB2312" w:eastAsia="仿宋_GB2312" w:cs="Times New Roman"/>
          <w:color w:val="auto"/>
          <w:sz w:val="32"/>
          <w:szCs w:val="24"/>
          <w:highlight w:val="none"/>
          <w:lang w:val="zh-CN" w:eastAsia="zh-CN"/>
        </w:rPr>
        <w:t>人</w:t>
      </w:r>
      <w:r>
        <w:rPr>
          <w:rFonts w:hint="eastAsia" w:ascii="仿宋_GB2312" w:hAnsi="仿宋_GB2312" w:eastAsia="仿宋_GB2312" w:cs="Times New Roman"/>
          <w:color w:val="auto"/>
          <w:sz w:val="32"/>
          <w:szCs w:val="24"/>
          <w:highlight w:val="none"/>
          <w:lang w:val="en-US" w:eastAsia="zh-CN"/>
        </w:rPr>
        <w:t>基本生活，强化归属感</w:t>
      </w:r>
      <w:r>
        <w:rPr>
          <w:rFonts w:hint="eastAsia" w:eastAsia="仿宋_GB2312"/>
          <w:sz w:val="32"/>
          <w:szCs w:val="32"/>
          <w:highlight w:val="none"/>
          <w:lang w:val="en-US" w:eastAsia="zh-CN"/>
        </w:rPr>
        <w:t>，带动促进当地经济发展。带动辖区内养老、医疗、文化等产业发展，优化资源配置，促进就业。</w:t>
      </w:r>
    </w:p>
    <w:p w14:paraId="5D541C17">
      <w:pPr>
        <w:keepNext w:val="0"/>
        <w:keepLines w:val="0"/>
        <w:pageBreakBefore w:val="0"/>
        <w:widowControl w:val="0"/>
        <w:kinsoku/>
        <w:wordWrap/>
        <w:overflowPunct/>
        <w:autoSpaceDE/>
        <w:autoSpaceDN/>
        <w:bidi w:val="0"/>
        <w:spacing w:line="560" w:lineRule="atLeast"/>
        <w:ind w:firstLine="640" w:firstLineChars="200"/>
        <w:textAlignment w:val="auto"/>
        <w:rPr>
          <w:rFonts w:eastAsia="仿宋_GB2312"/>
          <w:sz w:val="32"/>
          <w:szCs w:val="32"/>
          <w:highlight w:val="none"/>
          <w:lang w:val="zh-CN"/>
        </w:rPr>
      </w:pPr>
      <w:r>
        <w:rPr>
          <w:rFonts w:hint="eastAsia" w:ascii="楷体_GB2312" w:eastAsia="楷体_GB2312"/>
          <w:sz w:val="32"/>
          <w:szCs w:val="32"/>
          <w:highlight w:val="none"/>
          <w:lang w:val="zh-CN"/>
        </w:rPr>
        <w:t>2.民生保障。</w:t>
      </w:r>
      <w:r>
        <w:rPr>
          <w:rFonts w:hint="eastAsia" w:ascii="仿宋_GB2312" w:hAnsi="仿宋_GB2312" w:eastAsia="仿宋_GB2312" w:cs="仿宋_GB2312"/>
          <w:sz w:val="32"/>
          <w:szCs w:val="32"/>
          <w:highlight w:val="none"/>
          <w:lang w:val="en-US" w:eastAsia="zh-CN"/>
        </w:rPr>
        <w:t>有效执行了专款专用和保障资金实效的要求</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有力推进了全部项目按照预定安排有序实施，保障了群众权益</w:t>
      </w:r>
      <w:r>
        <w:rPr>
          <w:rFonts w:hint="eastAsia" w:ascii="仿宋_GB2312" w:hAnsi="仿宋_GB2312" w:eastAsia="仿宋_GB2312" w:cs="仿宋_GB2312"/>
          <w:sz w:val="32"/>
          <w:szCs w:val="32"/>
          <w:highlight w:val="none"/>
        </w:rPr>
        <w:t>。</w:t>
      </w:r>
    </w:p>
    <w:p w14:paraId="753B5DAD">
      <w:pPr>
        <w:keepNext w:val="0"/>
        <w:keepLines w:val="0"/>
        <w:pageBreakBefore w:val="0"/>
        <w:widowControl w:val="0"/>
        <w:kinsoku/>
        <w:wordWrap/>
        <w:overflowPunct/>
        <w:autoSpaceDE/>
        <w:autoSpaceDN/>
        <w:bidi w:val="0"/>
        <w:spacing w:line="560" w:lineRule="atLeast"/>
        <w:ind w:firstLine="640" w:firstLineChars="200"/>
        <w:textAlignment w:val="auto"/>
        <w:rPr>
          <w:rFonts w:hint="eastAsia" w:eastAsia="楷体_GB2312"/>
          <w:sz w:val="32"/>
          <w:szCs w:val="32"/>
          <w:highlight w:val="none"/>
          <w:lang w:val="zh-CN" w:eastAsia="zh-CN"/>
        </w:rPr>
      </w:pPr>
      <w:r>
        <w:rPr>
          <w:rFonts w:hint="eastAsia" w:ascii="楷体_GB2312" w:eastAsia="楷体_GB2312"/>
          <w:sz w:val="32"/>
          <w:szCs w:val="32"/>
          <w:highlight w:val="none"/>
          <w:lang w:val="zh-CN"/>
        </w:rPr>
        <w:t>3.基础设施。</w:t>
      </w:r>
      <w:r>
        <w:rPr>
          <w:rFonts w:hint="eastAsia" w:eastAsia="仿宋_GB2312"/>
          <w:sz w:val="32"/>
          <w:szCs w:val="32"/>
          <w:highlight w:val="none"/>
          <w:lang w:val="en-US" w:eastAsia="zh-CN"/>
        </w:rPr>
        <w:t>该项目不涉及。</w:t>
      </w:r>
    </w:p>
    <w:p w14:paraId="62641952">
      <w:pPr>
        <w:keepNext w:val="0"/>
        <w:keepLines w:val="0"/>
        <w:pageBreakBefore w:val="0"/>
        <w:widowControl w:val="0"/>
        <w:kinsoku/>
        <w:wordWrap/>
        <w:overflowPunct/>
        <w:autoSpaceDE/>
        <w:autoSpaceDN/>
        <w:bidi w:val="0"/>
        <w:spacing w:line="560" w:lineRule="atLeast"/>
        <w:ind w:firstLine="640" w:firstLineChars="200"/>
        <w:textAlignment w:val="auto"/>
        <w:rPr>
          <w:rFonts w:eastAsia="仿宋_GB2312"/>
          <w:sz w:val="32"/>
          <w:szCs w:val="32"/>
          <w:highlight w:val="none"/>
          <w:lang w:val="zh-CN"/>
        </w:rPr>
      </w:pPr>
      <w:r>
        <w:rPr>
          <w:rFonts w:hint="eastAsia" w:ascii="楷体_GB2312" w:eastAsia="楷体_GB2312"/>
          <w:sz w:val="32"/>
          <w:szCs w:val="32"/>
          <w:highlight w:val="none"/>
          <w:lang w:val="zh-CN"/>
        </w:rPr>
        <w:t>4.行政运转。</w:t>
      </w:r>
      <w:r>
        <w:rPr>
          <w:rFonts w:hint="eastAsia" w:ascii="仿宋_GB2312" w:hAnsi="仿宋_GB2312" w:eastAsia="仿宋_GB2312" w:cs="仿宋_GB2312"/>
          <w:sz w:val="32"/>
          <w:szCs w:val="32"/>
          <w:highlight w:val="none"/>
          <w:lang w:val="zh-CN"/>
        </w:rPr>
        <w:t>项目资金按计划拨付，资金进行单位核算，</w:t>
      </w:r>
      <w:r>
        <w:rPr>
          <w:rFonts w:hint="eastAsia" w:ascii="仿宋_GB2312" w:hAnsi="仿宋_GB2312" w:eastAsia="仿宋_GB2312" w:cs="仿宋_GB2312"/>
          <w:sz w:val="32"/>
          <w:szCs w:val="32"/>
          <w:highlight w:val="none"/>
          <w:lang w:val="en-US" w:eastAsia="zh-CN"/>
        </w:rPr>
        <w:t>确保</w:t>
      </w:r>
      <w:r>
        <w:rPr>
          <w:rFonts w:hint="eastAsia" w:ascii="仿宋_GB2312" w:hAnsi="仿宋_GB2312" w:eastAsia="仿宋_GB2312" w:cs="仿宋_GB2312"/>
          <w:sz w:val="32"/>
          <w:szCs w:val="32"/>
          <w:highlight w:val="none"/>
          <w:lang w:val="zh-CN"/>
        </w:rPr>
        <w:t>专项资金专用。</w:t>
      </w:r>
      <w:r>
        <w:rPr>
          <w:rFonts w:hint="eastAsia" w:ascii="仿宋_GB2312" w:hAnsi="仿宋_GB2312" w:eastAsia="仿宋_GB2312" w:cs="仿宋_GB2312"/>
          <w:sz w:val="32"/>
          <w:szCs w:val="32"/>
          <w:highlight w:val="none"/>
          <w:lang w:val="en-US" w:eastAsia="zh-CN"/>
        </w:rPr>
        <w:t>严格按照</w:t>
      </w:r>
      <w:r>
        <w:rPr>
          <w:rFonts w:hint="eastAsia" w:ascii="仿宋_GB2312" w:hAnsi="仿宋_GB2312" w:eastAsia="仿宋_GB2312" w:cs="仿宋_GB2312"/>
          <w:sz w:val="32"/>
          <w:szCs w:val="32"/>
          <w:highlight w:val="none"/>
          <w:lang w:val="zh-CN"/>
        </w:rPr>
        <w:t>项目认定、金额核定、资金拨付</w:t>
      </w:r>
      <w:r>
        <w:rPr>
          <w:rFonts w:hint="eastAsia" w:ascii="仿宋_GB2312" w:hAnsi="仿宋_GB2312" w:eastAsia="仿宋_GB2312" w:cs="仿宋_GB2312"/>
          <w:sz w:val="32"/>
          <w:szCs w:val="32"/>
          <w:highlight w:val="none"/>
          <w:lang w:val="en-US" w:eastAsia="zh-CN"/>
        </w:rPr>
        <w:t>实施项目，保证实施质量。</w:t>
      </w:r>
    </w:p>
    <w:p w14:paraId="52FFAA31">
      <w:pPr>
        <w:keepNext w:val="0"/>
        <w:keepLines w:val="0"/>
        <w:pageBreakBefore w:val="0"/>
        <w:widowControl w:val="0"/>
        <w:kinsoku/>
        <w:wordWrap/>
        <w:overflowPunct/>
        <w:autoSpaceDE/>
        <w:autoSpaceDN/>
        <w:bidi w:val="0"/>
        <w:spacing w:line="560" w:lineRule="atLeast"/>
        <w:ind w:firstLine="643" w:firstLineChars="200"/>
        <w:textAlignment w:val="auto"/>
        <w:rPr>
          <w:rFonts w:hint="eastAsia" w:eastAsia="仿宋_GB2312"/>
          <w:sz w:val="32"/>
          <w:szCs w:val="32"/>
          <w:highlight w:val="none"/>
          <w:lang w:val="en-US" w:eastAsia="zh-CN"/>
        </w:rPr>
      </w:pPr>
      <w:r>
        <w:rPr>
          <w:rFonts w:hint="eastAsia" w:ascii="楷体_GB2312" w:eastAsia="楷体_GB2312"/>
          <w:b/>
          <w:sz w:val="32"/>
          <w:szCs w:val="32"/>
          <w:highlight w:val="none"/>
          <w:lang w:val="zh-CN"/>
        </w:rPr>
        <w:t>（三）个性指标绩效分析。</w:t>
      </w:r>
      <w:r>
        <w:rPr>
          <w:rFonts w:hint="eastAsia" w:eastAsia="仿宋_GB2312"/>
          <w:sz w:val="32"/>
          <w:szCs w:val="32"/>
          <w:highlight w:val="none"/>
          <w:lang w:val="en-US" w:eastAsia="zh-CN"/>
        </w:rPr>
        <w:t>政策目标实现率100%，</w:t>
      </w:r>
      <w:r>
        <w:rPr>
          <w:rFonts w:hint="eastAsia" w:eastAsia="仿宋_GB2312"/>
          <w:sz w:val="32"/>
          <w:szCs w:val="32"/>
          <w:highlight w:val="none"/>
          <w:lang w:val="zh-CN"/>
        </w:rPr>
        <w:t>受益群体覆盖</w:t>
      </w:r>
      <w:r>
        <w:rPr>
          <w:rFonts w:hint="eastAsia" w:eastAsia="仿宋_GB2312"/>
          <w:sz w:val="32"/>
          <w:szCs w:val="32"/>
          <w:highlight w:val="none"/>
          <w:lang w:val="en-US" w:eastAsia="zh-CN"/>
        </w:rPr>
        <w:t>率100%</w:t>
      </w:r>
      <w:r>
        <w:rPr>
          <w:rFonts w:hint="eastAsia" w:eastAsia="仿宋_GB2312"/>
          <w:sz w:val="32"/>
          <w:szCs w:val="32"/>
          <w:highlight w:val="none"/>
          <w:lang w:val="zh-CN"/>
        </w:rPr>
        <w:t>，政策宣传</w:t>
      </w:r>
      <w:r>
        <w:rPr>
          <w:rFonts w:hint="eastAsia" w:eastAsia="仿宋_GB2312"/>
          <w:sz w:val="32"/>
          <w:szCs w:val="32"/>
          <w:highlight w:val="none"/>
          <w:lang w:val="en-US" w:eastAsia="zh-CN"/>
        </w:rPr>
        <w:t>到位，资金支付及时，受益群体满意度97%。</w:t>
      </w:r>
    </w:p>
    <w:p w14:paraId="22C5AF9D">
      <w:pPr>
        <w:keepNext w:val="0"/>
        <w:keepLines w:val="0"/>
        <w:pageBreakBefore w:val="0"/>
        <w:widowControl w:val="0"/>
        <w:kinsoku/>
        <w:wordWrap/>
        <w:overflowPunct/>
        <w:topLinePunct/>
        <w:autoSpaceDE/>
        <w:autoSpaceDN/>
        <w:bidi w:val="0"/>
        <w:adjustRightInd w:val="0"/>
        <w:snapToGrid/>
        <w:spacing w:beforeLines="0" w:afterLines="0" w:line="560" w:lineRule="atLeast"/>
        <w:ind w:firstLine="640" w:firstLineChars="200"/>
        <w:jc w:val="both"/>
        <w:textAlignment w:val="auto"/>
        <w:outlineLvl w:val="1"/>
        <w:rPr>
          <w:rFonts w:hint="eastAsia" w:ascii="黑体" w:hAnsi="黑体" w:eastAsia="黑体"/>
          <w:color w:val="auto"/>
          <w:kern w:val="2"/>
          <w:sz w:val="32"/>
          <w:szCs w:val="24"/>
          <w:lang w:val="en-US"/>
        </w:rPr>
      </w:pPr>
      <w:bookmarkStart w:id="112" w:name="_Toc7956"/>
      <w:bookmarkStart w:id="113" w:name="_Toc11200"/>
      <w:bookmarkStart w:id="114" w:name="_Toc4169"/>
      <w:r>
        <w:rPr>
          <w:rFonts w:hint="eastAsia" w:ascii="黑体" w:hAnsi="黑体" w:eastAsia="黑体"/>
          <w:color w:val="auto"/>
          <w:kern w:val="2"/>
          <w:sz w:val="32"/>
          <w:szCs w:val="24"/>
          <w:lang w:val="en-US" w:eastAsia="zh-CN"/>
        </w:rPr>
        <w:t>四</w:t>
      </w:r>
      <w:r>
        <w:rPr>
          <w:rFonts w:hint="eastAsia" w:ascii="黑体" w:hAnsi="黑体" w:eastAsia="黑体"/>
          <w:color w:val="auto"/>
          <w:kern w:val="2"/>
          <w:sz w:val="32"/>
          <w:szCs w:val="24"/>
          <w:lang w:val="en-US"/>
        </w:rPr>
        <w:t>、评价结论</w:t>
      </w:r>
      <w:bookmarkEnd w:id="112"/>
      <w:bookmarkEnd w:id="113"/>
      <w:bookmarkEnd w:id="114"/>
    </w:p>
    <w:p w14:paraId="7D8FEE84">
      <w:pPr>
        <w:keepNext w:val="0"/>
        <w:keepLines w:val="0"/>
        <w:pageBreakBefore w:val="0"/>
        <w:widowControl w:val="0"/>
        <w:kinsoku/>
        <w:wordWrap/>
        <w:overflowPunct/>
        <w:topLinePunct/>
        <w:autoSpaceDE/>
        <w:autoSpaceDN/>
        <w:bidi w:val="0"/>
        <w:adjustRightInd w:val="0"/>
        <w:snapToGrid/>
        <w:spacing w:beforeLines="0" w:afterLines="0" w:line="560" w:lineRule="atLeast"/>
        <w:ind w:firstLine="643" w:firstLineChars="200"/>
        <w:jc w:val="both"/>
        <w:textAlignment w:val="auto"/>
        <w:rPr>
          <w:rFonts w:hint="eastAsia" w:ascii="楷体_GB2312" w:hAnsi="楷体_GB2312" w:eastAsia="楷体_GB2312"/>
          <w:b/>
          <w:color w:val="auto"/>
          <w:kern w:val="2"/>
          <w:sz w:val="32"/>
          <w:szCs w:val="24"/>
          <w:lang w:val="zh-CN"/>
        </w:rPr>
      </w:pPr>
      <w:r>
        <w:rPr>
          <w:rFonts w:hint="eastAsia" w:ascii="楷体_GB2312" w:hAnsi="楷体_GB2312" w:eastAsia="楷体_GB2312"/>
          <w:b/>
          <w:color w:val="auto"/>
          <w:kern w:val="2"/>
          <w:sz w:val="32"/>
          <w:szCs w:val="24"/>
          <w:lang w:val="zh-CN"/>
        </w:rPr>
        <w:t>（一）评价结论</w:t>
      </w:r>
    </w:p>
    <w:p w14:paraId="4F1F977B">
      <w:pPr>
        <w:keepNext w:val="0"/>
        <w:keepLines w:val="0"/>
        <w:pageBreakBefore w:val="0"/>
        <w:widowControl w:val="0"/>
        <w:kinsoku/>
        <w:wordWrap/>
        <w:overflowPunct/>
        <w:topLinePunct/>
        <w:autoSpaceDE/>
        <w:autoSpaceDN/>
        <w:bidi w:val="0"/>
        <w:adjustRightInd w:val="0"/>
        <w:snapToGrid/>
        <w:spacing w:beforeLines="0" w:afterLines="0" w:line="560" w:lineRule="atLeast"/>
        <w:ind w:firstLine="640" w:firstLineChars="200"/>
        <w:textAlignment w:val="auto"/>
        <w:rPr>
          <w:rFonts w:hint="eastAsia" w:ascii="仿宋_GB2312" w:hAnsi="仿宋_GB2312" w:eastAsia="仿宋_GB2312"/>
          <w:color w:val="auto"/>
          <w:sz w:val="32"/>
          <w:szCs w:val="24"/>
          <w:lang w:val="zh-CN"/>
        </w:rPr>
      </w:pPr>
      <w:r>
        <w:rPr>
          <w:rFonts w:hint="eastAsia" w:eastAsia="仿宋_GB2312"/>
          <w:sz w:val="32"/>
          <w:szCs w:val="32"/>
          <w:highlight w:val="none"/>
          <w:lang w:val="en-US" w:eastAsia="zh-CN"/>
        </w:rPr>
        <w:t>该项目自评总分为100分，</w:t>
      </w:r>
      <w:r>
        <w:rPr>
          <w:rFonts w:hint="eastAsia" w:eastAsia="仿宋_GB2312"/>
          <w:sz w:val="32"/>
          <w:szCs w:val="32"/>
          <w:highlight w:val="none"/>
          <w:lang w:val="zh-CN"/>
        </w:rPr>
        <w:t>总体评价好。</w:t>
      </w:r>
      <w:r>
        <w:rPr>
          <w:rFonts w:hint="eastAsia" w:ascii="仿宋_GB2312" w:hAnsi="仿宋_GB2312" w:eastAsia="仿宋_GB2312"/>
          <w:color w:val="auto"/>
          <w:sz w:val="32"/>
          <w:szCs w:val="24"/>
          <w:lang w:val="en-US" w:eastAsia="zh-CN"/>
        </w:rPr>
        <w:t>整体</w:t>
      </w:r>
      <w:r>
        <w:rPr>
          <w:rFonts w:hint="eastAsia" w:ascii="仿宋_GB2312" w:hAnsi="仿宋_GB2312" w:eastAsia="仿宋_GB2312"/>
          <w:color w:val="auto"/>
          <w:sz w:val="32"/>
          <w:szCs w:val="24"/>
          <w:lang w:val="zh-CN"/>
        </w:rPr>
        <w:t>工作完成度高，项目预期的数量指标、质量指标、时效指标、成本指标、社会效益指标、可持续影响指标以及满意度指标均达到预期目标，因该项目的陆续完成，</w:t>
      </w:r>
      <w:r>
        <w:rPr>
          <w:rFonts w:hint="eastAsia" w:ascii="仿宋_GB2312" w:hAnsi="仿宋_GB2312" w:eastAsia="仿宋_GB2312"/>
          <w:color w:val="auto"/>
          <w:sz w:val="32"/>
          <w:szCs w:val="24"/>
          <w:lang w:val="en-US" w:eastAsia="zh-CN"/>
        </w:rPr>
        <w:t>人员存在死亡，截至2023年12月共计</w:t>
      </w:r>
      <w:r>
        <w:rPr>
          <w:rFonts w:hint="eastAsia" w:ascii="仿宋_GB2312" w:hAnsi="仿宋_GB2312" w:eastAsia="仿宋_GB2312"/>
          <w:color w:val="auto"/>
          <w:sz w:val="32"/>
          <w:szCs w:val="24"/>
          <w:lang w:val="zh-CN"/>
        </w:rPr>
        <w:t>保障169名黄鹿移民正常生活，维护全镇稳定。预期后期的数量指标、质量指标、时效指标、成本指标、社会效益指标、可持续影响指标以及满意度将呈上升趋势。</w:t>
      </w:r>
    </w:p>
    <w:p w14:paraId="00274A4B">
      <w:pPr>
        <w:keepNext w:val="0"/>
        <w:keepLines w:val="0"/>
        <w:pageBreakBefore w:val="0"/>
        <w:widowControl w:val="0"/>
        <w:kinsoku/>
        <w:wordWrap/>
        <w:overflowPunct/>
        <w:topLinePunct/>
        <w:autoSpaceDE/>
        <w:autoSpaceDN/>
        <w:bidi w:val="0"/>
        <w:adjustRightInd w:val="0"/>
        <w:snapToGrid/>
        <w:spacing w:beforeLines="0" w:afterLines="0" w:line="560" w:lineRule="atLeast"/>
        <w:ind w:firstLine="643" w:firstLineChars="200"/>
        <w:jc w:val="both"/>
        <w:textAlignment w:val="auto"/>
        <w:rPr>
          <w:rFonts w:hint="eastAsia" w:ascii="楷体_GB2312" w:hAnsi="楷体_GB2312" w:eastAsia="楷体_GB2312"/>
          <w:b/>
          <w:color w:val="auto"/>
          <w:kern w:val="2"/>
          <w:sz w:val="32"/>
          <w:szCs w:val="24"/>
          <w:lang w:val="zh-CN"/>
        </w:rPr>
      </w:pPr>
      <w:r>
        <w:rPr>
          <w:rFonts w:hint="eastAsia" w:ascii="楷体_GB2312" w:hAnsi="楷体_GB2312" w:eastAsia="楷体_GB2312"/>
          <w:b/>
          <w:color w:val="auto"/>
          <w:kern w:val="2"/>
          <w:sz w:val="32"/>
          <w:szCs w:val="24"/>
          <w:lang w:val="zh-CN"/>
        </w:rPr>
        <w:t>（二）存在的问题</w:t>
      </w:r>
    </w:p>
    <w:p w14:paraId="6EEE6613">
      <w:pPr>
        <w:keepNext w:val="0"/>
        <w:keepLines w:val="0"/>
        <w:pageBreakBefore w:val="0"/>
        <w:widowControl w:val="0"/>
        <w:kinsoku/>
        <w:wordWrap/>
        <w:overflowPunct/>
        <w:topLinePunct/>
        <w:autoSpaceDE/>
        <w:autoSpaceDN/>
        <w:bidi w:val="0"/>
        <w:adjustRightInd w:val="0"/>
        <w:snapToGrid/>
        <w:spacing w:beforeLines="0" w:afterLines="0" w:line="560" w:lineRule="atLeast"/>
        <w:ind w:firstLine="640" w:firstLineChars="200"/>
        <w:textAlignment w:val="auto"/>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水库移民后期扶持资金的监督管理有待提高。</w:t>
      </w:r>
    </w:p>
    <w:p w14:paraId="2624CA3F">
      <w:pPr>
        <w:keepNext w:val="0"/>
        <w:keepLines w:val="0"/>
        <w:pageBreakBefore w:val="0"/>
        <w:widowControl w:val="0"/>
        <w:kinsoku/>
        <w:wordWrap/>
        <w:overflowPunct/>
        <w:topLinePunct/>
        <w:autoSpaceDE/>
        <w:autoSpaceDN/>
        <w:bidi w:val="0"/>
        <w:adjustRightInd w:val="0"/>
        <w:snapToGrid/>
        <w:spacing w:beforeLines="0" w:afterLines="0" w:line="560" w:lineRule="atLeast"/>
        <w:ind w:firstLine="643" w:firstLineChars="200"/>
        <w:jc w:val="both"/>
        <w:textAlignment w:val="auto"/>
        <w:rPr>
          <w:rFonts w:hint="eastAsia" w:ascii="楷体_GB2312" w:hAnsi="楷体_GB2312" w:eastAsia="楷体_GB2312"/>
          <w:b/>
          <w:color w:val="auto"/>
          <w:kern w:val="2"/>
          <w:sz w:val="32"/>
          <w:szCs w:val="24"/>
          <w:lang w:val="zh-CN"/>
        </w:rPr>
      </w:pPr>
      <w:r>
        <w:rPr>
          <w:rFonts w:hint="eastAsia" w:ascii="楷体_GB2312" w:hAnsi="楷体_GB2312" w:eastAsia="楷体_GB2312"/>
          <w:b/>
          <w:color w:val="auto"/>
          <w:kern w:val="2"/>
          <w:sz w:val="32"/>
          <w:szCs w:val="24"/>
          <w:lang w:val="zh-CN"/>
        </w:rPr>
        <w:t>（三）相关建议</w:t>
      </w:r>
    </w:p>
    <w:p w14:paraId="42E2D7CC">
      <w:pPr>
        <w:keepNext w:val="0"/>
        <w:keepLines w:val="0"/>
        <w:pageBreakBefore w:val="0"/>
        <w:widowControl w:val="0"/>
        <w:kinsoku/>
        <w:wordWrap/>
        <w:overflowPunct/>
        <w:topLinePunct/>
        <w:autoSpaceDE/>
        <w:autoSpaceDN/>
        <w:bidi w:val="0"/>
        <w:adjustRightInd w:val="0"/>
        <w:snapToGrid/>
        <w:spacing w:beforeLines="0" w:afterLines="0" w:line="560" w:lineRule="atLeast"/>
        <w:ind w:firstLine="640" w:firstLineChars="200"/>
        <w:textAlignment w:val="auto"/>
        <w:rPr>
          <w:rFonts w:hint="eastAsia" w:ascii="黑体" w:hAnsi="黑体" w:eastAsia="黑体"/>
          <w:color w:val="auto"/>
          <w:kern w:val="44"/>
          <w:sz w:val="32"/>
          <w:szCs w:val="24"/>
          <w:lang w:val="en-US"/>
        </w:rPr>
      </w:pPr>
      <w:r>
        <w:rPr>
          <w:rFonts w:hint="eastAsia" w:ascii="仿宋_GB2312" w:hAnsi="仿宋_GB2312" w:eastAsia="仿宋_GB2312"/>
          <w:color w:val="auto"/>
          <w:sz w:val="32"/>
          <w:szCs w:val="24"/>
          <w:lang w:val="zh-CN"/>
        </w:rPr>
        <w:t>第一时间要核实好本地区移民群众的个人信息，确保财政补贴的金额直接通过一卡通系统</w:t>
      </w:r>
      <w:r>
        <w:rPr>
          <w:rFonts w:hint="eastAsia" w:ascii="仿宋_GB2312" w:hAnsi="仿宋_GB2312" w:eastAsia="仿宋_GB2312"/>
          <w:color w:val="auto"/>
          <w:sz w:val="32"/>
          <w:szCs w:val="24"/>
          <w:lang w:val="en-US" w:eastAsia="zh-CN"/>
        </w:rPr>
        <w:t>转</w:t>
      </w:r>
      <w:r>
        <w:rPr>
          <w:rFonts w:hint="eastAsia" w:ascii="仿宋_GB2312" w:hAnsi="仿宋_GB2312" w:eastAsia="仿宋_GB2312"/>
          <w:color w:val="auto"/>
          <w:sz w:val="32"/>
          <w:szCs w:val="24"/>
          <w:lang w:val="zh-CN"/>
        </w:rPr>
        <w:t>账至移民的个人账户。</w:t>
      </w:r>
    </w:p>
    <w:p w14:paraId="031DAD5A">
      <w:pPr>
        <w:keepNext w:val="0"/>
        <w:keepLines w:val="0"/>
        <w:pageBreakBefore w:val="0"/>
        <w:widowControl w:val="0"/>
        <w:kinsoku/>
        <w:wordWrap/>
        <w:overflowPunct/>
        <w:topLinePunct/>
        <w:autoSpaceDE/>
        <w:autoSpaceDN/>
        <w:bidi w:val="0"/>
        <w:spacing w:beforeLines="0" w:afterLines="0"/>
        <w:ind w:firstLine="880" w:firstLineChars="200"/>
        <w:jc w:val="center"/>
        <w:rPr>
          <w:rFonts w:hint="eastAsia" w:ascii="仿宋_GB2312" w:hAnsi="仿宋_GB2312" w:eastAsia="仿宋_GB2312" w:cs="仿宋_GB2312"/>
          <w:i w:val="0"/>
          <w:iCs w:val="0"/>
          <w:color w:val="000000"/>
          <w:kern w:val="0"/>
          <w:sz w:val="21"/>
          <w:szCs w:val="21"/>
          <w:highlight w:val="yellow"/>
          <w:u w:val="none"/>
          <w:lang w:val="en-US" w:eastAsia="zh-CN" w:bidi="ar"/>
        </w:rPr>
      </w:pPr>
      <w:r>
        <w:rPr>
          <w:rFonts w:hint="eastAsia" w:ascii="黑体" w:hAnsi="黑体" w:eastAsia="黑体"/>
          <w:color w:val="auto"/>
          <w:kern w:val="44"/>
          <w:sz w:val="44"/>
          <w:szCs w:val="24"/>
          <w:lang w:val="en-US"/>
        </w:rPr>
        <w:br w:type="page"/>
      </w:r>
    </w:p>
    <w:p w14:paraId="6ECD1FBB">
      <w:pPr>
        <w:keepNext w:val="0"/>
        <w:keepLines w:val="0"/>
        <w:pageBreakBefore w:val="0"/>
        <w:widowControl w:val="0"/>
        <w:kinsoku/>
        <w:wordWrap/>
        <w:overflowPunct/>
        <w:topLinePunct/>
        <w:autoSpaceDE/>
        <w:autoSpaceDN/>
        <w:bidi w:val="0"/>
        <w:snapToGrid/>
        <w:spacing w:beforeLines="0" w:afterLines="0" w:line="540" w:lineRule="exact"/>
        <w:jc w:val="center"/>
        <w:textAlignment w:val="auto"/>
        <w:outlineLvl w:val="1"/>
        <w:rPr>
          <w:rFonts w:hint="eastAsia" w:ascii="方正小标宋简体" w:hAnsi="宋体" w:eastAsia="方正小标宋简体" w:cs="Times New Roman"/>
          <w:color w:val="auto"/>
          <w:kern w:val="0"/>
          <w:sz w:val="40"/>
          <w:szCs w:val="44"/>
          <w:highlight w:val="none"/>
          <w:lang w:val="en-US"/>
        </w:rPr>
      </w:pPr>
      <w:bookmarkStart w:id="115" w:name="_Toc1747"/>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3</w:t>
      </w:r>
      <w:r>
        <w:rPr>
          <w:rFonts w:hint="eastAsia" w:ascii="方正小标宋简体" w:hAnsi="宋体" w:eastAsia="方正小标宋简体"/>
          <w:color w:val="auto"/>
          <w:kern w:val="0"/>
          <w:sz w:val="40"/>
          <w:szCs w:val="44"/>
          <w:highlight w:val="none"/>
        </w:rPr>
        <w:t>年新盛镇综合业务费</w:t>
      </w:r>
      <w:r>
        <w:rPr>
          <w:rFonts w:hint="eastAsia" w:ascii="方正小标宋简体" w:hAnsi="宋体" w:eastAsia="方正小标宋简体" w:cs="Times New Roman"/>
          <w:color w:val="auto"/>
          <w:kern w:val="0"/>
          <w:sz w:val="40"/>
          <w:szCs w:val="44"/>
          <w:highlight w:val="none"/>
          <w:lang w:val="en-US"/>
        </w:rPr>
        <w:t>预算项目绩效自评</w:t>
      </w:r>
      <w:bookmarkEnd w:id="115"/>
    </w:p>
    <w:p w14:paraId="0ABAEE7F">
      <w:pPr>
        <w:keepNext w:val="0"/>
        <w:keepLines w:val="0"/>
        <w:pageBreakBefore w:val="0"/>
        <w:widowControl w:val="0"/>
        <w:kinsoku/>
        <w:wordWrap/>
        <w:overflowPunct/>
        <w:topLinePunct/>
        <w:autoSpaceDE/>
        <w:autoSpaceDN/>
        <w:bidi w:val="0"/>
        <w:snapToGrid/>
        <w:spacing w:beforeLines="0" w:afterLines="0" w:line="540" w:lineRule="exact"/>
        <w:jc w:val="center"/>
        <w:textAlignment w:val="auto"/>
        <w:outlineLvl w:val="1"/>
        <w:rPr>
          <w:rFonts w:hint="eastAsia" w:ascii="方正小标宋简体" w:hAnsi="宋体" w:eastAsia="方正小标宋简体" w:cs="Times New Roman"/>
          <w:color w:val="auto"/>
          <w:kern w:val="0"/>
          <w:sz w:val="40"/>
          <w:szCs w:val="44"/>
          <w:highlight w:val="none"/>
          <w:lang w:val="en-US"/>
        </w:rPr>
      </w:pPr>
      <w:bookmarkStart w:id="116" w:name="_Toc16635"/>
      <w:bookmarkStart w:id="117" w:name="_Toc17287"/>
      <w:r>
        <w:rPr>
          <w:rFonts w:hint="eastAsia" w:ascii="方正小标宋简体" w:hAnsi="宋体" w:eastAsia="方正小标宋简体" w:cs="Times New Roman"/>
          <w:color w:val="auto"/>
          <w:kern w:val="0"/>
          <w:sz w:val="40"/>
          <w:szCs w:val="44"/>
          <w:highlight w:val="none"/>
          <w:lang w:val="en-US"/>
        </w:rPr>
        <w:t>报告</w:t>
      </w:r>
      <w:bookmarkEnd w:id="116"/>
      <w:bookmarkEnd w:id="117"/>
    </w:p>
    <w:p w14:paraId="55CAC9A7">
      <w:pPr>
        <w:keepNext w:val="0"/>
        <w:keepLines w:val="0"/>
        <w:pageBreakBefore w:val="0"/>
        <w:widowControl w:val="0"/>
        <w:kinsoku/>
        <w:wordWrap/>
        <w:overflowPunct/>
        <w:topLinePunct/>
        <w:autoSpaceDE/>
        <w:autoSpaceDN/>
        <w:bidi w:val="0"/>
        <w:snapToGrid/>
        <w:spacing w:beforeLines="0" w:afterLines="0" w:line="540" w:lineRule="exact"/>
        <w:ind w:firstLine="640" w:firstLineChars="200"/>
        <w:jc w:val="center"/>
        <w:textAlignment w:val="auto"/>
        <w:rPr>
          <w:rFonts w:hint="eastAsia" w:ascii="宋体" w:hAnsi="宋体" w:eastAsia="宋体"/>
          <w:color w:val="auto"/>
          <w:kern w:val="2"/>
          <w:sz w:val="32"/>
          <w:szCs w:val="24"/>
          <w:lang w:val="zh-CN"/>
        </w:rPr>
      </w:pPr>
    </w:p>
    <w:p w14:paraId="408C14B0">
      <w:pPr>
        <w:keepNext w:val="0"/>
        <w:keepLines w:val="0"/>
        <w:pageBreakBefore w:val="0"/>
        <w:widowControl w:val="0"/>
        <w:kinsoku/>
        <w:wordWrap/>
        <w:overflowPunct/>
        <w:topLinePunct/>
        <w:autoSpaceDE/>
        <w:autoSpaceDN/>
        <w:bidi w:val="0"/>
        <w:adjustRightInd w:val="0"/>
        <w:snapToGrid/>
        <w:spacing w:beforeLines="0" w:afterLines="0" w:line="540" w:lineRule="exact"/>
        <w:ind w:firstLine="640" w:firstLineChars="200"/>
        <w:jc w:val="both"/>
        <w:textAlignment w:val="auto"/>
        <w:outlineLvl w:val="1"/>
        <w:rPr>
          <w:rFonts w:hint="eastAsia" w:ascii="黑体" w:hAnsi="黑体" w:eastAsia="黑体"/>
          <w:color w:val="auto"/>
          <w:kern w:val="2"/>
          <w:sz w:val="32"/>
          <w:szCs w:val="24"/>
          <w:lang w:val="zh-CN"/>
        </w:rPr>
      </w:pPr>
      <w:bookmarkStart w:id="118" w:name="_Toc26467"/>
      <w:bookmarkStart w:id="119" w:name="_Toc18443"/>
      <w:bookmarkStart w:id="120" w:name="_Toc32645"/>
      <w:r>
        <w:rPr>
          <w:rFonts w:hint="eastAsia" w:ascii="黑体" w:hAnsi="黑体" w:eastAsia="黑体"/>
          <w:color w:val="auto"/>
          <w:kern w:val="2"/>
          <w:sz w:val="32"/>
          <w:szCs w:val="24"/>
          <w:lang w:val="en-US"/>
        </w:rPr>
        <w:t>一、</w:t>
      </w:r>
      <w:r>
        <w:rPr>
          <w:rFonts w:hint="eastAsia" w:ascii="黑体" w:hAnsi="黑体" w:eastAsia="黑体"/>
          <w:color w:val="auto"/>
          <w:kern w:val="2"/>
          <w:sz w:val="32"/>
          <w:szCs w:val="24"/>
          <w:lang w:val="zh-CN"/>
        </w:rPr>
        <w:t>项目概况</w:t>
      </w:r>
      <w:bookmarkEnd w:id="118"/>
      <w:bookmarkEnd w:id="119"/>
      <w:bookmarkEnd w:id="120"/>
    </w:p>
    <w:p w14:paraId="5B4E5E3E">
      <w:pPr>
        <w:keepNext w:val="0"/>
        <w:keepLines w:val="0"/>
        <w:pageBreakBefore w:val="0"/>
        <w:widowControl w:val="0"/>
        <w:kinsoku/>
        <w:wordWrap/>
        <w:overflowPunct/>
        <w:topLinePunct/>
        <w:autoSpaceDE/>
        <w:autoSpaceDN/>
        <w:bidi w:val="0"/>
        <w:adjustRightInd w:val="0"/>
        <w:snapToGrid/>
        <w:spacing w:beforeLines="0" w:afterLines="0" w:line="540" w:lineRule="exact"/>
        <w:ind w:firstLine="643" w:firstLineChars="200"/>
        <w:jc w:val="both"/>
        <w:textAlignment w:val="auto"/>
        <w:rPr>
          <w:rFonts w:hint="eastAsia" w:ascii="楷体_GB2312" w:hAnsi="楷体_GB2312" w:eastAsia="楷体_GB2312"/>
          <w:b/>
          <w:color w:val="auto"/>
          <w:kern w:val="2"/>
          <w:sz w:val="32"/>
          <w:szCs w:val="24"/>
          <w:lang w:val="zh-CN"/>
        </w:rPr>
      </w:pPr>
      <w:r>
        <w:rPr>
          <w:rFonts w:hint="eastAsia" w:ascii="楷体_GB2312" w:hAnsi="楷体_GB2312" w:eastAsia="楷体_GB2312"/>
          <w:b/>
          <w:color w:val="auto"/>
          <w:kern w:val="2"/>
          <w:sz w:val="32"/>
          <w:szCs w:val="24"/>
          <w:lang w:val="zh-CN"/>
        </w:rPr>
        <w:t>（一）</w:t>
      </w:r>
      <w:r>
        <w:rPr>
          <w:rFonts w:hint="eastAsia" w:ascii="楷体_GB2312" w:hAnsi="楷体_GB2312" w:eastAsia="楷体_GB2312"/>
          <w:b/>
          <w:color w:val="auto"/>
          <w:kern w:val="2"/>
          <w:sz w:val="32"/>
          <w:szCs w:val="24"/>
          <w:lang w:val="en-US" w:eastAsia="zh-CN"/>
        </w:rPr>
        <w:t>设立背景及</w:t>
      </w:r>
      <w:r>
        <w:rPr>
          <w:rFonts w:hint="eastAsia" w:ascii="楷体_GB2312" w:hAnsi="楷体_GB2312" w:eastAsia="楷体_GB2312"/>
          <w:b/>
          <w:color w:val="auto"/>
          <w:kern w:val="2"/>
          <w:sz w:val="32"/>
          <w:szCs w:val="24"/>
          <w:lang w:val="zh-CN"/>
        </w:rPr>
        <w:t>基本情况</w:t>
      </w:r>
    </w:p>
    <w:p w14:paraId="4A726F41">
      <w:pPr>
        <w:keepNext w:val="0"/>
        <w:keepLines w:val="0"/>
        <w:pageBreakBefore w:val="0"/>
        <w:widowControl w:val="0"/>
        <w:kinsoku/>
        <w:wordWrap/>
        <w:overflowPunct/>
        <w:topLinePunct/>
        <w:autoSpaceDE/>
        <w:autoSpaceDN/>
        <w:bidi w:val="0"/>
        <w:adjustRightInd w:val="0"/>
        <w:snapToGrid/>
        <w:spacing w:beforeLines="0" w:afterLines="0" w:line="540" w:lineRule="exact"/>
        <w:ind w:firstLine="640" w:firstLineChars="200"/>
        <w:textAlignment w:val="auto"/>
        <w:rPr>
          <w:rFonts w:hint="eastAsia" w:ascii="仿宋_GB2312" w:hAnsi="Cambria" w:eastAsia="仿宋_GB2312" w:cs="仿宋_GB2312"/>
          <w:kern w:val="0"/>
          <w:sz w:val="32"/>
          <w:szCs w:val="32"/>
          <w:lang w:val="zh-CN"/>
        </w:rPr>
      </w:pPr>
      <w:r>
        <w:rPr>
          <w:rFonts w:ascii="仿宋_GB2312" w:hAnsi="Cambria" w:eastAsia="仿宋_GB2312" w:cs="仿宋_GB2312"/>
          <w:kern w:val="0"/>
          <w:sz w:val="32"/>
          <w:szCs w:val="32"/>
          <w:lang w:val="zh-CN"/>
        </w:rPr>
        <w:t>1</w:t>
      </w:r>
      <w:r>
        <w:rPr>
          <w:rFonts w:hint="eastAsia" w:ascii="仿宋_GB2312" w:hAnsi="Cambria" w:eastAsia="仿宋_GB2312" w:cs="仿宋_GB2312"/>
          <w:kern w:val="0"/>
          <w:sz w:val="32"/>
          <w:szCs w:val="32"/>
          <w:lang w:val="zh-CN"/>
        </w:rPr>
        <w:t>．</w:t>
      </w:r>
      <w:r>
        <w:rPr>
          <w:rFonts w:hint="eastAsia" w:ascii="仿宋_GB2312" w:hAnsi="仿宋_GB2312" w:eastAsia="仿宋_GB2312"/>
          <w:color w:val="auto"/>
          <w:sz w:val="32"/>
          <w:szCs w:val="24"/>
          <w:lang w:val="en-US" w:eastAsia="zh-CN"/>
        </w:rPr>
        <w:t>我单位为该项目的具体实施单位。</w:t>
      </w:r>
    </w:p>
    <w:p w14:paraId="485A2A74">
      <w:pPr>
        <w:keepNext w:val="0"/>
        <w:keepLines w:val="0"/>
        <w:pageBreakBefore w:val="0"/>
        <w:widowControl w:val="0"/>
        <w:kinsoku/>
        <w:wordWrap/>
        <w:overflowPunct/>
        <w:topLinePunct/>
        <w:autoSpaceDE/>
        <w:autoSpaceDN/>
        <w:bidi w:val="0"/>
        <w:adjustRightInd w:val="0"/>
        <w:snapToGrid/>
        <w:spacing w:beforeLines="0" w:afterLines="0" w:line="540" w:lineRule="exact"/>
        <w:ind w:firstLine="640" w:firstLineChars="200"/>
        <w:textAlignment w:val="auto"/>
        <w:rPr>
          <w:rFonts w:hint="eastAsia" w:ascii="仿宋_GB2312" w:hAnsi="仿宋_GB2312" w:eastAsia="仿宋_GB2312"/>
          <w:color w:val="auto"/>
          <w:sz w:val="32"/>
          <w:szCs w:val="24"/>
          <w:highlight w:val="none"/>
          <w:lang w:val="zh-CN"/>
        </w:rPr>
      </w:pPr>
      <w:r>
        <w:rPr>
          <w:rFonts w:ascii="仿宋_GB2312" w:hAnsi="Cambria" w:eastAsia="仿宋_GB2312" w:cs="仿宋_GB2312"/>
          <w:kern w:val="0"/>
          <w:sz w:val="32"/>
          <w:szCs w:val="32"/>
          <w:lang w:val="zh-CN"/>
        </w:rPr>
        <w:t>2</w:t>
      </w:r>
      <w:r>
        <w:rPr>
          <w:rFonts w:hint="eastAsia" w:ascii="仿宋_GB2312" w:hAnsi="Cambria" w:eastAsia="仿宋_GB2312" w:cs="仿宋_GB2312"/>
          <w:kern w:val="0"/>
          <w:sz w:val="32"/>
          <w:szCs w:val="32"/>
          <w:lang w:val="zh-CN"/>
        </w:rPr>
        <w:t>．</w:t>
      </w:r>
      <w:r>
        <w:rPr>
          <w:rFonts w:hint="eastAsia" w:ascii="仿宋_GB2312" w:hAnsi="仿宋_GB2312" w:eastAsia="仿宋_GB2312"/>
          <w:color w:val="auto"/>
          <w:sz w:val="32"/>
          <w:szCs w:val="24"/>
          <w:lang w:val="zh-CN"/>
        </w:rPr>
        <w:t>该项目</w:t>
      </w:r>
      <w:r>
        <w:rPr>
          <w:rFonts w:hint="eastAsia" w:ascii="仿宋_GB2312" w:hAnsi="仿宋_GB2312" w:eastAsia="仿宋_GB2312"/>
          <w:color w:val="auto"/>
          <w:sz w:val="32"/>
          <w:szCs w:val="24"/>
          <w:highlight w:val="none"/>
          <w:lang w:val="zh-CN"/>
        </w:rPr>
        <w:t>为长期性项目，</w:t>
      </w:r>
      <w:r>
        <w:rPr>
          <w:rFonts w:hint="eastAsia" w:ascii="仿宋_GB2312" w:hAnsi="仿宋_GB2312" w:eastAsia="仿宋_GB2312"/>
          <w:color w:val="auto"/>
          <w:sz w:val="32"/>
          <w:szCs w:val="24"/>
          <w:highlight w:val="none"/>
          <w:lang w:val="en-US" w:eastAsia="zh-CN"/>
        </w:rPr>
        <w:t>为加强基层治理、乡村振兴等重点工作，保障强农惠农措施及时落地生根，特申请该项目经费</w:t>
      </w:r>
      <w:r>
        <w:rPr>
          <w:rFonts w:hint="eastAsia" w:ascii="仿宋_GB2312" w:hAnsi="仿宋_GB2312" w:eastAsia="仿宋_GB2312"/>
          <w:color w:val="auto"/>
          <w:sz w:val="32"/>
          <w:szCs w:val="24"/>
          <w:highlight w:val="none"/>
          <w:lang w:val="zh-CN"/>
        </w:rPr>
        <w:t>。</w:t>
      </w:r>
    </w:p>
    <w:p w14:paraId="5091996E">
      <w:pPr>
        <w:keepNext w:val="0"/>
        <w:keepLines w:val="0"/>
        <w:pageBreakBefore w:val="0"/>
        <w:widowControl w:val="0"/>
        <w:kinsoku/>
        <w:wordWrap/>
        <w:overflowPunct/>
        <w:topLinePunct/>
        <w:autoSpaceDE/>
        <w:autoSpaceDN/>
        <w:bidi w:val="0"/>
        <w:adjustRightInd w:val="0"/>
        <w:snapToGrid/>
        <w:spacing w:beforeLines="0" w:afterLines="0" w:line="540" w:lineRule="exact"/>
        <w:ind w:firstLine="640" w:firstLineChars="200"/>
        <w:textAlignment w:val="auto"/>
        <w:rPr>
          <w:rFonts w:hint="eastAsia" w:ascii="仿宋_GB2312" w:hAnsi="仿宋_GB2312" w:eastAsia="仿宋_GB2312"/>
          <w:color w:val="auto"/>
          <w:sz w:val="32"/>
          <w:szCs w:val="24"/>
          <w:highlight w:val="none"/>
          <w:lang w:val="zh-CN"/>
        </w:rPr>
      </w:pPr>
      <w:r>
        <w:rPr>
          <w:rFonts w:ascii="仿宋_GB2312" w:hAnsi="Cambria" w:eastAsia="仿宋_GB2312" w:cs="仿宋_GB2312"/>
          <w:kern w:val="0"/>
          <w:sz w:val="32"/>
          <w:szCs w:val="32"/>
          <w:highlight w:val="none"/>
          <w:lang w:val="zh-CN"/>
        </w:rPr>
        <w:t>3</w:t>
      </w:r>
      <w:r>
        <w:rPr>
          <w:rFonts w:hint="eastAsia" w:ascii="仿宋_GB2312" w:hAnsi="Cambria" w:eastAsia="仿宋_GB2312" w:cs="仿宋_GB2312"/>
          <w:kern w:val="0"/>
          <w:sz w:val="32"/>
          <w:szCs w:val="32"/>
          <w:highlight w:val="none"/>
          <w:lang w:val="zh-CN"/>
        </w:rPr>
        <w:t>．</w:t>
      </w:r>
      <w:r>
        <w:rPr>
          <w:rFonts w:hint="eastAsia" w:ascii="仿宋_GB2312" w:hAnsi="仿宋_GB2312" w:eastAsia="仿宋_GB2312"/>
          <w:color w:val="auto"/>
          <w:sz w:val="32"/>
          <w:szCs w:val="24"/>
          <w:highlight w:val="none"/>
          <w:lang w:val="zh-CN"/>
        </w:rPr>
        <w:t>项目资金</w:t>
      </w:r>
      <w:r>
        <w:rPr>
          <w:rFonts w:hint="eastAsia" w:ascii="仿宋_GB2312" w:hAnsi="仿宋_GB2312" w:eastAsia="仿宋_GB2312"/>
          <w:color w:val="auto"/>
          <w:sz w:val="32"/>
          <w:szCs w:val="24"/>
          <w:highlight w:val="none"/>
          <w:lang w:val="en-US" w:eastAsia="zh-CN"/>
        </w:rPr>
        <w:t>260</w:t>
      </w:r>
      <w:r>
        <w:rPr>
          <w:rFonts w:hint="eastAsia" w:ascii="仿宋_GB2312" w:hAnsi="仿宋_GB2312" w:eastAsia="仿宋_GB2312"/>
          <w:color w:val="auto"/>
          <w:sz w:val="32"/>
          <w:szCs w:val="24"/>
          <w:highlight w:val="none"/>
          <w:lang w:val="zh-CN"/>
        </w:rPr>
        <w:t>万元，用于</w:t>
      </w:r>
      <w:r>
        <w:rPr>
          <w:rFonts w:hint="eastAsia" w:ascii="仿宋_GB2312" w:hAnsi="仿宋_GB2312" w:eastAsia="仿宋_GB2312"/>
          <w:color w:val="auto"/>
          <w:sz w:val="32"/>
          <w:szCs w:val="24"/>
          <w:highlight w:val="none"/>
          <w:lang w:val="en-US" w:eastAsia="zh-CN"/>
        </w:rPr>
        <w:t>完成2023年新盛镇综合业务工作</w:t>
      </w:r>
      <w:r>
        <w:rPr>
          <w:rFonts w:hint="eastAsia" w:ascii="仿宋_GB2312" w:hAnsi="仿宋_GB2312" w:eastAsia="仿宋_GB2312"/>
          <w:color w:val="auto"/>
          <w:sz w:val="32"/>
          <w:szCs w:val="24"/>
          <w:highlight w:val="none"/>
          <w:lang w:val="zh-CN"/>
        </w:rPr>
        <w:t>，于202</w:t>
      </w:r>
      <w:r>
        <w:rPr>
          <w:rFonts w:hint="eastAsia" w:ascii="仿宋_GB2312" w:hAnsi="仿宋_GB2312" w:eastAsia="仿宋_GB2312"/>
          <w:color w:val="auto"/>
          <w:sz w:val="32"/>
          <w:szCs w:val="24"/>
          <w:highlight w:val="none"/>
          <w:lang w:val="en-US" w:eastAsia="zh-CN"/>
        </w:rPr>
        <w:t>3</w:t>
      </w:r>
      <w:r>
        <w:rPr>
          <w:rFonts w:hint="eastAsia" w:ascii="仿宋_GB2312" w:hAnsi="仿宋_GB2312" w:eastAsia="仿宋_GB2312"/>
          <w:color w:val="auto"/>
          <w:sz w:val="32"/>
          <w:szCs w:val="24"/>
          <w:highlight w:val="none"/>
          <w:lang w:val="zh-CN"/>
        </w:rPr>
        <w:t>年12月底前按照项目进度完成发放及拨付。</w:t>
      </w:r>
    </w:p>
    <w:p w14:paraId="38AB9196">
      <w:pPr>
        <w:keepNext w:val="0"/>
        <w:keepLines w:val="0"/>
        <w:pageBreakBefore w:val="0"/>
        <w:widowControl w:val="0"/>
        <w:kinsoku/>
        <w:wordWrap/>
        <w:overflowPunct/>
        <w:topLinePunct/>
        <w:autoSpaceDE/>
        <w:autoSpaceDN/>
        <w:bidi w:val="0"/>
        <w:adjustRightInd w:val="0"/>
        <w:snapToGrid/>
        <w:spacing w:beforeLines="0" w:afterLines="0" w:line="540" w:lineRule="exact"/>
        <w:ind w:firstLine="640" w:firstLineChars="200"/>
        <w:textAlignment w:val="auto"/>
        <w:rPr>
          <w:rFonts w:hint="eastAsia" w:ascii="仿宋_GB2312" w:hAnsi="仿宋_GB2312" w:eastAsia="仿宋_GB2312"/>
          <w:color w:val="auto"/>
          <w:sz w:val="32"/>
          <w:szCs w:val="24"/>
          <w:highlight w:val="none"/>
          <w:lang w:val="zh-CN"/>
        </w:rPr>
      </w:pPr>
      <w:r>
        <w:rPr>
          <w:rFonts w:ascii="仿宋_GB2312" w:hAnsi="Cambria" w:eastAsia="仿宋_GB2312" w:cs="仿宋_GB2312"/>
          <w:kern w:val="0"/>
          <w:sz w:val="32"/>
          <w:szCs w:val="32"/>
          <w:highlight w:val="none"/>
          <w:lang w:val="zh-CN"/>
        </w:rPr>
        <w:t>4</w:t>
      </w:r>
      <w:r>
        <w:rPr>
          <w:rFonts w:hint="eastAsia" w:ascii="仿宋_GB2312" w:hAnsi="Cambria" w:eastAsia="仿宋_GB2312" w:cs="仿宋_GB2312"/>
          <w:kern w:val="0"/>
          <w:sz w:val="32"/>
          <w:szCs w:val="32"/>
          <w:highlight w:val="none"/>
          <w:lang w:val="zh-CN"/>
        </w:rPr>
        <w:t>．</w:t>
      </w:r>
      <w:r>
        <w:rPr>
          <w:rFonts w:hint="eastAsia" w:ascii="仿宋_GB2312" w:hAnsi="仿宋_GB2312" w:eastAsia="仿宋_GB2312"/>
          <w:color w:val="auto"/>
          <w:sz w:val="32"/>
          <w:szCs w:val="24"/>
          <w:highlight w:val="none"/>
          <w:lang w:val="zh-CN"/>
        </w:rPr>
        <w:t>项目资金统筹用于乡镇各项支出。</w:t>
      </w:r>
    </w:p>
    <w:p w14:paraId="77C54691">
      <w:pPr>
        <w:keepNext w:val="0"/>
        <w:keepLines w:val="0"/>
        <w:pageBreakBefore w:val="0"/>
        <w:widowControl w:val="0"/>
        <w:kinsoku/>
        <w:wordWrap/>
        <w:overflowPunct/>
        <w:topLinePunct/>
        <w:autoSpaceDE/>
        <w:autoSpaceDN/>
        <w:bidi w:val="0"/>
        <w:adjustRightInd w:val="0"/>
        <w:snapToGrid/>
        <w:spacing w:beforeLines="0" w:afterLines="0" w:line="540" w:lineRule="exact"/>
        <w:ind w:firstLine="643" w:firstLineChars="200"/>
        <w:jc w:val="both"/>
        <w:textAlignment w:val="auto"/>
        <w:rPr>
          <w:rFonts w:hint="eastAsia" w:ascii="仿宋_GB2312" w:hAnsi="仿宋_GB2312" w:eastAsia="仿宋_GB2312" w:cs="仿宋_GB2312"/>
          <w:sz w:val="32"/>
          <w:szCs w:val="32"/>
          <w:lang w:val="zh-CN"/>
        </w:rPr>
      </w:pPr>
      <w:r>
        <w:rPr>
          <w:rFonts w:hint="eastAsia" w:ascii="楷体_GB2312" w:eastAsia="楷体_GB2312"/>
          <w:b/>
          <w:sz w:val="32"/>
          <w:szCs w:val="32"/>
          <w:lang w:val="zh-CN"/>
        </w:rPr>
        <w:t>（二）实施目的及支持方向。</w:t>
      </w:r>
      <w:r>
        <w:rPr>
          <w:rFonts w:hint="eastAsia" w:ascii="仿宋_GB2312" w:hAnsi="仿宋_GB2312" w:eastAsia="仿宋_GB2312" w:cs="仿宋_GB2312"/>
          <w:sz w:val="32"/>
          <w:szCs w:val="32"/>
          <w:lang w:val="en-US" w:eastAsia="zh-CN"/>
        </w:rPr>
        <w:t>本单位按照年初目标</w:t>
      </w:r>
      <w:r>
        <w:rPr>
          <w:rFonts w:hint="eastAsia" w:ascii="仿宋_GB2312" w:hAnsi="仿宋_GB2312" w:eastAsia="仿宋_GB2312"/>
          <w:color w:val="auto"/>
          <w:sz w:val="32"/>
          <w:szCs w:val="24"/>
          <w:highlight w:val="none"/>
          <w:lang w:val="zh-CN"/>
        </w:rPr>
        <w:t>统筹</w:t>
      </w:r>
      <w:r>
        <w:rPr>
          <w:rFonts w:hint="eastAsia" w:ascii="仿宋_GB2312" w:hAnsi="仿宋_GB2312" w:eastAsia="仿宋_GB2312"/>
          <w:color w:val="auto"/>
          <w:sz w:val="32"/>
          <w:szCs w:val="24"/>
          <w:highlight w:val="none"/>
          <w:lang w:val="en-US" w:eastAsia="zh-CN"/>
        </w:rPr>
        <w:t>协调</w:t>
      </w:r>
      <w:r>
        <w:rPr>
          <w:rFonts w:hint="eastAsia" w:ascii="仿宋_GB2312" w:hAnsi="仿宋_GB2312" w:eastAsia="仿宋_GB2312"/>
          <w:color w:val="auto"/>
          <w:sz w:val="32"/>
          <w:szCs w:val="24"/>
          <w:highlight w:val="none"/>
          <w:lang w:val="zh-CN"/>
        </w:rPr>
        <w:t>乡镇各项支出，做好交管办、安全维稳、民事代办、创城、生态环境保护、乡村振兴、卫生健康及疾病预防、基层治理和民生等工作；做好人大代表、工会、共青团、妇联、关工委等群团工作；做好应急突发事件的处置工作。</w:t>
      </w:r>
      <w:r>
        <w:rPr>
          <w:rFonts w:hint="eastAsia" w:ascii="仿宋_GB2312" w:hAnsi="仿宋_GB2312" w:eastAsia="仿宋_GB2312"/>
          <w:color w:val="auto"/>
          <w:sz w:val="32"/>
          <w:szCs w:val="24"/>
          <w:highlight w:val="none"/>
          <w:lang w:val="en-US" w:eastAsia="zh-CN"/>
        </w:rPr>
        <w:t>严格按照</w:t>
      </w:r>
      <w:r>
        <w:rPr>
          <w:rFonts w:hint="eastAsia" w:ascii="仿宋_GB2312" w:hAnsi="仿宋_GB2312" w:eastAsia="仿宋_GB2312" w:cs="仿宋_GB2312"/>
          <w:sz w:val="32"/>
          <w:szCs w:val="32"/>
          <w:lang w:val="zh-CN"/>
        </w:rPr>
        <w:t>财务管理制度、会计核算及专项资金管理办法执行。对照项目资金管理办法，评价项目严格执行财务管理制度、财务处理及时、会计核算规范。</w:t>
      </w:r>
    </w:p>
    <w:p w14:paraId="3C811D7A">
      <w:pPr>
        <w:keepNext w:val="0"/>
        <w:keepLines w:val="0"/>
        <w:pageBreakBefore w:val="0"/>
        <w:widowControl w:val="0"/>
        <w:kinsoku/>
        <w:wordWrap/>
        <w:overflowPunct/>
        <w:topLinePunct/>
        <w:autoSpaceDE/>
        <w:autoSpaceDN/>
        <w:bidi w:val="0"/>
        <w:adjustRightInd w:val="0"/>
        <w:snapToGrid/>
        <w:spacing w:beforeLines="0" w:afterLines="0" w:line="540" w:lineRule="exact"/>
        <w:ind w:firstLine="643" w:firstLineChars="200"/>
        <w:jc w:val="both"/>
        <w:textAlignment w:val="auto"/>
        <w:rPr>
          <w:rFonts w:hint="eastAsia" w:ascii="仿宋_GB2312" w:hAnsi="仿宋_GB2312" w:eastAsia="仿宋_GB2312" w:cs="仿宋_GB2312"/>
          <w:sz w:val="32"/>
          <w:szCs w:val="32"/>
          <w:lang w:val="zh-CN"/>
        </w:rPr>
      </w:pPr>
      <w:r>
        <w:rPr>
          <w:rFonts w:hint="eastAsia" w:ascii="楷体_GB2312" w:eastAsia="楷体_GB2312"/>
          <w:b/>
          <w:sz w:val="32"/>
          <w:szCs w:val="32"/>
          <w:lang w:val="zh-CN"/>
        </w:rPr>
        <w:t>（</w:t>
      </w:r>
      <w:r>
        <w:rPr>
          <w:rFonts w:hint="eastAsia" w:ascii="楷体_GB2312" w:eastAsia="楷体_GB2312"/>
          <w:b/>
          <w:sz w:val="32"/>
          <w:szCs w:val="32"/>
          <w:lang w:val="en-US" w:eastAsia="zh-CN"/>
        </w:rPr>
        <w:t>三</w:t>
      </w:r>
      <w:r>
        <w:rPr>
          <w:rFonts w:hint="eastAsia" w:ascii="楷体_GB2312" w:eastAsia="楷体_GB2312"/>
          <w:b/>
          <w:sz w:val="32"/>
          <w:szCs w:val="32"/>
          <w:lang w:val="zh-CN"/>
        </w:rPr>
        <w:t>）预算安排及分配管理。</w:t>
      </w:r>
      <w:r>
        <w:rPr>
          <w:rFonts w:hint="eastAsia" w:ascii="仿宋_GB2312" w:hAnsi="仿宋_GB2312" w:eastAsia="仿宋_GB2312"/>
          <w:color w:val="auto"/>
          <w:sz w:val="32"/>
          <w:szCs w:val="24"/>
          <w:highlight w:val="none"/>
          <w:lang w:val="zh-CN"/>
        </w:rPr>
        <w:t>统筹</w:t>
      </w:r>
      <w:r>
        <w:rPr>
          <w:rFonts w:hint="eastAsia" w:ascii="仿宋_GB2312" w:hAnsi="仿宋_GB2312" w:eastAsia="仿宋_GB2312"/>
          <w:color w:val="auto"/>
          <w:sz w:val="32"/>
          <w:szCs w:val="24"/>
          <w:highlight w:val="none"/>
          <w:lang w:val="en-US" w:eastAsia="zh-CN"/>
        </w:rPr>
        <w:t>安排好财政260万元综合业务经费</w:t>
      </w:r>
      <w:r>
        <w:rPr>
          <w:rFonts w:hint="eastAsia" w:ascii="仿宋_GB2312" w:hAnsi="仿宋_GB2312" w:eastAsia="仿宋_GB2312"/>
          <w:color w:val="auto"/>
          <w:sz w:val="32"/>
          <w:szCs w:val="24"/>
          <w:highlight w:val="none"/>
          <w:lang w:val="zh-CN"/>
        </w:rPr>
        <w:t>用于乡镇各项支出，做好交管办、安全维稳、民事代办、创城、生态环境保护、乡村振兴、卫生健康及疾病预防、基层治理和民生等工作；做好人大代表、工会、共青团、妇联、关工委等群团工作；做好应急突发事件的处置工作。</w:t>
      </w:r>
    </w:p>
    <w:p w14:paraId="2CE860FB">
      <w:pPr>
        <w:keepNext w:val="0"/>
        <w:keepLines w:val="0"/>
        <w:pageBreakBefore w:val="0"/>
        <w:widowControl w:val="0"/>
        <w:kinsoku/>
        <w:wordWrap/>
        <w:overflowPunct/>
        <w:topLinePunct/>
        <w:autoSpaceDE/>
        <w:autoSpaceDN/>
        <w:bidi w:val="0"/>
        <w:adjustRightInd w:val="0"/>
        <w:snapToGrid/>
        <w:spacing w:beforeLines="0" w:afterLines="0" w:line="540" w:lineRule="exact"/>
        <w:ind w:firstLine="643" w:firstLineChars="200"/>
        <w:textAlignment w:val="auto"/>
        <w:rPr>
          <w:rFonts w:hint="eastAsia" w:ascii="仿宋_GB2312" w:hAnsi="仿宋_GB2312" w:eastAsia="仿宋_GB2312"/>
          <w:color w:val="auto"/>
          <w:sz w:val="32"/>
          <w:szCs w:val="24"/>
          <w:highlight w:val="none"/>
          <w:lang w:val="en-US" w:eastAsia="zh-CN"/>
        </w:rPr>
      </w:pPr>
      <w:r>
        <w:rPr>
          <w:rFonts w:hint="eastAsia" w:ascii="楷体_GB2312" w:eastAsia="楷体_GB2312"/>
          <w:b/>
          <w:sz w:val="32"/>
          <w:szCs w:val="32"/>
          <w:lang w:val="zh-CN"/>
        </w:rPr>
        <w:t>（四）项目绩效目标设置。</w:t>
      </w:r>
      <w:r>
        <w:rPr>
          <w:rFonts w:hint="eastAsia" w:ascii="楷体_GB2312" w:eastAsia="楷体_GB2312"/>
          <w:b/>
          <w:sz w:val="32"/>
          <w:szCs w:val="32"/>
          <w:lang w:val="en-US" w:eastAsia="zh-CN"/>
        </w:rPr>
        <w:t>按照年初设立目标</w:t>
      </w:r>
      <w:r>
        <w:rPr>
          <w:rFonts w:hint="eastAsia" w:ascii="仿宋_GB2312" w:hAnsi="仿宋_GB2312" w:eastAsia="仿宋_GB2312"/>
          <w:color w:val="auto"/>
          <w:sz w:val="32"/>
          <w:szCs w:val="24"/>
          <w:highlight w:val="none"/>
          <w:lang w:val="zh-CN"/>
        </w:rPr>
        <w:t>，做好交管办、安全维稳、民事代办、创城、生态环境保护、乡村振兴、卫生健康及疾病预防、基层治理和民生等工作；做好人大代表、工会、共青团、妇联、关工委等群团工作；做好应急突发事件的处置工作。202</w:t>
      </w:r>
      <w:r>
        <w:rPr>
          <w:rFonts w:hint="eastAsia" w:ascii="仿宋_GB2312" w:hAnsi="仿宋_GB2312" w:eastAsia="仿宋_GB2312"/>
          <w:color w:val="auto"/>
          <w:sz w:val="32"/>
          <w:szCs w:val="24"/>
          <w:highlight w:val="none"/>
          <w:lang w:val="en-US" w:eastAsia="zh-CN"/>
        </w:rPr>
        <w:t>3</w:t>
      </w:r>
      <w:r>
        <w:rPr>
          <w:rFonts w:hint="eastAsia" w:ascii="仿宋_GB2312" w:hAnsi="仿宋_GB2312" w:eastAsia="仿宋_GB2312"/>
          <w:color w:val="auto"/>
          <w:sz w:val="32"/>
          <w:szCs w:val="24"/>
          <w:highlight w:val="none"/>
          <w:lang w:val="zh-CN"/>
        </w:rPr>
        <w:t>年12月底前完成项目主要内容，并于202</w:t>
      </w:r>
      <w:r>
        <w:rPr>
          <w:rFonts w:hint="eastAsia" w:ascii="仿宋_GB2312" w:hAnsi="仿宋_GB2312" w:eastAsia="仿宋_GB2312"/>
          <w:color w:val="auto"/>
          <w:sz w:val="32"/>
          <w:szCs w:val="24"/>
          <w:highlight w:val="none"/>
          <w:lang w:val="en-US" w:eastAsia="zh-CN"/>
        </w:rPr>
        <w:t>3</w:t>
      </w:r>
      <w:r>
        <w:rPr>
          <w:rFonts w:hint="eastAsia" w:ascii="仿宋_GB2312" w:hAnsi="仿宋_GB2312" w:eastAsia="仿宋_GB2312"/>
          <w:color w:val="auto"/>
          <w:sz w:val="32"/>
          <w:szCs w:val="24"/>
          <w:highlight w:val="none"/>
          <w:lang w:val="zh-CN"/>
        </w:rPr>
        <w:t>年12月底前按照项目实施进度完成项目资金的拨付，</w:t>
      </w:r>
      <w:r>
        <w:rPr>
          <w:rFonts w:hint="eastAsia" w:ascii="仿宋_GB2312" w:hAnsi="仿宋_GB2312" w:eastAsia="仿宋_GB2312"/>
          <w:color w:val="auto"/>
          <w:sz w:val="32"/>
          <w:szCs w:val="24"/>
          <w:highlight w:val="none"/>
          <w:lang w:val="en-US" w:eastAsia="zh-CN"/>
        </w:rPr>
        <w:t>加强了基层治理、乡村振兴等重点工作，保障了强农惠农措施及时落地生根。</w:t>
      </w:r>
    </w:p>
    <w:p w14:paraId="1FB067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lang w:val="zh-CN"/>
        </w:rPr>
      </w:pPr>
      <w:bookmarkStart w:id="121" w:name="_Toc27124"/>
      <w:bookmarkStart w:id="122" w:name="_Toc8857"/>
      <w:r>
        <w:rPr>
          <w:rFonts w:hint="eastAsia" w:ascii="黑体" w:hAnsi="黑体" w:eastAsia="黑体"/>
          <w:sz w:val="32"/>
          <w:szCs w:val="32"/>
          <w:lang w:val="zh-CN"/>
        </w:rPr>
        <w:t>二、评价实施</w:t>
      </w:r>
      <w:bookmarkEnd w:id="121"/>
      <w:bookmarkEnd w:id="122"/>
    </w:p>
    <w:p w14:paraId="31058B3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alibri" w:hAnsi="Calibri" w:eastAsia="仿宋_GB2312" w:cs="Times New Roman"/>
          <w:kern w:val="2"/>
          <w:sz w:val="32"/>
          <w:szCs w:val="32"/>
          <w:lang w:val="en-US" w:eastAsia="zh-CN" w:bidi="ar-SA"/>
        </w:rPr>
      </w:pPr>
      <w:r>
        <w:rPr>
          <w:rFonts w:hint="eastAsia" w:ascii="楷体_GB2312" w:eastAsia="楷体_GB2312"/>
          <w:b/>
          <w:sz w:val="32"/>
          <w:szCs w:val="32"/>
          <w:lang w:val="zh-CN"/>
        </w:rPr>
        <w:t>（一）评价目的。</w:t>
      </w:r>
      <w:r>
        <w:rPr>
          <w:rFonts w:hint="eastAsia" w:ascii="Calibri" w:hAnsi="Calibri" w:eastAsia="仿宋_GB2312" w:cs="Times New Roman"/>
          <w:kern w:val="2"/>
          <w:sz w:val="32"/>
          <w:szCs w:val="32"/>
          <w:lang w:val="en-US" w:eastAsia="zh-CN" w:bidi="ar-SA"/>
        </w:rPr>
        <w:t>项目绩效评价的目的在于提高项目资金使用效益，优化财政项目资金配置，将财政支出与取得的产出或成效挂钩，有助于解决财政资源配置和使用中的低效无效问题，提升本部门决策、管理和服务水平。</w:t>
      </w:r>
    </w:p>
    <w:p w14:paraId="5C5672E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仿宋_GB2312"/>
          <w:lang w:val="en-US" w:eastAsia="zh-CN"/>
        </w:rPr>
      </w:pPr>
      <w:r>
        <w:rPr>
          <w:rFonts w:hint="eastAsia" w:ascii="楷体_GB2312" w:eastAsia="楷体_GB2312"/>
          <w:b/>
          <w:sz w:val="32"/>
          <w:szCs w:val="32"/>
          <w:lang w:val="zh-CN"/>
        </w:rPr>
        <w:t>（二）预设问题及评价重点。</w:t>
      </w:r>
      <w:r>
        <w:rPr>
          <w:rFonts w:hint="eastAsia" w:eastAsia="仿宋_GB2312"/>
          <w:sz w:val="32"/>
          <w:szCs w:val="32"/>
          <w:lang w:val="en-US" w:eastAsia="zh-CN"/>
        </w:rPr>
        <w:t>项目资金评价主要关注资金分配的合理性、资金使用的合规性、资金执行的效率以及资金监管的有效性，实施效果则重点评断项目目标的达成度，项目所产生的经济效益、社会效益、可持续效益以及群众满意度。</w:t>
      </w:r>
    </w:p>
    <w:p w14:paraId="4D827B4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lang w:val="zh-CN"/>
        </w:rPr>
      </w:pPr>
      <w:r>
        <w:rPr>
          <w:rFonts w:hint="eastAsia" w:ascii="楷体_GB2312" w:eastAsia="楷体_GB2312"/>
          <w:b/>
          <w:sz w:val="32"/>
          <w:szCs w:val="32"/>
          <w:lang w:val="zh-CN"/>
        </w:rPr>
        <w:t>（三）评价选点。</w:t>
      </w:r>
      <w:r>
        <w:rPr>
          <w:rFonts w:hint="eastAsia" w:eastAsia="仿宋_GB2312"/>
          <w:sz w:val="32"/>
          <w:szCs w:val="32"/>
          <w:lang w:val="zh-CN"/>
        </w:rPr>
        <w:t>项目绩效自评过程中，实地查看了项目实施场所，询问了项目实施相关工作人员，并走访了</w:t>
      </w:r>
      <w:r>
        <w:rPr>
          <w:rFonts w:hint="eastAsia" w:eastAsia="仿宋_GB2312"/>
          <w:sz w:val="32"/>
          <w:szCs w:val="32"/>
          <w:lang w:val="en-US" w:eastAsia="zh-CN"/>
        </w:rPr>
        <w:t>资金拨付人员资金到位群众及满意度</w:t>
      </w:r>
      <w:r>
        <w:rPr>
          <w:rFonts w:hint="eastAsia" w:eastAsia="仿宋_GB2312"/>
          <w:sz w:val="32"/>
          <w:szCs w:val="32"/>
          <w:lang w:val="zh-CN"/>
        </w:rPr>
        <w:t>。</w:t>
      </w:r>
    </w:p>
    <w:p w14:paraId="438B68DA">
      <w:pPr>
        <w:keepNext w:val="0"/>
        <w:keepLines w:val="0"/>
        <w:pageBreakBefore w:val="0"/>
        <w:widowControl w:val="0"/>
        <w:kinsoku/>
        <w:wordWrap/>
        <w:overflowPunct/>
        <w:topLinePunct/>
        <w:autoSpaceDE/>
        <w:autoSpaceDN/>
        <w:bidi w:val="0"/>
        <w:adjustRightInd w:val="0"/>
        <w:snapToGrid/>
        <w:spacing w:beforeLines="0" w:afterLines="0" w:line="540" w:lineRule="exact"/>
        <w:ind w:firstLine="643" w:firstLineChars="200"/>
        <w:textAlignment w:val="auto"/>
        <w:rPr>
          <w:rFonts w:hint="eastAsia" w:ascii="仿宋_GB2312" w:hAnsi="仿宋_GB2312" w:eastAsia="仿宋_GB2312"/>
          <w:color w:val="auto"/>
          <w:sz w:val="32"/>
          <w:szCs w:val="24"/>
          <w:highlight w:val="none"/>
          <w:lang w:val="zh-CN"/>
        </w:rPr>
      </w:pPr>
      <w:r>
        <w:rPr>
          <w:rFonts w:hint="eastAsia" w:ascii="楷体_GB2312" w:eastAsia="楷体_GB2312"/>
          <w:b/>
          <w:sz w:val="32"/>
          <w:szCs w:val="32"/>
          <w:lang w:val="zh-CN"/>
        </w:rPr>
        <w:t>（四）评价方法。</w:t>
      </w:r>
      <w:r>
        <w:rPr>
          <w:rFonts w:hint="eastAsia" w:ascii="仿宋_GB2312" w:hAnsi="仿宋_GB2312" w:eastAsia="仿宋_GB2312"/>
          <w:color w:val="auto"/>
          <w:sz w:val="32"/>
          <w:szCs w:val="24"/>
          <w:highlight w:val="none"/>
          <w:lang w:val="zh-CN"/>
        </w:rPr>
        <w:t>该项目绩效自评第一步，督查项目实施是否按照项目内容和要求实施；第二步，本单位组织人员对项目实施的进度、时限、人数、质量进行验收；第三步，验收通过后，于202</w:t>
      </w:r>
      <w:r>
        <w:rPr>
          <w:rFonts w:hint="eastAsia" w:ascii="仿宋_GB2312" w:hAnsi="仿宋_GB2312" w:eastAsia="仿宋_GB2312"/>
          <w:color w:val="auto"/>
          <w:sz w:val="32"/>
          <w:szCs w:val="24"/>
          <w:highlight w:val="none"/>
          <w:lang w:val="en-US" w:eastAsia="zh-CN"/>
        </w:rPr>
        <w:t>3</w:t>
      </w:r>
      <w:r>
        <w:rPr>
          <w:rFonts w:hint="eastAsia" w:ascii="仿宋_GB2312" w:hAnsi="仿宋_GB2312" w:eastAsia="仿宋_GB2312"/>
          <w:color w:val="auto"/>
          <w:sz w:val="32"/>
          <w:szCs w:val="24"/>
          <w:highlight w:val="none"/>
          <w:lang w:val="zh-CN"/>
        </w:rPr>
        <w:t>年12月底前按照项目实施进度完成项目资金的拨付。</w:t>
      </w:r>
    </w:p>
    <w:p w14:paraId="65E122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rPr>
        <w:t>主要采取查阅账册、抽查凭证、核对原始记录、数据横纵向对比、询问相关人员等方法，重点测算预算执行及各项费用支出的控制情况。</w:t>
      </w:r>
    </w:p>
    <w:p w14:paraId="64E7117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lang w:val="zh-CN"/>
        </w:rPr>
      </w:pPr>
      <w:r>
        <w:rPr>
          <w:rFonts w:hint="eastAsia" w:ascii="楷体_GB2312" w:eastAsia="楷体_GB2312"/>
          <w:b/>
          <w:sz w:val="32"/>
          <w:szCs w:val="32"/>
          <w:lang w:val="zh-CN"/>
        </w:rPr>
        <w:t>（五）评价组织。</w:t>
      </w:r>
      <w:r>
        <w:rPr>
          <w:rFonts w:hint="eastAsia" w:ascii="仿宋_GB2312" w:hAnsi="仿宋_GB2312" w:eastAsia="仿宋_GB2312" w:cs="Times New Roman"/>
          <w:color w:val="auto"/>
          <w:sz w:val="32"/>
          <w:szCs w:val="24"/>
          <w:lang w:val="zh-CN"/>
        </w:rPr>
        <w:t>我单位</w:t>
      </w:r>
      <w:r>
        <w:rPr>
          <w:rFonts w:hint="eastAsia" w:ascii="仿宋_GB2312" w:hAnsi="仿宋_GB2312" w:eastAsia="仿宋_GB2312" w:cs="Times New Roman"/>
          <w:color w:val="auto"/>
          <w:sz w:val="32"/>
          <w:szCs w:val="24"/>
          <w:lang w:val="en-US" w:eastAsia="zh-CN"/>
        </w:rPr>
        <w:t>成立了由镇党委副书记、镇长任组长，业务分管领导和财务分管领导任副组长，业务办公室、财政办公室和党建办公室人员为成员的项目实施小组，镇党委副书记、镇长负总责。业务分管领导为主要负责人，负责项目实施的合理性、合法性、真实性；业务办公室人员编制项目实施方案和项目绩效目标，并按照方案具体实施项目、申请项目资金。财政办公室人员根据项目实施方案和项目绩效目标申请预算资金，项目实施过程中根据业务工作人员资金申请情况，核实申请资金的合理性、合法性后及时拨付；财务分管领导负责项目资金按时拨付。党建办公室负责项目实施、资金拨付的监督责任。</w:t>
      </w:r>
      <w:r>
        <w:rPr>
          <w:rFonts w:hint="eastAsia" w:ascii="仿宋_GB2312" w:hAnsi="仿宋_GB2312" w:eastAsia="仿宋_GB2312" w:cs="Times New Roman"/>
          <w:color w:val="auto"/>
          <w:sz w:val="32"/>
          <w:szCs w:val="24"/>
          <w:lang w:val="zh-CN"/>
        </w:rPr>
        <w:t>我单位项目组织架构及实施流程严格按照项目规划组织实施和管理</w:t>
      </w:r>
      <w:r>
        <w:rPr>
          <w:rFonts w:hint="eastAsia" w:ascii="楷体_GB2312" w:hAnsi="楷体_GB2312" w:eastAsia="楷体_GB2312"/>
          <w:b/>
          <w:color w:val="auto"/>
          <w:kern w:val="2"/>
          <w:sz w:val="32"/>
          <w:szCs w:val="24"/>
          <w:lang w:val="zh-CN"/>
        </w:rPr>
        <w:t>。</w:t>
      </w:r>
    </w:p>
    <w:p w14:paraId="37B3D6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lang w:val="zh-CN"/>
        </w:rPr>
      </w:pPr>
      <w:bookmarkStart w:id="123" w:name="_Toc29859"/>
      <w:bookmarkStart w:id="124" w:name="_Toc0"/>
      <w:r>
        <w:rPr>
          <w:rFonts w:hint="eastAsia" w:ascii="黑体" w:hAnsi="黑体" w:eastAsia="黑体"/>
          <w:sz w:val="32"/>
          <w:szCs w:val="32"/>
          <w:lang w:val="zh-CN"/>
        </w:rPr>
        <w:t>三、绩效分析</w:t>
      </w:r>
      <w:bookmarkEnd w:id="123"/>
      <w:bookmarkEnd w:id="124"/>
    </w:p>
    <w:p w14:paraId="048B375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楷体_GB2312" w:eastAsia="楷体_GB2312"/>
          <w:b/>
          <w:sz w:val="32"/>
          <w:szCs w:val="32"/>
          <w:lang w:val="zh-CN"/>
        </w:rPr>
      </w:pPr>
      <w:bookmarkStart w:id="125" w:name="_Toc7846"/>
      <w:bookmarkStart w:id="126" w:name="_Toc30706"/>
      <w:r>
        <w:rPr>
          <w:rFonts w:hint="eastAsia" w:ascii="楷体_GB2312" w:eastAsia="楷体_GB2312"/>
          <w:b/>
          <w:sz w:val="32"/>
          <w:szCs w:val="32"/>
          <w:lang w:val="zh-CN"/>
        </w:rPr>
        <w:t>（一）通用指标绩效分析。</w:t>
      </w:r>
      <w:bookmarkEnd w:id="125"/>
      <w:bookmarkEnd w:id="126"/>
    </w:p>
    <w:p w14:paraId="47097A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sz w:val="32"/>
          <w:szCs w:val="32"/>
          <w:lang w:val="zh-CN"/>
        </w:rPr>
      </w:pPr>
      <w:r>
        <w:rPr>
          <w:rFonts w:hint="eastAsia" w:ascii="楷体_GB2312" w:eastAsia="楷体_GB2312"/>
          <w:sz w:val="32"/>
          <w:szCs w:val="32"/>
          <w:lang w:val="zh-CN"/>
        </w:rPr>
        <w:t>1.项目</w:t>
      </w:r>
      <w:r>
        <w:rPr>
          <w:rFonts w:hint="eastAsia" w:eastAsia="仿宋_GB2312"/>
          <w:sz w:val="32"/>
          <w:szCs w:val="32"/>
          <w:lang w:val="zh-CN"/>
        </w:rPr>
        <w:t>决策。项目</w:t>
      </w:r>
      <w:r>
        <w:rPr>
          <w:rFonts w:hint="eastAsia" w:eastAsia="仿宋_GB2312"/>
          <w:sz w:val="32"/>
          <w:szCs w:val="32"/>
          <w:lang w:val="en-US" w:eastAsia="zh-CN"/>
        </w:rPr>
        <w:t>资金分配合理、</w:t>
      </w:r>
      <w:r>
        <w:rPr>
          <w:rFonts w:hint="eastAsia" w:eastAsia="仿宋_GB2312"/>
          <w:sz w:val="32"/>
          <w:szCs w:val="32"/>
          <w:lang w:val="zh-CN"/>
        </w:rPr>
        <w:t>决策程序严密、</w:t>
      </w:r>
      <w:r>
        <w:rPr>
          <w:rFonts w:hint="eastAsia" w:eastAsia="仿宋_GB2312"/>
          <w:sz w:val="32"/>
          <w:szCs w:val="32"/>
          <w:lang w:val="en-US" w:eastAsia="zh-CN"/>
        </w:rPr>
        <w:t>报账程序完善</w:t>
      </w:r>
      <w:r>
        <w:rPr>
          <w:rFonts w:hint="eastAsia" w:eastAsia="仿宋_GB2312"/>
          <w:sz w:val="32"/>
          <w:szCs w:val="32"/>
          <w:lang w:val="zh-CN"/>
        </w:rPr>
        <w:t>，项目绩效目标设置科学合理，项目资金与项目总体规划、相关行业事业发展相匹配，聚焦重大任务、重点领域、重点环节和重点项目，</w:t>
      </w:r>
      <w:r>
        <w:rPr>
          <w:rFonts w:hint="eastAsia" w:eastAsia="仿宋_GB2312"/>
          <w:sz w:val="32"/>
          <w:szCs w:val="32"/>
          <w:highlight w:val="none"/>
          <w:lang w:val="en-US" w:eastAsia="zh-CN"/>
        </w:rPr>
        <w:t>有效推动了新盛镇经济社会稳定发展</w:t>
      </w:r>
      <w:r>
        <w:rPr>
          <w:rFonts w:hint="eastAsia" w:eastAsia="仿宋_GB2312"/>
          <w:sz w:val="32"/>
          <w:szCs w:val="32"/>
          <w:lang w:val="zh-CN"/>
        </w:rPr>
        <w:t>。</w:t>
      </w:r>
    </w:p>
    <w:p w14:paraId="13896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sz w:val="32"/>
          <w:szCs w:val="32"/>
          <w:lang w:val="zh-CN"/>
        </w:rPr>
      </w:pPr>
      <w:r>
        <w:rPr>
          <w:rFonts w:hint="eastAsia" w:eastAsia="仿宋_GB2312"/>
          <w:sz w:val="32"/>
          <w:szCs w:val="32"/>
          <w:lang w:val="zh-CN"/>
        </w:rPr>
        <w:t>2.项目管理。项目制度办法体系健全、要素完备，项目资金分配因素选取、权重设置、区域分布，项目管理、审批符合管理要求，管资金、项目、政策管绩效，项目绩效监管按要求开展，对下指导有力有效。</w:t>
      </w:r>
    </w:p>
    <w:p w14:paraId="067BC7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sz w:val="32"/>
          <w:szCs w:val="32"/>
          <w:lang w:val="zh-CN"/>
        </w:rPr>
      </w:pPr>
      <w:r>
        <w:rPr>
          <w:rFonts w:hint="eastAsia" w:eastAsia="仿宋_GB2312"/>
          <w:sz w:val="32"/>
          <w:szCs w:val="32"/>
          <w:lang w:val="zh-CN"/>
        </w:rPr>
        <w:t>3.项目实施。项目资金财政拨付、单位执行和地方配套到位，资金使用拨付、项目实施符合规定。</w:t>
      </w:r>
    </w:p>
    <w:p w14:paraId="18FA94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sz w:val="32"/>
          <w:szCs w:val="32"/>
          <w:lang w:val="zh-CN"/>
        </w:rPr>
      </w:pPr>
      <w:r>
        <w:rPr>
          <w:rFonts w:hint="eastAsia" w:eastAsia="仿宋_GB2312"/>
          <w:sz w:val="32"/>
          <w:szCs w:val="32"/>
          <w:lang w:val="zh-CN"/>
        </w:rPr>
        <w:t>4.项目结果。项目完成预期目标，实施结果与绩效目标相匹配，反映目标实现程度，项目实际完成时间与计划完成时间一致。</w:t>
      </w:r>
    </w:p>
    <w:p w14:paraId="3F9D5C4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lang w:val="zh-CN"/>
        </w:rPr>
      </w:pPr>
      <w:bookmarkStart w:id="127" w:name="_Toc22684"/>
      <w:bookmarkStart w:id="128" w:name="_Toc18587"/>
      <w:r>
        <w:rPr>
          <w:rFonts w:hint="eastAsia" w:ascii="楷体_GB2312" w:eastAsia="楷体_GB2312"/>
          <w:b/>
          <w:sz w:val="32"/>
          <w:szCs w:val="32"/>
          <w:lang w:val="zh-CN"/>
        </w:rPr>
        <w:t>（二）专用指标绩效分析。</w:t>
      </w:r>
      <w:bookmarkEnd w:id="127"/>
      <w:bookmarkEnd w:id="128"/>
    </w:p>
    <w:p w14:paraId="6202FE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lang w:val="zh-CN"/>
        </w:rPr>
      </w:pPr>
      <w:r>
        <w:rPr>
          <w:rFonts w:hint="eastAsia" w:ascii="楷体_GB2312" w:eastAsia="楷体_GB2312"/>
          <w:sz w:val="32"/>
          <w:szCs w:val="32"/>
          <w:lang w:val="zh-CN"/>
        </w:rPr>
        <w:t>1.产业发展。</w:t>
      </w:r>
      <w:r>
        <w:rPr>
          <w:rFonts w:hint="eastAsia" w:eastAsia="仿宋_GB2312"/>
          <w:sz w:val="32"/>
          <w:szCs w:val="32"/>
          <w:lang w:val="zh-CN"/>
        </w:rPr>
        <w:t>围绕</w:t>
      </w:r>
      <w:r>
        <w:rPr>
          <w:rFonts w:hint="eastAsia" w:eastAsia="仿宋_GB2312"/>
          <w:sz w:val="32"/>
          <w:szCs w:val="32"/>
          <w:lang w:val="en-US" w:eastAsia="zh-CN"/>
        </w:rPr>
        <w:t>合理</w:t>
      </w:r>
      <w:r>
        <w:rPr>
          <w:rFonts w:hint="eastAsia" w:eastAsia="仿宋_GB2312"/>
          <w:sz w:val="32"/>
          <w:szCs w:val="32"/>
          <w:lang w:val="zh-CN"/>
        </w:rPr>
        <w:t>性、成长性、经济性、</w:t>
      </w:r>
      <w:r>
        <w:rPr>
          <w:rFonts w:hint="eastAsia" w:eastAsia="仿宋_GB2312"/>
          <w:sz w:val="32"/>
          <w:szCs w:val="32"/>
          <w:lang w:val="en-US" w:eastAsia="zh-CN"/>
        </w:rPr>
        <w:t>便捷性</w:t>
      </w:r>
      <w:r>
        <w:rPr>
          <w:rFonts w:hint="eastAsia" w:eastAsia="仿宋_GB2312"/>
          <w:sz w:val="32"/>
          <w:szCs w:val="32"/>
          <w:lang w:val="zh-CN"/>
        </w:rPr>
        <w:t>进行绩效分析。</w:t>
      </w:r>
    </w:p>
    <w:p w14:paraId="63C4F1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lang w:val="zh-CN"/>
        </w:rPr>
      </w:pPr>
      <w:r>
        <w:rPr>
          <w:rFonts w:hint="eastAsia" w:ascii="楷体_GB2312" w:eastAsia="楷体_GB2312"/>
          <w:sz w:val="32"/>
          <w:szCs w:val="32"/>
          <w:lang w:val="zh-CN"/>
        </w:rPr>
        <w:t>2.民生保障。</w:t>
      </w:r>
      <w:r>
        <w:rPr>
          <w:rFonts w:hint="eastAsia" w:eastAsia="仿宋_GB2312"/>
          <w:sz w:val="32"/>
          <w:szCs w:val="32"/>
          <w:lang w:val="zh-CN"/>
        </w:rPr>
        <w:t>围绕区域均衡性、对象精准性、标准合理性、群众满意度进行绩效分析。</w:t>
      </w:r>
    </w:p>
    <w:p w14:paraId="0FFCBD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sz w:val="32"/>
          <w:szCs w:val="32"/>
          <w:lang w:val="en-US" w:eastAsia="zh-CN"/>
        </w:rPr>
      </w:pPr>
      <w:r>
        <w:rPr>
          <w:rFonts w:hint="eastAsia" w:ascii="楷体_GB2312" w:eastAsia="楷体_GB2312"/>
          <w:sz w:val="32"/>
          <w:szCs w:val="32"/>
          <w:lang w:val="zh-CN"/>
        </w:rPr>
        <w:t>3.基础设施。</w:t>
      </w:r>
      <w:r>
        <w:rPr>
          <w:rFonts w:hint="eastAsia" w:eastAsia="仿宋_GB2312"/>
          <w:sz w:val="32"/>
          <w:szCs w:val="32"/>
          <w:lang w:val="zh-CN"/>
        </w:rPr>
        <w:t>该项目不涉及基础设施建设。</w:t>
      </w:r>
    </w:p>
    <w:p w14:paraId="591BE717">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eastAsia="仿宋_GB2312"/>
          <w:sz w:val="32"/>
          <w:szCs w:val="32"/>
          <w:lang w:val="zh-CN"/>
        </w:rPr>
      </w:pPr>
      <w:r>
        <w:rPr>
          <w:rFonts w:hint="eastAsia" w:ascii="楷体_GB2312" w:eastAsia="楷体_GB2312"/>
          <w:sz w:val="32"/>
          <w:szCs w:val="32"/>
          <w:lang w:val="zh-CN"/>
        </w:rPr>
        <w:t>4.行政运转。</w:t>
      </w:r>
      <w:r>
        <w:rPr>
          <w:rFonts w:hint="eastAsia" w:eastAsia="仿宋_GB2312"/>
          <w:sz w:val="32"/>
          <w:szCs w:val="32"/>
          <w:lang w:val="zh-CN"/>
        </w:rPr>
        <w:t>围绕用途合规性、程序合规性、标准合规性进行绩效分析。</w:t>
      </w:r>
    </w:p>
    <w:p w14:paraId="0C1DC88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val="zh-CN"/>
        </w:rPr>
      </w:pPr>
      <w:bookmarkStart w:id="129" w:name="_Toc12881"/>
      <w:bookmarkStart w:id="130" w:name="_Toc40"/>
      <w:r>
        <w:rPr>
          <w:rFonts w:hint="eastAsia" w:ascii="楷体_GB2312" w:eastAsia="楷体_GB2312"/>
          <w:b/>
          <w:sz w:val="32"/>
          <w:szCs w:val="32"/>
          <w:lang w:val="zh-CN"/>
        </w:rPr>
        <w:t>（三）个性指标绩效分析。</w:t>
      </w:r>
      <w:bookmarkEnd w:id="129"/>
      <w:bookmarkEnd w:id="130"/>
    </w:p>
    <w:p w14:paraId="65FC9F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olor w:val="auto"/>
          <w:sz w:val="32"/>
          <w:szCs w:val="24"/>
          <w:highlight w:val="none"/>
          <w:lang w:val="zh-CN"/>
        </w:rPr>
      </w:pPr>
      <w:r>
        <w:rPr>
          <w:rFonts w:hint="eastAsia" w:ascii="仿宋_GB2312" w:hAnsi="仿宋_GB2312" w:eastAsia="仿宋_GB2312" w:cs="仿宋_GB2312"/>
          <w:sz w:val="32"/>
          <w:szCs w:val="32"/>
          <w:lang w:val="en-US" w:eastAsia="zh-CN"/>
        </w:rPr>
        <w:t>截止2023年12月，项目资金已全部按照既定目标拨付到位，共计260万元，执行进度达100%，按时按质实现了既定目标，圆满</w:t>
      </w:r>
      <w:r>
        <w:rPr>
          <w:rFonts w:hint="eastAsia" w:ascii="仿宋_GB2312" w:hAnsi="仿宋_GB2312" w:eastAsia="仿宋_GB2312"/>
          <w:color w:val="auto"/>
          <w:sz w:val="32"/>
          <w:szCs w:val="24"/>
          <w:highlight w:val="none"/>
          <w:lang w:val="en-US" w:eastAsia="zh-CN"/>
        </w:rPr>
        <w:t>完成了2023年新盛镇综合业务工作，</w:t>
      </w:r>
      <w:r>
        <w:rPr>
          <w:rFonts w:hint="eastAsia" w:ascii="仿宋_GB2312" w:hAnsi="仿宋_GB2312" w:eastAsia="仿宋_GB2312" w:cs="仿宋_GB2312"/>
          <w:sz w:val="32"/>
          <w:szCs w:val="32"/>
          <w:lang w:val="en-US" w:eastAsia="zh-CN"/>
        </w:rPr>
        <w:t>具有良好的社会效益，</w:t>
      </w:r>
      <w:r>
        <w:rPr>
          <w:rFonts w:hint="eastAsia" w:ascii="仿宋_GB2312" w:hAnsi="仿宋_GB2312" w:eastAsia="仿宋_GB2312"/>
          <w:color w:val="auto"/>
          <w:sz w:val="32"/>
          <w:szCs w:val="24"/>
          <w:highlight w:val="none"/>
          <w:lang w:val="zh-CN"/>
        </w:rPr>
        <w:t>群众满意度高于90%。</w:t>
      </w:r>
    </w:p>
    <w:p w14:paraId="3559E4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lang w:val="zh-CN"/>
        </w:rPr>
      </w:pPr>
      <w:bookmarkStart w:id="131" w:name="_Toc4747"/>
      <w:bookmarkStart w:id="132" w:name="_Toc20715"/>
      <w:r>
        <w:rPr>
          <w:rFonts w:hint="eastAsia" w:ascii="黑体" w:hAnsi="黑体" w:eastAsia="黑体"/>
          <w:sz w:val="32"/>
          <w:szCs w:val="32"/>
          <w:lang w:val="zh-CN"/>
        </w:rPr>
        <w:t>四、评价结论</w:t>
      </w:r>
      <w:bookmarkEnd w:id="131"/>
      <w:bookmarkEnd w:id="132"/>
    </w:p>
    <w:p w14:paraId="57331605">
      <w:pPr>
        <w:keepNext w:val="0"/>
        <w:keepLines w:val="0"/>
        <w:pageBreakBefore w:val="0"/>
        <w:widowControl w:val="0"/>
        <w:kinsoku/>
        <w:wordWrap/>
        <w:overflowPunct/>
        <w:topLinePunct/>
        <w:autoSpaceDE/>
        <w:autoSpaceDN/>
        <w:bidi w:val="0"/>
        <w:adjustRightInd w:val="0"/>
        <w:snapToGrid/>
        <w:spacing w:beforeLines="0" w:afterLines="0" w:line="540" w:lineRule="exact"/>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olor w:val="auto"/>
          <w:sz w:val="32"/>
          <w:szCs w:val="24"/>
          <w:lang w:val="zh-CN"/>
        </w:rPr>
        <w:t>项目阶段性完成的数量指标、质量指标、时效指标、成本指标、社会效益指标、可持续影响指标以及满意度指标等情况均完成预期目标，相关指标正常合理，与预期目标契合程度高，无偏离预期目标情况。</w:t>
      </w:r>
      <w:r>
        <w:rPr>
          <w:rFonts w:hint="eastAsia" w:ascii="仿宋_GB2312" w:hAnsi="仿宋_GB2312" w:eastAsia="仿宋_GB2312" w:cs="仿宋_GB2312"/>
          <w:sz w:val="32"/>
          <w:szCs w:val="32"/>
          <w:lang w:val="en-US" w:eastAsia="zh-CN"/>
        </w:rPr>
        <w:t>绩效</w:t>
      </w:r>
      <w:r>
        <w:rPr>
          <w:rFonts w:hint="eastAsia" w:ascii="仿宋_GB2312" w:hAnsi="仿宋_GB2312" w:eastAsia="仿宋_GB2312" w:cs="仿宋_GB2312"/>
          <w:sz w:val="32"/>
          <w:szCs w:val="32"/>
          <w:lang w:val="zh-CN" w:eastAsia="zh-CN"/>
        </w:rPr>
        <w:t>自评得分</w:t>
      </w:r>
      <w:r>
        <w:rPr>
          <w:rFonts w:hint="eastAsia" w:ascii="仿宋_GB2312" w:hAnsi="仿宋_GB2312" w:eastAsia="仿宋_GB2312" w:cs="仿宋_GB2312"/>
          <w:sz w:val="32"/>
          <w:szCs w:val="32"/>
          <w:highlight w:val="none"/>
          <w:lang w:val="zh-CN" w:eastAsia="zh-CN"/>
        </w:rPr>
        <w:t>9</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lang w:val="zh-CN" w:eastAsia="zh-CN"/>
        </w:rPr>
        <w:t>，预算执行情况好。</w:t>
      </w:r>
    </w:p>
    <w:p w14:paraId="6F179C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lang w:val="zh-CN"/>
        </w:rPr>
      </w:pPr>
      <w:bookmarkStart w:id="133" w:name="_Toc29024"/>
      <w:bookmarkStart w:id="134" w:name="_Toc18553"/>
      <w:r>
        <w:rPr>
          <w:rFonts w:hint="eastAsia" w:ascii="黑体" w:hAnsi="黑体" w:eastAsia="黑体"/>
          <w:sz w:val="32"/>
          <w:szCs w:val="32"/>
          <w:lang w:val="zh-CN"/>
        </w:rPr>
        <w:t>五、存在主要问题</w:t>
      </w:r>
      <w:bookmarkEnd w:id="133"/>
      <w:bookmarkEnd w:id="134"/>
    </w:p>
    <w:p w14:paraId="643716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无。</w:t>
      </w:r>
    </w:p>
    <w:p w14:paraId="224DE7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lang w:val="zh-CN"/>
        </w:rPr>
      </w:pPr>
      <w:bookmarkStart w:id="135" w:name="_Toc23796"/>
      <w:r>
        <w:rPr>
          <w:rFonts w:hint="eastAsia" w:ascii="黑体" w:hAnsi="黑体" w:eastAsia="黑体"/>
          <w:sz w:val="32"/>
          <w:szCs w:val="32"/>
          <w:lang w:val="zh-CN"/>
        </w:rPr>
        <w:t>六、改进建议</w:t>
      </w:r>
      <w:bookmarkEnd w:id="135"/>
    </w:p>
    <w:p w14:paraId="74D62E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无。</w:t>
      </w:r>
    </w:p>
    <w:p w14:paraId="7D6D318E">
      <w:pPr>
        <w:keepNext w:val="0"/>
        <w:keepLines w:val="0"/>
        <w:pageBreakBefore w:val="0"/>
        <w:widowControl w:val="0"/>
        <w:kinsoku/>
        <w:wordWrap/>
        <w:overflowPunct/>
        <w:topLinePunct/>
        <w:autoSpaceDE/>
        <w:autoSpaceDN/>
        <w:bidi w:val="0"/>
        <w:spacing w:beforeLines="0" w:afterLines="0" w:line="578" w:lineRule="exact"/>
        <w:ind w:firstLine="880" w:firstLineChars="200"/>
        <w:jc w:val="center"/>
        <w:rPr>
          <w:rFonts w:hint="eastAsia" w:ascii="黑体" w:hAnsi="黑体" w:eastAsia="黑体"/>
          <w:color w:val="auto"/>
          <w:kern w:val="44"/>
          <w:sz w:val="44"/>
          <w:szCs w:val="24"/>
          <w:lang w:val="en-US"/>
        </w:rPr>
      </w:pPr>
      <w:r>
        <w:rPr>
          <w:rFonts w:hint="eastAsia" w:ascii="黑体" w:hAnsi="黑体" w:eastAsia="黑体"/>
          <w:color w:val="auto"/>
          <w:kern w:val="44"/>
          <w:sz w:val="44"/>
          <w:szCs w:val="24"/>
          <w:lang w:val="en-US"/>
        </w:rPr>
        <w:br w:type="page"/>
      </w:r>
    </w:p>
    <w:p w14:paraId="2F83E2E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Times New Roman"/>
          <w:sz w:val="44"/>
          <w:szCs w:val="44"/>
          <w:highlight w:val="none"/>
          <w:lang w:val="en-US" w:eastAsia="zh-CN"/>
        </w:rPr>
      </w:pPr>
      <w:bookmarkStart w:id="136" w:name="_Toc24915"/>
      <w:bookmarkStart w:id="137" w:name="_Toc3565"/>
      <w:r>
        <w:rPr>
          <w:rFonts w:hint="eastAsia" w:ascii="方正小标宋简体" w:hAnsi="方正小标宋简体" w:eastAsia="方正小标宋简体" w:cs="Times New Roman"/>
          <w:sz w:val="44"/>
          <w:szCs w:val="44"/>
          <w:highlight w:val="none"/>
          <w:lang w:val="en-US" w:eastAsia="zh-CN"/>
        </w:rPr>
        <w:t>国有企业退休人员社会化管理中省补助</w:t>
      </w:r>
      <w:bookmarkEnd w:id="136"/>
      <w:bookmarkEnd w:id="137"/>
      <w:bookmarkStart w:id="138" w:name="_Toc23799"/>
      <w:bookmarkStart w:id="139" w:name="_Toc20155"/>
    </w:p>
    <w:p w14:paraId="74C9A45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Times New Roman"/>
          <w:sz w:val="44"/>
          <w:szCs w:val="44"/>
          <w:highlight w:val="none"/>
          <w:lang w:val="zh-CN" w:eastAsia="zh-CN"/>
        </w:rPr>
      </w:pPr>
      <w:r>
        <w:rPr>
          <w:rFonts w:hint="eastAsia" w:ascii="方正小标宋简体" w:hAnsi="方正小标宋简体" w:eastAsia="方正小标宋简体" w:cs="Times New Roman"/>
          <w:sz w:val="44"/>
          <w:szCs w:val="44"/>
          <w:highlight w:val="none"/>
          <w:lang w:val="en-US" w:eastAsia="zh-CN"/>
        </w:rPr>
        <w:t>资金项目2023年</w:t>
      </w:r>
      <w:r>
        <w:rPr>
          <w:rFonts w:hint="eastAsia" w:ascii="方正小标宋简体" w:hAnsi="方正小标宋简体" w:eastAsia="方正小标宋简体" w:cs="Times New Roman"/>
          <w:sz w:val="44"/>
          <w:szCs w:val="44"/>
          <w:highlight w:val="none"/>
          <w:lang w:val="zh-CN" w:eastAsia="zh-CN"/>
        </w:rPr>
        <w:t>绩效评价报告</w:t>
      </w:r>
      <w:bookmarkEnd w:id="138"/>
      <w:bookmarkEnd w:id="139"/>
    </w:p>
    <w:p w14:paraId="4236A822">
      <w:pPr>
        <w:pageBreakBefore w:val="0"/>
        <w:kinsoku/>
        <w:wordWrap/>
        <w:overflowPunct/>
        <w:bidi w:val="0"/>
        <w:ind w:firstLine="640" w:firstLineChars="200"/>
        <w:rPr>
          <w:rFonts w:eastAsia="仿宋_GB2312"/>
          <w:sz w:val="32"/>
          <w:szCs w:val="32"/>
          <w:highlight w:val="none"/>
          <w:lang w:val="zh-CN"/>
        </w:rPr>
      </w:pPr>
    </w:p>
    <w:p w14:paraId="3BCC5AB1">
      <w:pPr>
        <w:pageBreakBefore w:val="0"/>
        <w:kinsoku/>
        <w:wordWrap/>
        <w:overflowPunct/>
        <w:bidi w:val="0"/>
        <w:ind w:firstLine="640" w:firstLineChars="200"/>
        <w:outlineLvl w:val="1"/>
        <w:rPr>
          <w:rFonts w:ascii="黑体" w:hAnsi="黑体" w:eastAsia="黑体"/>
          <w:sz w:val="32"/>
          <w:szCs w:val="32"/>
          <w:highlight w:val="none"/>
          <w:lang w:val="zh-CN"/>
        </w:rPr>
      </w:pPr>
      <w:bookmarkStart w:id="140" w:name="_Toc12318"/>
      <w:bookmarkStart w:id="141" w:name="_Toc16706"/>
      <w:bookmarkStart w:id="142" w:name="_Toc10685"/>
      <w:r>
        <w:rPr>
          <w:rFonts w:hint="eastAsia" w:ascii="黑体" w:hAnsi="黑体" w:eastAsia="黑体"/>
          <w:sz w:val="32"/>
          <w:szCs w:val="32"/>
          <w:highlight w:val="none"/>
          <w:lang w:val="zh-CN"/>
        </w:rPr>
        <w:t>一、项目概况</w:t>
      </w:r>
      <w:bookmarkEnd w:id="140"/>
      <w:bookmarkEnd w:id="141"/>
      <w:bookmarkEnd w:id="142"/>
    </w:p>
    <w:p w14:paraId="1E315ED2">
      <w:pPr>
        <w:pageBreakBefore w:val="0"/>
        <w:kinsoku/>
        <w:wordWrap/>
        <w:overflowPunct/>
        <w:bidi w:val="0"/>
        <w:adjustRightInd w:val="0"/>
        <w:snapToGrid w:val="0"/>
        <w:spacing w:line="560" w:lineRule="exact"/>
        <w:ind w:firstLine="643" w:firstLineChars="200"/>
        <w:rPr>
          <w:rFonts w:hint="eastAsia" w:ascii="楷体_GB2312" w:eastAsia="楷体_GB2312"/>
          <w:b/>
          <w:sz w:val="32"/>
          <w:szCs w:val="32"/>
          <w:highlight w:val="none"/>
          <w:lang w:val="zh-CN"/>
        </w:rPr>
      </w:pPr>
      <w:r>
        <w:rPr>
          <w:rFonts w:hint="eastAsia" w:ascii="楷体_GB2312" w:eastAsia="楷体_GB2312"/>
          <w:b/>
          <w:sz w:val="32"/>
          <w:szCs w:val="32"/>
          <w:highlight w:val="none"/>
          <w:lang w:val="zh-CN"/>
        </w:rPr>
        <w:t>（一）设立背景及基本情况。</w:t>
      </w:r>
    </w:p>
    <w:p w14:paraId="47BEADC9">
      <w:pPr>
        <w:pageBreakBefore w:val="0"/>
        <w:kinsoku/>
        <w:wordWrap/>
        <w:overflowPunct/>
        <w:bidi w:val="0"/>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该项目为市级财政支持项目，主要解决辖区内各村社区国有企业退休人员社会化管理补助，由我镇根据辖区实际，统一拨付至村社区账户，由村社区根据实际兑付，保障辖区内国有企业退休人员实施社会化管理基本生活水平。</w:t>
      </w:r>
    </w:p>
    <w:p w14:paraId="01B95FE8">
      <w:pPr>
        <w:pageBreakBefore w:val="0"/>
        <w:kinsoku/>
        <w:wordWrap/>
        <w:overflowPunct/>
        <w:bidi w:val="0"/>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2.立项依据是辖区内实际安置的国有企业退休人员人数，经市级管理部门核定。</w:t>
      </w:r>
    </w:p>
    <w:p w14:paraId="5B380B37">
      <w:pPr>
        <w:pageBreakBefore w:val="0"/>
        <w:kinsoku/>
        <w:wordWrap/>
        <w:overflowPunct/>
        <w:bidi w:val="0"/>
        <w:adjustRightInd w:val="0"/>
        <w:snapToGrid w:val="0"/>
        <w:spacing w:line="560" w:lineRule="exact"/>
        <w:ind w:firstLine="640" w:firstLineChars="200"/>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zh-CN" w:eastAsia="zh-CN"/>
        </w:rPr>
        <w:t>项目资金支出严格按照财务管理规定，每笔开支符合财务制度的要求支付，按机关经费管理规定执行，严格按程序审批，做到每笔有方案和批示，厉行节约，不该开支的费用不予列支。</w:t>
      </w:r>
    </w:p>
    <w:p w14:paraId="2A4102A4">
      <w:pPr>
        <w:pageBreakBefore w:val="0"/>
        <w:kinsoku/>
        <w:wordWrap/>
        <w:overflowPunct/>
        <w:bidi w:val="0"/>
        <w:adjustRightInd w:val="0"/>
        <w:snapToGrid w:val="0"/>
        <w:spacing w:line="560" w:lineRule="exact"/>
        <w:ind w:firstLine="640" w:firstLineChars="200"/>
        <w:rPr>
          <w:rFonts w:eastAsia="仿宋_GB2312"/>
          <w:sz w:val="32"/>
          <w:szCs w:val="32"/>
          <w:highlight w:val="none"/>
          <w:lang w:val="zh-CN"/>
        </w:rPr>
      </w:pPr>
      <w:r>
        <w:rPr>
          <w:rFonts w:hint="eastAsia" w:ascii="仿宋_GB2312" w:hAnsi="仿宋_GB2312" w:eastAsia="仿宋_GB2312" w:cs="仿宋_GB2312"/>
          <w:sz w:val="32"/>
          <w:szCs w:val="32"/>
          <w:highlight w:val="none"/>
          <w:lang w:val="en-US" w:eastAsia="zh-CN"/>
        </w:rPr>
        <w:t>4.资金支付由我镇根据资金支付计划，根据域内实际安置人数及相关文件规定标准向区财政申请后</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统一拨付至村社区账户，由村社根据实际兑付给相关安置人员。</w:t>
      </w:r>
    </w:p>
    <w:p w14:paraId="556963DD">
      <w:pPr>
        <w:pageBreakBefore w:val="0"/>
        <w:kinsoku/>
        <w:wordWrap/>
        <w:overflowPunct/>
        <w:bidi w:val="0"/>
        <w:adjustRightInd w:val="0"/>
        <w:snapToGrid w:val="0"/>
        <w:spacing w:line="560" w:lineRule="exact"/>
        <w:ind w:firstLine="643" w:firstLineChars="200"/>
        <w:rPr>
          <w:rFonts w:hint="eastAsia" w:ascii="楷体_GB2312" w:eastAsia="楷体_GB2312"/>
          <w:b/>
          <w:sz w:val="32"/>
          <w:szCs w:val="32"/>
          <w:highlight w:val="none"/>
          <w:lang w:val="zh-CN"/>
        </w:rPr>
      </w:pPr>
      <w:r>
        <w:rPr>
          <w:rFonts w:hint="eastAsia" w:ascii="楷体_GB2312" w:eastAsia="楷体_GB2312"/>
          <w:b/>
          <w:sz w:val="32"/>
          <w:szCs w:val="32"/>
          <w:highlight w:val="none"/>
          <w:lang w:val="zh-CN"/>
        </w:rPr>
        <w:t>（二）实施目的及支持方向。</w:t>
      </w:r>
    </w:p>
    <w:p w14:paraId="7E277D95">
      <w:pPr>
        <w:pageBreakBefore w:val="0"/>
        <w:kinsoku/>
        <w:wordWrap/>
        <w:overflowPunct/>
        <w:bidi w:val="0"/>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按照市、区财政安排，及时完成辖区内第一、二批国有企业社会化管理资金兑付，切实落实国有企业退休人员社会化管理，保障社会稳定。</w:t>
      </w:r>
    </w:p>
    <w:p w14:paraId="1AF10696">
      <w:pPr>
        <w:pageBreakBefore w:val="0"/>
        <w:kinsoku/>
        <w:wordWrap/>
        <w:overflowPunct/>
        <w:bidi w:val="0"/>
        <w:adjustRightInd w:val="0"/>
        <w:snapToGrid w:val="0"/>
        <w:spacing w:line="560" w:lineRule="exact"/>
        <w:ind w:firstLine="643" w:firstLineChars="200"/>
        <w:rPr>
          <w:rFonts w:hint="eastAsia" w:ascii="楷体_GB2312" w:eastAsia="楷体_GB2312"/>
          <w:b/>
          <w:sz w:val="32"/>
          <w:szCs w:val="32"/>
          <w:highlight w:val="none"/>
          <w:lang w:val="zh-CN"/>
        </w:rPr>
      </w:pPr>
      <w:r>
        <w:rPr>
          <w:rFonts w:hint="eastAsia" w:ascii="楷体_GB2312" w:eastAsia="楷体_GB2312"/>
          <w:b/>
          <w:sz w:val="32"/>
          <w:szCs w:val="32"/>
          <w:highlight w:val="none"/>
          <w:lang w:val="zh-CN"/>
        </w:rPr>
        <w:t>（三）预算安排及分配管理。</w:t>
      </w:r>
    </w:p>
    <w:p w14:paraId="0C1D2455">
      <w:pPr>
        <w:pageBreakBefore w:val="0"/>
        <w:kinsoku/>
        <w:wordWrap/>
        <w:overflowPunct/>
        <w:bidi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1.资金计划情况。该项目</w:t>
      </w:r>
      <w:r>
        <w:rPr>
          <w:rFonts w:hint="eastAsia" w:ascii="仿宋_GB2312" w:hAnsi="仿宋_GB2312" w:eastAsia="仿宋_GB2312" w:cs="仿宋_GB2312"/>
          <w:sz w:val="32"/>
          <w:szCs w:val="32"/>
          <w:highlight w:val="none"/>
          <w:lang w:eastAsia="zh-CN"/>
        </w:rPr>
        <w:t>资金系市级项目</w:t>
      </w:r>
      <w:r>
        <w:rPr>
          <w:rFonts w:hint="eastAsia" w:ascii="仿宋_GB2312" w:hAnsi="仿宋_GB2312" w:eastAsia="仿宋_GB2312" w:cs="仿宋_GB2312"/>
          <w:sz w:val="32"/>
          <w:szCs w:val="32"/>
          <w:highlight w:val="none"/>
        </w:rPr>
        <w:t>财政预算</w:t>
      </w:r>
      <w:r>
        <w:rPr>
          <w:rFonts w:hint="eastAsia" w:ascii="仿宋_GB2312" w:hAnsi="仿宋_GB2312" w:eastAsia="仿宋_GB2312" w:cs="仿宋_GB2312"/>
          <w:sz w:val="32"/>
          <w:szCs w:val="32"/>
          <w:highlight w:val="none"/>
          <w:lang w:eastAsia="zh-CN"/>
        </w:rPr>
        <w:t>资金，</w:t>
      </w:r>
      <w:r>
        <w:rPr>
          <w:rFonts w:hint="eastAsia" w:ascii="仿宋_GB2312" w:hAnsi="仿宋_GB2312" w:eastAsia="仿宋_GB2312" w:cs="仿宋_GB2312"/>
          <w:sz w:val="32"/>
          <w:szCs w:val="32"/>
          <w:highlight w:val="none"/>
        </w:rPr>
        <w:t>计划</w:t>
      </w:r>
      <w:r>
        <w:rPr>
          <w:rFonts w:hint="eastAsia" w:ascii="仿宋_GB2312" w:hAnsi="仿宋_GB2312" w:eastAsia="仿宋_GB2312" w:cs="仿宋_GB2312"/>
          <w:sz w:val="32"/>
          <w:szCs w:val="32"/>
          <w:highlight w:val="none"/>
          <w:lang w:eastAsia="zh-CN"/>
        </w:rPr>
        <w:t>按照区财政局要求，按照项目资金使用流程</w:t>
      </w:r>
      <w:r>
        <w:rPr>
          <w:rFonts w:hint="eastAsia" w:ascii="仿宋_GB2312" w:hAnsi="仿宋_GB2312" w:eastAsia="仿宋_GB2312" w:cs="仿宋_GB2312"/>
          <w:sz w:val="32"/>
          <w:szCs w:val="32"/>
          <w:highlight w:val="none"/>
        </w:rPr>
        <w:t>申请使用财政预算资金兑付，兑付资金共计</w:t>
      </w:r>
      <w:r>
        <w:rPr>
          <w:rFonts w:hint="eastAsia" w:ascii="仿宋_GB2312" w:hAnsi="仿宋_GB2312" w:eastAsia="仿宋_GB2312" w:cs="仿宋_GB2312"/>
          <w:sz w:val="32"/>
          <w:szCs w:val="32"/>
          <w:highlight w:val="none"/>
          <w:lang w:val="en-US" w:eastAsia="zh-CN"/>
        </w:rPr>
        <w:t>0.04</w:t>
      </w:r>
      <w:r>
        <w:rPr>
          <w:rFonts w:hint="eastAsia" w:ascii="仿宋_GB2312" w:hAnsi="仿宋_GB2312" w:eastAsia="仿宋_GB2312" w:cs="仿宋_GB2312"/>
          <w:sz w:val="32"/>
          <w:szCs w:val="32"/>
          <w:highlight w:val="none"/>
        </w:rPr>
        <w:t>万元。</w:t>
      </w:r>
    </w:p>
    <w:p w14:paraId="497E57AF">
      <w:pPr>
        <w:pageBreakBefore w:val="0"/>
        <w:kinsoku/>
        <w:wordWrap/>
        <w:overflowPunct/>
        <w:bidi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2.资金到位情况。截止202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年12月，该项目资金已在财政预算平台中全部到位，到位率高、到位及时。</w:t>
      </w:r>
    </w:p>
    <w:p w14:paraId="48C61B2C">
      <w:pPr>
        <w:pageBreakBefore w:val="0"/>
        <w:kinsoku/>
        <w:wordWrap/>
        <w:overflowPunct/>
        <w:bidi w:val="0"/>
        <w:adjustRightInd w:val="0"/>
        <w:snapToGrid w:val="0"/>
        <w:spacing w:line="560" w:lineRule="exact"/>
        <w:ind w:firstLine="640" w:firstLineChars="200"/>
        <w:rPr>
          <w:rFonts w:eastAsia="仿宋_GB2312"/>
          <w:sz w:val="32"/>
          <w:szCs w:val="32"/>
          <w:highlight w:val="none"/>
          <w:lang w:val="zh-CN"/>
        </w:rPr>
      </w:pPr>
      <w:r>
        <w:rPr>
          <w:rFonts w:hint="eastAsia" w:ascii="仿宋_GB2312" w:hAnsi="仿宋_GB2312" w:eastAsia="仿宋_GB2312" w:cs="仿宋_GB2312"/>
          <w:sz w:val="32"/>
          <w:szCs w:val="32"/>
          <w:highlight w:val="none"/>
        </w:rPr>
        <w:t>3.资金使用情况。截止202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年12月，该项目资金</w:t>
      </w:r>
      <w:r>
        <w:rPr>
          <w:rFonts w:hint="eastAsia" w:ascii="仿宋_GB2312" w:hAnsi="仿宋_GB2312" w:eastAsia="仿宋_GB2312" w:cs="仿宋_GB2312"/>
          <w:sz w:val="32"/>
          <w:szCs w:val="32"/>
          <w:highlight w:val="none"/>
          <w:lang w:eastAsia="zh-CN"/>
        </w:rPr>
        <w:t>已通过审核并全部</w:t>
      </w:r>
      <w:r>
        <w:rPr>
          <w:rFonts w:hint="eastAsia" w:ascii="仿宋_GB2312" w:hAnsi="仿宋_GB2312" w:eastAsia="仿宋_GB2312" w:cs="仿宋_GB2312"/>
          <w:sz w:val="32"/>
          <w:szCs w:val="32"/>
          <w:highlight w:val="none"/>
        </w:rPr>
        <w:t>兑付到位，支付范围、支付标准、支付进度、支付依据合规合法、与预算相符。</w:t>
      </w:r>
    </w:p>
    <w:p w14:paraId="045D1666">
      <w:pPr>
        <w:pageBreakBefore w:val="0"/>
        <w:numPr>
          <w:ilvl w:val="0"/>
          <w:numId w:val="0"/>
        </w:numPr>
        <w:kinsoku/>
        <w:wordWrap/>
        <w:overflowPunct/>
        <w:bidi w:val="0"/>
        <w:adjustRightInd w:val="0"/>
        <w:snapToGrid w:val="0"/>
        <w:spacing w:line="560" w:lineRule="exact"/>
        <w:ind w:firstLine="643" w:firstLineChars="200"/>
        <w:rPr>
          <w:rFonts w:hint="eastAsia" w:ascii="楷体_GB2312" w:eastAsia="楷体_GB2312"/>
          <w:b/>
          <w:sz w:val="32"/>
          <w:szCs w:val="32"/>
          <w:highlight w:val="none"/>
          <w:lang w:val="zh-CN"/>
        </w:rPr>
      </w:pPr>
      <w:r>
        <w:rPr>
          <w:rFonts w:hint="eastAsia" w:ascii="楷体_GB2312" w:eastAsia="楷体_GB2312"/>
          <w:b/>
          <w:sz w:val="32"/>
          <w:szCs w:val="32"/>
          <w:highlight w:val="none"/>
          <w:lang w:val="zh-CN"/>
        </w:rPr>
        <w:t>（四）项目绩效目标设置。</w:t>
      </w:r>
    </w:p>
    <w:p w14:paraId="1A2D1553">
      <w:pPr>
        <w:pageBreakBefore w:val="0"/>
        <w:numPr>
          <w:ilvl w:val="0"/>
          <w:numId w:val="0"/>
        </w:numPr>
        <w:kinsoku/>
        <w:wordWrap/>
        <w:overflowPunct/>
        <w:bidi w:val="0"/>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1.项目实现的具体目标是保障辖区内国有企业退休人员基本生活水平。</w:t>
      </w:r>
    </w:p>
    <w:p w14:paraId="7D6DDE6D">
      <w:pPr>
        <w:pageBreakBefore w:val="0"/>
        <w:kinsoku/>
        <w:wordWrap/>
        <w:overflowPunct/>
        <w:bidi w:val="0"/>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2.按照实际安置人数予以申报，申报与实际相符，申报目标合理可行。</w:t>
      </w:r>
    </w:p>
    <w:p w14:paraId="3417A290">
      <w:pPr>
        <w:pageBreakBefore w:val="0"/>
        <w:kinsoku/>
        <w:wordWrap/>
        <w:overflowPunct/>
        <w:bidi w:val="0"/>
        <w:spacing w:line="220" w:lineRule="auto"/>
        <w:ind w:left="3" w:firstLine="640" w:firstLineChars="200"/>
        <w:rPr>
          <w:rFonts w:eastAsia="仿宋_GB2312"/>
          <w:sz w:val="32"/>
          <w:szCs w:val="32"/>
          <w:highlight w:val="none"/>
          <w:lang w:val="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项目自评工作有序开展。</w:t>
      </w:r>
      <w:r>
        <w:rPr>
          <w:rFonts w:hint="eastAsia" w:ascii="仿宋_GB2312" w:hAnsi="仿宋_GB2312" w:eastAsia="仿宋_GB2312" w:cs="仿宋_GB2312"/>
          <w:sz w:val="32"/>
          <w:szCs w:val="32"/>
          <w:highlight w:val="none"/>
          <w:lang w:eastAsia="zh-CN"/>
        </w:rPr>
        <w:t>由业务股室提供相关佐证资料，详细评价项目资料申报情况；</w:t>
      </w: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eastAsia="zh-CN"/>
        </w:rPr>
        <w:t>财政资金</w:t>
      </w:r>
      <w:r>
        <w:rPr>
          <w:rFonts w:hint="eastAsia" w:ascii="仿宋_GB2312" w:hAnsi="仿宋_GB2312" w:eastAsia="仿宋_GB2312" w:cs="仿宋_GB2312"/>
          <w:sz w:val="32"/>
          <w:szCs w:val="32"/>
          <w:highlight w:val="none"/>
          <w:lang w:val="en-US" w:eastAsia="zh-CN"/>
        </w:rPr>
        <w:t>下</w:t>
      </w:r>
      <w:r>
        <w:rPr>
          <w:rFonts w:hint="eastAsia" w:ascii="仿宋_GB2312" w:hAnsi="仿宋_GB2312" w:eastAsia="仿宋_GB2312" w:cs="仿宋_GB2312"/>
          <w:sz w:val="32"/>
          <w:szCs w:val="32"/>
          <w:highlight w:val="none"/>
          <w:lang w:eastAsia="zh-CN"/>
        </w:rPr>
        <w:t>达</w:t>
      </w:r>
      <w:r>
        <w:rPr>
          <w:rFonts w:hint="eastAsia" w:ascii="仿宋_GB2312" w:hAnsi="仿宋_GB2312" w:eastAsia="仿宋_GB2312" w:cs="仿宋_GB2312"/>
          <w:sz w:val="32"/>
          <w:szCs w:val="32"/>
          <w:highlight w:val="none"/>
        </w:rPr>
        <w:t>时间审定资金到位使用情况；评定项目单位财务管理情况；评定项目整体绩效。</w:t>
      </w:r>
    </w:p>
    <w:p w14:paraId="3CF7D760">
      <w:pPr>
        <w:pageBreakBefore w:val="0"/>
        <w:kinsoku/>
        <w:wordWrap/>
        <w:overflowPunct/>
        <w:bidi w:val="0"/>
        <w:ind w:firstLine="640" w:firstLineChars="200"/>
        <w:outlineLvl w:val="1"/>
        <w:rPr>
          <w:rFonts w:ascii="黑体" w:hAnsi="黑体" w:eastAsia="黑体"/>
          <w:sz w:val="32"/>
          <w:szCs w:val="32"/>
          <w:highlight w:val="none"/>
          <w:lang w:val="zh-CN"/>
        </w:rPr>
      </w:pPr>
      <w:bookmarkStart w:id="143" w:name="_Toc23166"/>
      <w:bookmarkStart w:id="144" w:name="_Toc5452"/>
      <w:bookmarkStart w:id="145" w:name="_Toc25441"/>
      <w:r>
        <w:rPr>
          <w:rFonts w:hint="eastAsia" w:ascii="黑体" w:hAnsi="黑体" w:eastAsia="黑体"/>
          <w:sz w:val="32"/>
          <w:szCs w:val="32"/>
          <w:highlight w:val="none"/>
          <w:lang w:val="zh-CN"/>
        </w:rPr>
        <w:t>二、评价实施</w:t>
      </w:r>
      <w:bookmarkEnd w:id="143"/>
      <w:bookmarkEnd w:id="144"/>
      <w:bookmarkEnd w:id="145"/>
    </w:p>
    <w:p w14:paraId="45F47B5F">
      <w:pPr>
        <w:pageBreakBefore w:val="0"/>
        <w:kinsoku/>
        <w:wordWrap/>
        <w:overflowPunct/>
        <w:bidi w:val="0"/>
        <w:ind w:firstLine="643" w:firstLineChars="200"/>
        <w:rPr>
          <w:rFonts w:eastAsia="仿宋_GB2312"/>
          <w:sz w:val="32"/>
          <w:szCs w:val="32"/>
          <w:highlight w:val="none"/>
          <w:lang w:val="zh-CN"/>
        </w:rPr>
      </w:pPr>
      <w:r>
        <w:rPr>
          <w:rFonts w:hint="eastAsia" w:ascii="楷体_GB2312" w:eastAsia="楷体_GB2312"/>
          <w:b/>
          <w:sz w:val="32"/>
          <w:szCs w:val="32"/>
          <w:highlight w:val="none"/>
          <w:lang w:val="zh-CN"/>
        </w:rPr>
        <w:t>（一）评价目的。</w:t>
      </w:r>
      <w:r>
        <w:rPr>
          <w:rFonts w:hint="eastAsia" w:eastAsia="仿宋_GB2312"/>
          <w:sz w:val="32"/>
          <w:szCs w:val="32"/>
          <w:highlight w:val="none"/>
          <w:lang w:val="zh-CN"/>
        </w:rPr>
        <w:t>完成辖区内国有企业退休人员社会化管理补助经费兑付，保障辖区稳定。</w:t>
      </w:r>
    </w:p>
    <w:p w14:paraId="48CAC607">
      <w:pPr>
        <w:pageBreakBefore w:val="0"/>
        <w:kinsoku/>
        <w:wordWrap/>
        <w:overflowPunct/>
        <w:bidi w:val="0"/>
        <w:ind w:firstLine="643" w:firstLineChars="200"/>
        <w:rPr>
          <w:rFonts w:eastAsia="仿宋_GB2312"/>
          <w:sz w:val="32"/>
          <w:szCs w:val="32"/>
          <w:highlight w:val="none"/>
          <w:lang w:val="zh-CN"/>
        </w:rPr>
      </w:pPr>
      <w:r>
        <w:rPr>
          <w:rFonts w:hint="eastAsia" w:ascii="楷体_GB2312" w:eastAsia="楷体_GB2312"/>
          <w:b/>
          <w:sz w:val="32"/>
          <w:szCs w:val="32"/>
          <w:highlight w:val="none"/>
          <w:lang w:val="zh-CN"/>
        </w:rPr>
        <w:t>（二）预设问题及评价重点。</w:t>
      </w:r>
      <w:r>
        <w:rPr>
          <w:rFonts w:hint="eastAsia" w:eastAsia="仿宋_GB2312"/>
          <w:sz w:val="32"/>
          <w:szCs w:val="32"/>
          <w:highlight w:val="none"/>
          <w:lang w:val="zh-CN"/>
        </w:rPr>
        <w:t>按照绩效评价指标体系，对资金支出使用全过程及其实施效果进行综合评价和判断，</w:t>
      </w:r>
      <w:r>
        <w:rPr>
          <w:rFonts w:hint="eastAsia" w:eastAsia="仿宋_GB2312"/>
          <w:sz w:val="32"/>
          <w:szCs w:val="32"/>
          <w:highlight w:val="none"/>
          <w:lang w:val="en-US" w:eastAsia="zh-CN"/>
        </w:rPr>
        <w:t>主要包含数量指标、质量指标、效益指标，明确项目是否具有可替代性，实施完成时间等内容，确保项目实施达到预设目标。</w:t>
      </w:r>
    </w:p>
    <w:p w14:paraId="261E0496">
      <w:pPr>
        <w:pageBreakBefore w:val="0"/>
        <w:kinsoku/>
        <w:wordWrap/>
        <w:overflowPunct/>
        <w:bidi w:val="0"/>
        <w:ind w:firstLine="643" w:firstLineChars="200"/>
        <w:rPr>
          <w:rFonts w:hint="default" w:eastAsia="楷体_GB2312"/>
          <w:sz w:val="32"/>
          <w:szCs w:val="32"/>
          <w:highlight w:val="none"/>
          <w:lang w:val="en-US" w:eastAsia="zh-CN"/>
        </w:rPr>
      </w:pPr>
      <w:r>
        <w:rPr>
          <w:rFonts w:hint="eastAsia" w:ascii="楷体_GB2312" w:eastAsia="楷体_GB2312"/>
          <w:b/>
          <w:sz w:val="32"/>
          <w:szCs w:val="32"/>
          <w:highlight w:val="none"/>
          <w:lang w:val="zh-CN"/>
        </w:rPr>
        <w:t>（三）评价选点。</w:t>
      </w:r>
      <w:r>
        <w:rPr>
          <w:rFonts w:hint="eastAsia" w:eastAsia="仿宋_GB2312"/>
          <w:sz w:val="32"/>
          <w:szCs w:val="32"/>
          <w:highlight w:val="none"/>
          <w:lang w:val="en-US" w:eastAsia="zh-CN"/>
        </w:rPr>
        <w:t>根据项目实施环节，在立项管理、资金使用执行情况、项目完成进度等环节开展绩效评价，确保补助资金发放到人。</w:t>
      </w:r>
    </w:p>
    <w:p w14:paraId="03282D1E">
      <w:pPr>
        <w:pageBreakBefore w:val="0"/>
        <w:kinsoku/>
        <w:wordWrap/>
        <w:overflowPunct/>
        <w:bidi w:val="0"/>
        <w:ind w:firstLine="643" w:firstLineChars="200"/>
        <w:rPr>
          <w:rFonts w:eastAsia="仿宋_GB2312"/>
          <w:sz w:val="32"/>
          <w:szCs w:val="32"/>
          <w:highlight w:val="none"/>
          <w:lang w:val="zh-CN"/>
        </w:rPr>
      </w:pPr>
      <w:r>
        <w:rPr>
          <w:rFonts w:hint="eastAsia" w:ascii="楷体_GB2312" w:eastAsia="楷体_GB2312"/>
          <w:b/>
          <w:sz w:val="32"/>
          <w:szCs w:val="32"/>
          <w:highlight w:val="none"/>
          <w:lang w:val="zh-CN"/>
        </w:rPr>
        <w:t>（四）评价方法。</w:t>
      </w:r>
      <w:r>
        <w:rPr>
          <w:rFonts w:hint="eastAsia" w:eastAsia="仿宋_GB2312"/>
          <w:sz w:val="32"/>
          <w:szCs w:val="32"/>
          <w:highlight w:val="none"/>
          <w:lang w:val="zh-CN"/>
        </w:rPr>
        <w:t>根据</w:t>
      </w:r>
      <w:r>
        <w:rPr>
          <w:rFonts w:hint="eastAsia" w:eastAsia="仿宋_GB2312"/>
          <w:sz w:val="32"/>
          <w:szCs w:val="32"/>
          <w:highlight w:val="none"/>
          <w:lang w:val="en-US" w:eastAsia="zh-CN"/>
        </w:rPr>
        <w:t>实际</w:t>
      </w:r>
      <w:r>
        <w:rPr>
          <w:rFonts w:hint="eastAsia" w:eastAsia="仿宋_GB2312"/>
          <w:sz w:val="32"/>
          <w:szCs w:val="32"/>
          <w:highlight w:val="none"/>
          <w:lang w:val="zh-CN"/>
        </w:rPr>
        <w:t>项目情况和评价重点。</w:t>
      </w:r>
      <w:r>
        <w:rPr>
          <w:rFonts w:hint="eastAsia" w:eastAsia="仿宋_GB2312"/>
          <w:sz w:val="32"/>
          <w:szCs w:val="32"/>
          <w:highlight w:val="none"/>
          <w:lang w:val="en-US" w:eastAsia="zh-CN"/>
        </w:rPr>
        <w:t>我镇</w:t>
      </w:r>
      <w:r>
        <w:rPr>
          <w:rFonts w:hint="eastAsia" w:eastAsia="仿宋_GB2312"/>
          <w:sz w:val="32"/>
          <w:szCs w:val="32"/>
          <w:highlight w:val="none"/>
          <w:lang w:val="zh-CN"/>
        </w:rPr>
        <w:t>采用成本效益分析法、单位自评法、</w:t>
      </w:r>
      <w:r>
        <w:rPr>
          <w:rFonts w:hint="eastAsia" w:eastAsia="仿宋_GB2312"/>
          <w:sz w:val="32"/>
          <w:szCs w:val="32"/>
          <w:highlight w:val="none"/>
          <w:lang w:val="en-US" w:eastAsia="zh-CN"/>
        </w:rPr>
        <w:t>问卷调查法</w:t>
      </w:r>
      <w:r>
        <w:rPr>
          <w:rFonts w:hint="eastAsia" w:eastAsia="仿宋_GB2312"/>
          <w:sz w:val="32"/>
          <w:szCs w:val="32"/>
          <w:highlight w:val="none"/>
          <w:lang w:val="zh-CN"/>
        </w:rPr>
        <w:t>等多种方法。来收集相关材料和开展具体评价。</w:t>
      </w:r>
    </w:p>
    <w:p w14:paraId="4D8A4373">
      <w:pPr>
        <w:keepNext/>
        <w:keepLines/>
        <w:pageBreakBefore w:val="0"/>
        <w:widowControl w:val="0"/>
        <w:kinsoku/>
        <w:wordWrap/>
        <w:overflowPunct/>
        <w:topLinePunct w:val="0"/>
        <w:autoSpaceDE w:val="0"/>
        <w:autoSpaceDN w:val="0"/>
        <w:bidi w:val="0"/>
        <w:adjustRightInd w:val="0"/>
        <w:snapToGrid/>
        <w:spacing w:beforeLines="0" w:afterLines="0" w:line="560" w:lineRule="exact"/>
        <w:ind w:firstLine="643" w:firstLineChars="200"/>
        <w:jc w:val="both"/>
        <w:textAlignment w:val="auto"/>
        <w:rPr>
          <w:rFonts w:eastAsia="仿宋_GB2312"/>
          <w:sz w:val="32"/>
          <w:szCs w:val="32"/>
          <w:highlight w:val="none"/>
          <w:lang w:val="zh-CN"/>
        </w:rPr>
      </w:pPr>
      <w:r>
        <w:rPr>
          <w:rFonts w:hint="eastAsia" w:ascii="楷体_GB2312" w:eastAsia="楷体_GB2312"/>
          <w:b/>
          <w:sz w:val="32"/>
          <w:szCs w:val="32"/>
          <w:highlight w:val="none"/>
          <w:lang w:val="zh-CN"/>
        </w:rPr>
        <w:t>（五）评价组织。</w:t>
      </w:r>
      <w:r>
        <w:rPr>
          <w:rFonts w:hint="eastAsia" w:ascii="仿宋_GB2312" w:hAnsi="仿宋_GB2312" w:eastAsia="仿宋_GB2312" w:cs="Times New Roman"/>
          <w:color w:val="auto"/>
          <w:sz w:val="32"/>
          <w:szCs w:val="24"/>
          <w:lang w:val="zh-CN"/>
        </w:rPr>
        <w:t>我单位</w:t>
      </w:r>
      <w:r>
        <w:rPr>
          <w:rFonts w:hint="eastAsia" w:ascii="仿宋_GB2312" w:hAnsi="仿宋_GB2312" w:eastAsia="仿宋_GB2312" w:cs="Times New Roman"/>
          <w:color w:val="auto"/>
          <w:sz w:val="32"/>
          <w:szCs w:val="24"/>
          <w:lang w:val="en-US" w:eastAsia="zh-CN"/>
        </w:rPr>
        <w:t>成立了由镇党委副书记、镇长任组长，业务分管领导和财务分管领导任副组长，业务办公室、财政办公室和党建办公室人员为成员的项目实施小组，镇党委副书记、镇长负总责。业务分管领导为主要负责人，负责项目实施的合理性、合法性、真实性；业务办公室人员编制项目实施方案和项目绩效目标，并按照方案具体实施项目、申请项目资金。财政办公室人员根据项目实施方案和项目绩效目标申请预算资金，项目实施过程中根据业务工作人员资金申请情况，核实申请资金的合理性、合法性后及时拨付；财务分管领导负责项目资金按时拨付。党建办公室负责项目实施、资金拨付的监督责任。</w:t>
      </w:r>
      <w:r>
        <w:rPr>
          <w:rFonts w:hint="eastAsia" w:ascii="仿宋_GB2312" w:hAnsi="仿宋_GB2312" w:eastAsia="仿宋_GB2312" w:cs="Times New Roman"/>
          <w:color w:val="auto"/>
          <w:sz w:val="32"/>
          <w:szCs w:val="24"/>
          <w:lang w:val="zh-CN"/>
        </w:rPr>
        <w:t>我单位项目组织架构及实施流程严格按照项目规划组织实施和管理</w:t>
      </w:r>
      <w:r>
        <w:rPr>
          <w:rFonts w:hint="eastAsia" w:ascii="楷体_GB2312" w:hAnsi="楷体_GB2312" w:eastAsia="楷体_GB2312"/>
          <w:b/>
          <w:color w:val="auto"/>
          <w:kern w:val="2"/>
          <w:sz w:val="32"/>
          <w:szCs w:val="24"/>
          <w:lang w:val="zh-CN"/>
        </w:rPr>
        <w:t>。</w:t>
      </w:r>
    </w:p>
    <w:p w14:paraId="4EEBFD28">
      <w:pPr>
        <w:pageBreakBefore w:val="0"/>
        <w:kinsoku/>
        <w:wordWrap/>
        <w:overflowPunct/>
        <w:bidi w:val="0"/>
        <w:ind w:firstLine="640" w:firstLineChars="200"/>
        <w:outlineLvl w:val="1"/>
        <w:rPr>
          <w:rFonts w:ascii="黑体" w:hAnsi="黑体" w:eastAsia="黑体"/>
          <w:sz w:val="32"/>
          <w:szCs w:val="32"/>
          <w:highlight w:val="none"/>
          <w:lang w:val="zh-CN"/>
        </w:rPr>
      </w:pPr>
      <w:bookmarkStart w:id="146" w:name="_Toc25916"/>
      <w:bookmarkStart w:id="147" w:name="_Toc1700"/>
      <w:bookmarkStart w:id="148" w:name="_Toc30462"/>
      <w:r>
        <w:rPr>
          <w:rFonts w:hint="eastAsia" w:ascii="黑体" w:hAnsi="黑体" w:eastAsia="黑体"/>
          <w:sz w:val="32"/>
          <w:szCs w:val="32"/>
          <w:highlight w:val="none"/>
          <w:lang w:val="zh-CN"/>
        </w:rPr>
        <w:t>三、绩效分析</w:t>
      </w:r>
      <w:bookmarkEnd w:id="146"/>
      <w:bookmarkEnd w:id="147"/>
      <w:bookmarkEnd w:id="148"/>
    </w:p>
    <w:p w14:paraId="06B55C6E">
      <w:pPr>
        <w:pageBreakBefore w:val="0"/>
        <w:kinsoku/>
        <w:wordWrap/>
        <w:overflowPunct/>
        <w:bidi w:val="0"/>
        <w:ind w:firstLine="643" w:firstLineChars="200"/>
        <w:rPr>
          <w:rFonts w:ascii="楷体_GB2312" w:eastAsia="楷体_GB2312"/>
          <w:b/>
          <w:sz w:val="32"/>
          <w:szCs w:val="32"/>
          <w:highlight w:val="none"/>
          <w:lang w:val="zh-CN"/>
        </w:rPr>
      </w:pPr>
      <w:r>
        <w:rPr>
          <w:rFonts w:hint="eastAsia" w:ascii="楷体_GB2312" w:eastAsia="楷体_GB2312"/>
          <w:b/>
          <w:sz w:val="32"/>
          <w:szCs w:val="32"/>
          <w:highlight w:val="none"/>
          <w:lang w:val="zh-CN"/>
        </w:rPr>
        <w:t>（一）通用指标绩效分析。</w:t>
      </w:r>
    </w:p>
    <w:p w14:paraId="509FD6BE">
      <w:pPr>
        <w:pageBreakBefore w:val="0"/>
        <w:kinsoku/>
        <w:wordWrap/>
        <w:overflowPunct/>
        <w:bidi w:val="0"/>
        <w:adjustRightInd w:val="0"/>
        <w:snapToGrid w:val="0"/>
        <w:spacing w:line="560" w:lineRule="exact"/>
        <w:ind w:firstLine="640" w:firstLineChars="200"/>
        <w:rPr>
          <w:rFonts w:eastAsia="仿宋_GB2312"/>
          <w:sz w:val="32"/>
          <w:szCs w:val="32"/>
          <w:highlight w:val="none"/>
          <w:lang w:val="zh-CN"/>
        </w:rPr>
      </w:pPr>
      <w:r>
        <w:rPr>
          <w:rFonts w:hint="eastAsia" w:ascii="楷体_GB2312" w:eastAsia="楷体_GB2312"/>
          <w:sz w:val="32"/>
          <w:szCs w:val="32"/>
          <w:highlight w:val="none"/>
          <w:lang w:val="zh-CN"/>
        </w:rPr>
        <w:t>1.项目决策。</w:t>
      </w:r>
      <w:r>
        <w:rPr>
          <w:rFonts w:hint="eastAsia" w:ascii="仿宋_GB2312" w:hAnsi="仿宋_GB2312" w:eastAsia="仿宋_GB2312" w:cs="仿宋_GB2312"/>
          <w:sz w:val="32"/>
          <w:szCs w:val="32"/>
          <w:highlight w:val="none"/>
          <w:lang w:val="en-US" w:eastAsia="zh-CN"/>
        </w:rPr>
        <w:t>以辖区内实际安置的国有企业退休人员人数为立项依据，按照</w:t>
      </w:r>
      <w:r>
        <w:rPr>
          <w:rFonts w:hint="eastAsia" w:ascii="仿宋_GB2312" w:hAnsi="仿宋_GB2312" w:eastAsia="仿宋_GB2312" w:cs="仿宋_GB2312"/>
          <w:sz w:val="32"/>
          <w:szCs w:val="32"/>
          <w:highlight w:val="none"/>
          <w:lang w:val="zh-CN"/>
        </w:rPr>
        <w:t>项目认定、金额核定、资金拨付</w:t>
      </w:r>
      <w:r>
        <w:rPr>
          <w:rFonts w:hint="eastAsia" w:ascii="仿宋_GB2312" w:hAnsi="仿宋_GB2312" w:eastAsia="仿宋_GB2312" w:cs="仿宋_GB2312"/>
          <w:sz w:val="32"/>
          <w:szCs w:val="32"/>
          <w:highlight w:val="none"/>
          <w:lang w:val="en-US" w:eastAsia="zh-CN"/>
        </w:rPr>
        <w:t>流程规范实施</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val="en-US" w:eastAsia="zh-CN"/>
        </w:rPr>
        <w:t>由我镇根据辖区实际，统一拨付至村社区账户，由村社区根据实际兑付，保障辖区内国有企业退休人员实施社会化管理基本生活水平。</w:t>
      </w:r>
    </w:p>
    <w:p w14:paraId="796DB3C1">
      <w:pPr>
        <w:pageBreakBefore w:val="0"/>
        <w:kinsoku/>
        <w:wordWrap/>
        <w:overflowPunct/>
        <w:bidi w:val="0"/>
        <w:adjustRightInd w:val="0"/>
        <w:snapToGrid w:val="0"/>
        <w:spacing w:line="560" w:lineRule="exact"/>
        <w:ind w:firstLine="640" w:firstLineChars="200"/>
        <w:rPr>
          <w:rFonts w:eastAsia="仿宋_GB2312"/>
          <w:sz w:val="32"/>
          <w:szCs w:val="32"/>
          <w:highlight w:val="none"/>
          <w:lang w:val="zh-CN"/>
        </w:rPr>
      </w:pPr>
      <w:r>
        <w:rPr>
          <w:rFonts w:hint="eastAsia" w:ascii="楷体_GB2312" w:eastAsia="楷体_GB2312"/>
          <w:sz w:val="32"/>
          <w:szCs w:val="32"/>
          <w:highlight w:val="none"/>
          <w:lang w:val="zh-CN"/>
        </w:rPr>
        <w:t>2.项目管理。</w:t>
      </w:r>
      <w:r>
        <w:rPr>
          <w:rFonts w:hint="eastAsia" w:ascii="仿宋_GB2312" w:hAnsi="仿宋_GB2312" w:eastAsia="仿宋_GB2312" w:cs="仿宋_GB2312"/>
          <w:sz w:val="32"/>
          <w:szCs w:val="32"/>
          <w:highlight w:val="none"/>
          <w:lang w:val="zh-CN"/>
        </w:rPr>
        <w:t>结合项目组织实施管理办法，由</w:t>
      </w:r>
      <w:r>
        <w:rPr>
          <w:rFonts w:hint="eastAsia" w:ascii="仿宋_GB2312" w:hAnsi="仿宋_GB2312" w:eastAsia="仿宋_GB2312" w:cs="仿宋_GB2312"/>
          <w:sz w:val="32"/>
          <w:szCs w:val="32"/>
          <w:highlight w:val="none"/>
          <w:lang w:val="en-US" w:eastAsia="zh-CN"/>
        </w:rPr>
        <w:t>新盛</w:t>
      </w:r>
      <w:r>
        <w:rPr>
          <w:rFonts w:hint="eastAsia" w:ascii="仿宋_GB2312" w:hAnsi="仿宋_GB2312" w:eastAsia="仿宋_GB2312" w:cs="仿宋_GB2312"/>
          <w:sz w:val="32"/>
          <w:szCs w:val="32"/>
          <w:highlight w:val="none"/>
          <w:lang w:val="zh-CN"/>
        </w:rPr>
        <w:t>镇监督实施，全体成员积极配合，通力合作，协调项目相关工作。</w:t>
      </w:r>
    </w:p>
    <w:p w14:paraId="0B62652D">
      <w:pPr>
        <w:pageBreakBefore w:val="0"/>
        <w:kinsoku/>
        <w:wordWrap/>
        <w:overflowPunct/>
        <w:bidi w:val="0"/>
        <w:ind w:firstLine="640" w:firstLineChars="200"/>
        <w:rPr>
          <w:rFonts w:eastAsia="仿宋_GB2312"/>
          <w:sz w:val="32"/>
          <w:szCs w:val="32"/>
          <w:highlight w:val="none"/>
          <w:lang w:val="zh-CN"/>
        </w:rPr>
      </w:pPr>
      <w:r>
        <w:rPr>
          <w:rFonts w:hint="eastAsia" w:ascii="楷体_GB2312" w:eastAsia="楷体_GB2312"/>
          <w:sz w:val="32"/>
          <w:szCs w:val="32"/>
          <w:highlight w:val="none"/>
          <w:lang w:val="zh-CN"/>
        </w:rPr>
        <w:t>3.项目实施。</w:t>
      </w:r>
      <w:r>
        <w:rPr>
          <w:rFonts w:hint="eastAsia" w:ascii="仿宋_GB2312" w:hAnsi="仿宋_GB2312" w:eastAsia="仿宋_GB2312" w:cs="仿宋_GB2312"/>
          <w:sz w:val="32"/>
          <w:szCs w:val="32"/>
          <w:highlight w:val="none"/>
          <w:lang w:val="zh-CN"/>
        </w:rPr>
        <w:t>项目资金由镇财政所具体管理，按计划拨付。资金进行单位核算，专项资金专用，不得挤占挪用项目 资金。项目小组日常监督检查，及时协调解决困难和问题，保证工程质量。充分利用社会监督和群众监督，保障群众的合法权益。</w:t>
      </w:r>
    </w:p>
    <w:p w14:paraId="3904DFD2">
      <w:pPr>
        <w:pageBreakBefore w:val="0"/>
        <w:kinsoku/>
        <w:wordWrap/>
        <w:overflowPunct/>
        <w:bidi w:val="0"/>
        <w:ind w:firstLine="640" w:firstLineChars="200"/>
        <w:rPr>
          <w:rFonts w:hint="eastAsia" w:eastAsia="仿宋_GB2312"/>
          <w:sz w:val="32"/>
          <w:szCs w:val="32"/>
          <w:highlight w:val="none"/>
          <w:lang w:val="zh-CN"/>
        </w:rPr>
      </w:pPr>
      <w:r>
        <w:rPr>
          <w:rFonts w:hint="eastAsia" w:ascii="楷体_GB2312" w:eastAsia="楷体_GB2312"/>
          <w:sz w:val="32"/>
          <w:szCs w:val="32"/>
          <w:highlight w:val="none"/>
          <w:lang w:val="zh-CN"/>
        </w:rPr>
        <w:t>4.项目结果。</w:t>
      </w:r>
      <w:r>
        <w:rPr>
          <w:rFonts w:hint="eastAsia" w:eastAsia="仿宋_GB2312"/>
          <w:sz w:val="32"/>
          <w:szCs w:val="32"/>
          <w:highlight w:val="none"/>
          <w:lang w:val="zh-CN"/>
        </w:rPr>
        <w:t>2023年年底前全面完成辖区内国有企业退休人员社会化管理补助资金兑付，提升了基层服务水平，保障了辖区稳定。</w:t>
      </w:r>
    </w:p>
    <w:p w14:paraId="2E2F0B47">
      <w:pPr>
        <w:pageBreakBefore w:val="0"/>
        <w:kinsoku/>
        <w:wordWrap/>
        <w:overflowPunct/>
        <w:bidi w:val="0"/>
        <w:ind w:firstLine="643" w:firstLineChars="200"/>
        <w:rPr>
          <w:rFonts w:eastAsia="仿宋_GB2312"/>
          <w:sz w:val="32"/>
          <w:szCs w:val="32"/>
          <w:highlight w:val="none"/>
          <w:lang w:val="zh-CN"/>
        </w:rPr>
      </w:pPr>
      <w:r>
        <w:rPr>
          <w:rFonts w:hint="eastAsia" w:ascii="楷体_GB2312" w:eastAsia="楷体_GB2312"/>
          <w:b/>
          <w:sz w:val="32"/>
          <w:szCs w:val="32"/>
          <w:highlight w:val="none"/>
          <w:lang w:val="zh-CN"/>
        </w:rPr>
        <w:t>（二）专用指标绩效分析。</w:t>
      </w:r>
    </w:p>
    <w:p w14:paraId="78C2BC6B">
      <w:pPr>
        <w:pageBreakBefore w:val="0"/>
        <w:kinsoku/>
        <w:wordWrap/>
        <w:overflowPunct/>
        <w:bidi w:val="0"/>
        <w:ind w:firstLine="640" w:firstLineChars="200"/>
        <w:rPr>
          <w:rFonts w:hint="default" w:eastAsia="仿宋_GB2312"/>
          <w:sz w:val="32"/>
          <w:szCs w:val="32"/>
          <w:highlight w:val="none"/>
          <w:lang w:val="en-US" w:eastAsia="zh-CN"/>
        </w:rPr>
      </w:pPr>
      <w:r>
        <w:rPr>
          <w:rFonts w:hint="eastAsia" w:ascii="楷体_GB2312" w:eastAsia="楷体_GB2312"/>
          <w:sz w:val="32"/>
          <w:szCs w:val="32"/>
          <w:highlight w:val="none"/>
          <w:lang w:val="zh-CN"/>
        </w:rPr>
        <w:t>1.产业发展。</w:t>
      </w:r>
      <w:r>
        <w:rPr>
          <w:rFonts w:hint="eastAsia" w:eastAsia="仿宋_GB2312"/>
          <w:sz w:val="32"/>
          <w:szCs w:val="32"/>
          <w:highlight w:val="none"/>
          <w:lang w:val="en-US" w:eastAsia="zh-CN"/>
        </w:rPr>
        <w:t>该项目有利于减轻国有企业负担，激活企业发展潜力，促进经济发展。带动辖区内养老、医疗、文化等产业发展，优化资源配置，促进就业。</w:t>
      </w:r>
    </w:p>
    <w:p w14:paraId="7E64B5D9">
      <w:pPr>
        <w:pageBreakBefore w:val="0"/>
        <w:kinsoku/>
        <w:wordWrap/>
        <w:overflowPunct/>
        <w:bidi w:val="0"/>
        <w:ind w:firstLine="640" w:firstLineChars="200"/>
        <w:rPr>
          <w:rFonts w:eastAsia="仿宋_GB2312"/>
          <w:sz w:val="32"/>
          <w:szCs w:val="32"/>
          <w:highlight w:val="none"/>
          <w:lang w:val="zh-CN"/>
        </w:rPr>
      </w:pPr>
      <w:r>
        <w:rPr>
          <w:rFonts w:hint="eastAsia" w:ascii="楷体_GB2312" w:eastAsia="楷体_GB2312"/>
          <w:sz w:val="32"/>
          <w:szCs w:val="32"/>
          <w:highlight w:val="none"/>
          <w:lang w:val="zh-CN"/>
        </w:rPr>
        <w:t>2.民生保障。</w:t>
      </w:r>
      <w:r>
        <w:rPr>
          <w:rFonts w:hint="eastAsia" w:ascii="仿宋_GB2312" w:hAnsi="仿宋_GB2312" w:eastAsia="仿宋_GB2312" w:cs="仿宋_GB2312"/>
          <w:sz w:val="32"/>
          <w:szCs w:val="32"/>
          <w:highlight w:val="none"/>
          <w:lang w:val="en-US" w:eastAsia="zh-CN"/>
        </w:rPr>
        <w:t>有效执行了专款专用和保障资金实效的要求</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有力推进了全部项目按照预定安排有序实施，保障了群众权益</w:t>
      </w:r>
      <w:r>
        <w:rPr>
          <w:rFonts w:hint="eastAsia" w:ascii="仿宋_GB2312" w:hAnsi="仿宋_GB2312" w:eastAsia="仿宋_GB2312" w:cs="仿宋_GB2312"/>
          <w:sz w:val="32"/>
          <w:szCs w:val="32"/>
          <w:highlight w:val="none"/>
        </w:rPr>
        <w:t>。</w:t>
      </w:r>
    </w:p>
    <w:p w14:paraId="1DF9967C">
      <w:pPr>
        <w:pageBreakBefore w:val="0"/>
        <w:kinsoku/>
        <w:wordWrap/>
        <w:overflowPunct/>
        <w:bidi w:val="0"/>
        <w:ind w:firstLine="640" w:firstLineChars="200"/>
        <w:rPr>
          <w:rFonts w:hint="eastAsia" w:eastAsia="楷体_GB2312"/>
          <w:sz w:val="32"/>
          <w:szCs w:val="32"/>
          <w:highlight w:val="none"/>
          <w:lang w:val="zh-CN" w:eastAsia="zh-CN"/>
        </w:rPr>
      </w:pPr>
      <w:r>
        <w:rPr>
          <w:rFonts w:hint="eastAsia" w:ascii="楷体_GB2312" w:eastAsia="楷体_GB2312"/>
          <w:sz w:val="32"/>
          <w:szCs w:val="32"/>
          <w:highlight w:val="none"/>
          <w:lang w:val="zh-CN"/>
        </w:rPr>
        <w:t>3.基础设施。</w:t>
      </w:r>
      <w:r>
        <w:rPr>
          <w:rFonts w:hint="eastAsia" w:eastAsia="仿宋_GB2312"/>
          <w:sz w:val="32"/>
          <w:szCs w:val="32"/>
          <w:highlight w:val="none"/>
          <w:lang w:val="en-US" w:eastAsia="zh-CN"/>
        </w:rPr>
        <w:t>该项目不涉及。</w:t>
      </w:r>
    </w:p>
    <w:p w14:paraId="6491C7C1">
      <w:pPr>
        <w:pageBreakBefore w:val="0"/>
        <w:kinsoku/>
        <w:wordWrap/>
        <w:overflowPunct/>
        <w:bidi w:val="0"/>
        <w:ind w:firstLine="640" w:firstLineChars="200"/>
        <w:rPr>
          <w:rFonts w:eastAsia="仿宋_GB2312"/>
          <w:sz w:val="32"/>
          <w:szCs w:val="32"/>
          <w:highlight w:val="none"/>
          <w:lang w:val="zh-CN"/>
        </w:rPr>
      </w:pPr>
      <w:r>
        <w:rPr>
          <w:rFonts w:hint="eastAsia" w:ascii="楷体_GB2312" w:eastAsia="楷体_GB2312"/>
          <w:sz w:val="32"/>
          <w:szCs w:val="32"/>
          <w:highlight w:val="none"/>
          <w:lang w:val="zh-CN"/>
        </w:rPr>
        <w:t>4.行政运转。</w:t>
      </w:r>
      <w:r>
        <w:rPr>
          <w:rFonts w:hint="eastAsia" w:ascii="仿宋_GB2312" w:hAnsi="仿宋_GB2312" w:eastAsia="仿宋_GB2312" w:cs="仿宋_GB2312"/>
          <w:sz w:val="32"/>
          <w:szCs w:val="32"/>
          <w:highlight w:val="none"/>
          <w:lang w:val="zh-CN"/>
        </w:rPr>
        <w:t>项目资金按计划拨付，资金进行单位核算，</w:t>
      </w:r>
      <w:r>
        <w:rPr>
          <w:rFonts w:hint="eastAsia" w:ascii="仿宋_GB2312" w:hAnsi="仿宋_GB2312" w:eastAsia="仿宋_GB2312" w:cs="仿宋_GB2312"/>
          <w:sz w:val="32"/>
          <w:szCs w:val="32"/>
          <w:highlight w:val="none"/>
          <w:lang w:val="en-US" w:eastAsia="zh-CN"/>
        </w:rPr>
        <w:t>确保</w:t>
      </w:r>
      <w:r>
        <w:rPr>
          <w:rFonts w:hint="eastAsia" w:ascii="仿宋_GB2312" w:hAnsi="仿宋_GB2312" w:eastAsia="仿宋_GB2312" w:cs="仿宋_GB2312"/>
          <w:sz w:val="32"/>
          <w:szCs w:val="32"/>
          <w:highlight w:val="none"/>
          <w:lang w:val="zh-CN"/>
        </w:rPr>
        <w:t>专项资金专用。</w:t>
      </w:r>
      <w:r>
        <w:rPr>
          <w:rFonts w:hint="eastAsia" w:ascii="仿宋_GB2312" w:hAnsi="仿宋_GB2312" w:eastAsia="仿宋_GB2312" w:cs="仿宋_GB2312"/>
          <w:sz w:val="32"/>
          <w:szCs w:val="32"/>
          <w:highlight w:val="none"/>
          <w:lang w:val="en-US" w:eastAsia="zh-CN"/>
        </w:rPr>
        <w:t>严格按照</w:t>
      </w:r>
      <w:r>
        <w:rPr>
          <w:rFonts w:hint="eastAsia" w:ascii="仿宋_GB2312" w:hAnsi="仿宋_GB2312" w:eastAsia="仿宋_GB2312" w:cs="仿宋_GB2312"/>
          <w:sz w:val="32"/>
          <w:szCs w:val="32"/>
          <w:highlight w:val="none"/>
          <w:lang w:val="zh-CN"/>
        </w:rPr>
        <w:t>项目认定、金额核定、资金拨付</w:t>
      </w:r>
      <w:r>
        <w:rPr>
          <w:rFonts w:hint="eastAsia" w:ascii="仿宋_GB2312" w:hAnsi="仿宋_GB2312" w:eastAsia="仿宋_GB2312" w:cs="仿宋_GB2312"/>
          <w:sz w:val="32"/>
          <w:szCs w:val="32"/>
          <w:highlight w:val="none"/>
          <w:lang w:val="en-US" w:eastAsia="zh-CN"/>
        </w:rPr>
        <w:t>实施项目，保证实施质量。</w:t>
      </w:r>
    </w:p>
    <w:p w14:paraId="2781853E">
      <w:pPr>
        <w:pageBreakBefore w:val="0"/>
        <w:kinsoku/>
        <w:wordWrap/>
        <w:overflowPunct/>
        <w:bidi w:val="0"/>
        <w:ind w:firstLine="643" w:firstLineChars="200"/>
        <w:rPr>
          <w:rFonts w:hint="eastAsia" w:eastAsia="仿宋_GB2312"/>
          <w:sz w:val="32"/>
          <w:szCs w:val="32"/>
          <w:highlight w:val="none"/>
          <w:lang w:val="en-US" w:eastAsia="zh-CN"/>
        </w:rPr>
      </w:pPr>
      <w:r>
        <w:rPr>
          <w:rFonts w:hint="eastAsia" w:ascii="楷体_GB2312" w:eastAsia="楷体_GB2312"/>
          <w:b/>
          <w:sz w:val="32"/>
          <w:szCs w:val="32"/>
          <w:highlight w:val="none"/>
          <w:lang w:val="zh-CN"/>
        </w:rPr>
        <w:t>（三）个性指标绩效分析。</w:t>
      </w:r>
      <w:r>
        <w:rPr>
          <w:rFonts w:hint="eastAsia" w:eastAsia="仿宋_GB2312"/>
          <w:sz w:val="32"/>
          <w:szCs w:val="32"/>
          <w:highlight w:val="none"/>
          <w:lang w:val="en-US" w:eastAsia="zh-CN"/>
        </w:rPr>
        <w:t>政策目标实现率100%，</w:t>
      </w:r>
      <w:r>
        <w:rPr>
          <w:rFonts w:hint="eastAsia" w:eastAsia="仿宋_GB2312"/>
          <w:sz w:val="32"/>
          <w:szCs w:val="32"/>
          <w:highlight w:val="none"/>
          <w:lang w:val="zh-CN"/>
        </w:rPr>
        <w:t>受益群体覆盖</w:t>
      </w:r>
      <w:r>
        <w:rPr>
          <w:rFonts w:hint="eastAsia" w:eastAsia="仿宋_GB2312"/>
          <w:sz w:val="32"/>
          <w:szCs w:val="32"/>
          <w:highlight w:val="none"/>
          <w:lang w:val="en-US" w:eastAsia="zh-CN"/>
        </w:rPr>
        <w:t>率100%</w:t>
      </w:r>
      <w:r>
        <w:rPr>
          <w:rFonts w:hint="eastAsia" w:eastAsia="仿宋_GB2312"/>
          <w:sz w:val="32"/>
          <w:szCs w:val="32"/>
          <w:highlight w:val="none"/>
          <w:lang w:val="zh-CN"/>
        </w:rPr>
        <w:t>，政策宣传</w:t>
      </w:r>
      <w:r>
        <w:rPr>
          <w:rFonts w:hint="eastAsia" w:eastAsia="仿宋_GB2312"/>
          <w:sz w:val="32"/>
          <w:szCs w:val="32"/>
          <w:highlight w:val="none"/>
          <w:lang w:val="en-US" w:eastAsia="zh-CN"/>
        </w:rPr>
        <w:t>到位，资金支付及时，受益群体满意度98%。</w:t>
      </w:r>
    </w:p>
    <w:p w14:paraId="5116C64C">
      <w:pPr>
        <w:pageBreakBefore w:val="0"/>
        <w:kinsoku/>
        <w:wordWrap/>
        <w:overflowPunct/>
        <w:bidi w:val="0"/>
        <w:ind w:firstLine="640" w:firstLineChars="200"/>
        <w:outlineLvl w:val="1"/>
        <w:rPr>
          <w:rFonts w:ascii="黑体" w:hAnsi="黑体" w:eastAsia="黑体"/>
          <w:sz w:val="32"/>
          <w:szCs w:val="32"/>
          <w:highlight w:val="none"/>
          <w:lang w:val="zh-CN"/>
        </w:rPr>
      </w:pPr>
      <w:bookmarkStart w:id="149" w:name="_Toc22122"/>
      <w:bookmarkStart w:id="150" w:name="_Toc9455"/>
      <w:bookmarkStart w:id="151" w:name="_Toc23595"/>
      <w:r>
        <w:rPr>
          <w:rFonts w:hint="eastAsia" w:ascii="黑体" w:hAnsi="黑体" w:eastAsia="黑体"/>
          <w:sz w:val="32"/>
          <w:szCs w:val="32"/>
          <w:highlight w:val="none"/>
          <w:lang w:val="zh-CN"/>
        </w:rPr>
        <w:t>四、评价结论</w:t>
      </w:r>
      <w:bookmarkEnd w:id="149"/>
      <w:bookmarkEnd w:id="150"/>
      <w:bookmarkEnd w:id="151"/>
    </w:p>
    <w:p w14:paraId="0A8CDD41">
      <w:pPr>
        <w:pageBreakBefore w:val="0"/>
        <w:kinsoku/>
        <w:wordWrap/>
        <w:overflowPunct/>
        <w:bidi w:val="0"/>
        <w:ind w:firstLine="640" w:firstLineChars="200"/>
        <w:rPr>
          <w:rFonts w:hint="eastAsia" w:eastAsia="仿宋_GB2312"/>
          <w:sz w:val="32"/>
          <w:szCs w:val="32"/>
          <w:highlight w:val="none"/>
          <w:lang w:val="zh-CN"/>
        </w:rPr>
      </w:pPr>
      <w:r>
        <w:rPr>
          <w:rFonts w:hint="eastAsia" w:eastAsia="仿宋_GB2312"/>
          <w:sz w:val="32"/>
          <w:szCs w:val="32"/>
          <w:highlight w:val="none"/>
          <w:lang w:val="en-US" w:eastAsia="zh-CN"/>
        </w:rPr>
        <w:t>该项目自评总分为93分，</w:t>
      </w:r>
      <w:r>
        <w:rPr>
          <w:rFonts w:hint="eastAsia" w:eastAsia="仿宋_GB2312"/>
          <w:sz w:val="32"/>
          <w:szCs w:val="32"/>
          <w:highlight w:val="none"/>
          <w:lang w:val="zh-CN"/>
        </w:rPr>
        <w:t>总体评价好。2023年年底前全面完成辖区内国有企业退休人员社会化管理补助资金兑付，提升了基层服务水平，保障了辖区稳定。在投入方面本着节约原则和应补尽补的原则，对辖区符合该项目类型的人员均给予了补助，达到了稳定社会的效果。</w:t>
      </w:r>
    </w:p>
    <w:p w14:paraId="3AC9D30E">
      <w:pPr>
        <w:pageBreakBefore w:val="0"/>
        <w:kinsoku/>
        <w:wordWrap/>
        <w:overflowPunct/>
        <w:bidi w:val="0"/>
        <w:ind w:firstLine="640" w:firstLineChars="200"/>
        <w:outlineLvl w:val="1"/>
        <w:rPr>
          <w:rFonts w:ascii="黑体" w:hAnsi="黑体" w:eastAsia="黑体"/>
          <w:sz w:val="32"/>
          <w:szCs w:val="32"/>
          <w:highlight w:val="none"/>
          <w:lang w:val="zh-CN"/>
        </w:rPr>
      </w:pPr>
      <w:bookmarkStart w:id="152" w:name="_Toc31319"/>
      <w:bookmarkStart w:id="153" w:name="_Toc4300"/>
      <w:bookmarkStart w:id="154" w:name="_Toc24896"/>
      <w:r>
        <w:rPr>
          <w:rFonts w:hint="eastAsia" w:ascii="黑体" w:hAnsi="黑体" w:eastAsia="黑体"/>
          <w:sz w:val="32"/>
          <w:szCs w:val="32"/>
          <w:highlight w:val="none"/>
          <w:lang w:val="zh-CN"/>
        </w:rPr>
        <w:t>五、存在主要问题</w:t>
      </w:r>
      <w:bookmarkEnd w:id="152"/>
      <w:bookmarkEnd w:id="153"/>
      <w:bookmarkEnd w:id="154"/>
    </w:p>
    <w:p w14:paraId="15BE3525">
      <w:pPr>
        <w:pageBreakBefore w:val="0"/>
        <w:kinsoku/>
        <w:wordWrap/>
        <w:overflowPunct/>
        <w:bidi w:val="0"/>
        <w:ind w:firstLine="640" w:firstLineChars="200"/>
        <w:rPr>
          <w:rFonts w:eastAsia="仿宋_GB2312"/>
          <w:sz w:val="32"/>
          <w:szCs w:val="32"/>
          <w:highlight w:val="none"/>
          <w:lang w:val="zh-CN"/>
        </w:rPr>
      </w:pPr>
      <w:r>
        <w:rPr>
          <w:rFonts w:hint="eastAsia" w:eastAsia="仿宋_GB2312"/>
          <w:sz w:val="32"/>
          <w:szCs w:val="32"/>
          <w:highlight w:val="none"/>
          <w:lang w:val="en-US" w:eastAsia="zh-CN"/>
        </w:rPr>
        <w:t>无</w:t>
      </w:r>
      <w:r>
        <w:rPr>
          <w:rFonts w:hint="eastAsia" w:eastAsia="仿宋_GB2312"/>
          <w:sz w:val="32"/>
          <w:szCs w:val="32"/>
          <w:highlight w:val="none"/>
          <w:lang w:val="zh-CN"/>
        </w:rPr>
        <w:t>。</w:t>
      </w:r>
    </w:p>
    <w:p w14:paraId="002D4233">
      <w:pPr>
        <w:pageBreakBefore w:val="0"/>
        <w:kinsoku/>
        <w:wordWrap/>
        <w:overflowPunct/>
        <w:bidi w:val="0"/>
        <w:ind w:firstLine="640" w:firstLineChars="200"/>
        <w:outlineLvl w:val="1"/>
        <w:rPr>
          <w:rFonts w:ascii="黑体" w:hAnsi="黑体" w:eastAsia="黑体"/>
          <w:sz w:val="32"/>
          <w:szCs w:val="32"/>
          <w:highlight w:val="none"/>
          <w:lang w:val="zh-CN"/>
        </w:rPr>
      </w:pPr>
      <w:bookmarkStart w:id="155" w:name="_Toc10371"/>
      <w:bookmarkStart w:id="156" w:name="_Toc28027"/>
      <w:bookmarkStart w:id="157" w:name="_Toc25894"/>
      <w:r>
        <w:rPr>
          <w:rFonts w:hint="eastAsia" w:ascii="黑体" w:hAnsi="黑体" w:eastAsia="黑体"/>
          <w:sz w:val="32"/>
          <w:szCs w:val="32"/>
          <w:highlight w:val="none"/>
          <w:lang w:val="zh-CN"/>
        </w:rPr>
        <w:t>六、改进建议</w:t>
      </w:r>
      <w:bookmarkEnd w:id="155"/>
      <w:bookmarkEnd w:id="156"/>
      <w:bookmarkEnd w:id="157"/>
    </w:p>
    <w:p w14:paraId="4968B1E7">
      <w:pPr>
        <w:pageBreakBefore w:val="0"/>
        <w:kinsoku/>
        <w:wordWrap/>
        <w:overflowPunct/>
        <w:bidi w:val="0"/>
        <w:ind w:firstLine="640" w:firstLineChars="200"/>
        <w:rPr>
          <w:rFonts w:hint="eastAsia" w:eastAsia="仿宋_GB2312"/>
          <w:sz w:val="32"/>
          <w:szCs w:val="32"/>
          <w:highlight w:val="none"/>
          <w:lang w:val="zh-CN"/>
        </w:rPr>
      </w:pPr>
      <w:r>
        <w:rPr>
          <w:rFonts w:hint="eastAsia" w:eastAsia="仿宋_GB2312"/>
          <w:sz w:val="32"/>
          <w:szCs w:val="32"/>
          <w:highlight w:val="none"/>
          <w:lang w:val="en-US" w:eastAsia="zh-CN"/>
        </w:rPr>
        <w:t>无</w:t>
      </w:r>
      <w:r>
        <w:rPr>
          <w:rFonts w:hint="eastAsia" w:eastAsia="仿宋_GB2312"/>
          <w:sz w:val="32"/>
          <w:szCs w:val="32"/>
          <w:highlight w:val="none"/>
          <w:lang w:val="zh-CN"/>
        </w:rPr>
        <w:t>。</w:t>
      </w:r>
    </w:p>
    <w:p w14:paraId="313C1DB6">
      <w:pPr>
        <w:keepNext w:val="0"/>
        <w:keepLines w:val="0"/>
        <w:pageBreakBefore w:val="0"/>
        <w:widowControl w:val="0"/>
        <w:kinsoku/>
        <w:wordWrap/>
        <w:overflowPunct/>
        <w:topLinePunct/>
        <w:autoSpaceDE/>
        <w:autoSpaceDN/>
        <w:bidi w:val="0"/>
        <w:adjustRightInd w:val="0"/>
        <w:snapToGrid/>
        <w:spacing w:beforeLines="0" w:afterLines="0" w:line="560" w:lineRule="exact"/>
        <w:ind w:firstLine="880" w:firstLineChars="200"/>
        <w:jc w:val="both"/>
        <w:textAlignment w:val="auto"/>
        <w:rPr>
          <w:rFonts w:hint="eastAsia" w:ascii="黑体" w:hAnsi="黑体" w:eastAsia="黑体"/>
          <w:color w:val="auto"/>
          <w:kern w:val="44"/>
          <w:sz w:val="44"/>
          <w:szCs w:val="24"/>
          <w:lang w:val="en-US"/>
        </w:rPr>
      </w:pPr>
    </w:p>
    <w:p w14:paraId="61065C06">
      <w:pPr>
        <w:pageBreakBefore w:val="0"/>
        <w:kinsoku/>
        <w:wordWrap/>
        <w:overflowPunct/>
        <w:bidi w:val="0"/>
        <w:ind w:firstLine="880" w:firstLineChars="200"/>
        <w:rPr>
          <w:rFonts w:hint="eastAsia" w:ascii="仿宋" w:hAnsi="仿宋" w:eastAsia="仿宋"/>
          <w:color w:val="auto"/>
          <w:kern w:val="2"/>
          <w:sz w:val="21"/>
          <w:szCs w:val="24"/>
          <w:lang w:val="en-US"/>
        </w:rPr>
      </w:pPr>
      <w:r>
        <w:rPr>
          <w:rFonts w:hint="eastAsia" w:ascii="黑体" w:hAnsi="黑体" w:eastAsia="黑体"/>
          <w:color w:val="auto"/>
          <w:kern w:val="44"/>
          <w:sz w:val="44"/>
          <w:szCs w:val="24"/>
          <w:lang w:val="en-US"/>
        </w:rPr>
        <w:br w:type="page"/>
      </w:r>
    </w:p>
    <w:p w14:paraId="1D45747F">
      <w:pPr>
        <w:pStyle w:val="4"/>
        <w:keepNext w:val="0"/>
        <w:keepLines w:val="0"/>
        <w:pageBreakBefore w:val="0"/>
        <w:widowControl w:val="0"/>
        <w:kinsoku/>
        <w:wordWrap/>
        <w:overflowPunct/>
        <w:topLinePunct/>
        <w:autoSpaceDE/>
        <w:autoSpaceDN/>
        <w:bidi w:val="0"/>
        <w:spacing w:before="0" w:after="0" w:line="560" w:lineRule="exact"/>
        <w:ind w:firstLine="883" w:firstLineChars="200"/>
        <w:jc w:val="center"/>
        <w:textAlignment w:val="auto"/>
        <w:rPr>
          <w:rFonts w:ascii="黑体" w:hAnsi="黑体" w:eastAsia="黑体"/>
        </w:rPr>
      </w:pPr>
      <w:bookmarkStart w:id="158" w:name="_Toc27967"/>
      <w:bookmarkStart w:id="159" w:name="_Toc21194"/>
      <w:r>
        <w:rPr>
          <w:rFonts w:hint="eastAsia" w:ascii="黑体" w:hAnsi="黑体" w:eastAsia="黑体"/>
        </w:rPr>
        <w:t>第五部分 附表</w:t>
      </w:r>
      <w:bookmarkEnd w:id="158"/>
      <w:bookmarkEnd w:id="159"/>
    </w:p>
    <w:p w14:paraId="72480FBF">
      <w:pPr>
        <w:keepNext w:val="0"/>
        <w:keepLines w:val="0"/>
        <w:pageBreakBefore w:val="0"/>
        <w:widowControl w:val="0"/>
        <w:kinsoku/>
        <w:wordWrap/>
        <w:overflowPunct/>
        <w:topLinePunct/>
        <w:autoSpaceDE/>
        <w:autoSpaceDN/>
        <w:bidi w:val="0"/>
        <w:spacing w:line="560" w:lineRule="exact"/>
        <w:ind w:firstLine="640" w:firstLineChars="200"/>
        <w:textAlignment w:val="auto"/>
        <w:outlineLvl w:val="1"/>
        <w:rPr>
          <w:rFonts w:ascii="仿宋" w:hAnsi="仿宋" w:eastAsia="仿宋"/>
          <w:sz w:val="32"/>
          <w:szCs w:val="32"/>
        </w:rPr>
      </w:pPr>
      <w:bookmarkStart w:id="160" w:name="_Toc23509"/>
      <w:r>
        <w:rPr>
          <w:rFonts w:hint="eastAsia" w:ascii="仿宋" w:hAnsi="仿宋" w:eastAsia="仿宋"/>
          <w:sz w:val="32"/>
          <w:szCs w:val="32"/>
        </w:rPr>
        <w:t>一、收入支出决算总表</w:t>
      </w:r>
      <w:bookmarkEnd w:id="160"/>
    </w:p>
    <w:p w14:paraId="709E70A8">
      <w:pPr>
        <w:keepNext w:val="0"/>
        <w:keepLines w:val="0"/>
        <w:pageBreakBefore w:val="0"/>
        <w:widowControl w:val="0"/>
        <w:kinsoku/>
        <w:wordWrap/>
        <w:overflowPunct/>
        <w:topLinePunct/>
        <w:autoSpaceDE/>
        <w:autoSpaceDN/>
        <w:bidi w:val="0"/>
        <w:spacing w:line="560" w:lineRule="exact"/>
        <w:ind w:firstLine="640" w:firstLineChars="200"/>
        <w:textAlignment w:val="auto"/>
        <w:outlineLvl w:val="1"/>
        <w:rPr>
          <w:rFonts w:ascii="仿宋" w:hAnsi="仿宋" w:eastAsia="仿宋"/>
          <w:sz w:val="32"/>
          <w:szCs w:val="32"/>
        </w:rPr>
      </w:pPr>
      <w:bookmarkStart w:id="161" w:name="_Toc6688"/>
      <w:r>
        <w:rPr>
          <w:rFonts w:hint="eastAsia" w:ascii="仿宋" w:hAnsi="仿宋" w:eastAsia="仿宋"/>
          <w:sz w:val="32"/>
          <w:szCs w:val="32"/>
        </w:rPr>
        <w:t>二、收入决算表</w:t>
      </w:r>
      <w:bookmarkEnd w:id="161"/>
    </w:p>
    <w:p w14:paraId="2F4283AC">
      <w:pPr>
        <w:keepNext w:val="0"/>
        <w:keepLines w:val="0"/>
        <w:pageBreakBefore w:val="0"/>
        <w:widowControl w:val="0"/>
        <w:kinsoku/>
        <w:wordWrap/>
        <w:overflowPunct/>
        <w:topLinePunct/>
        <w:autoSpaceDE/>
        <w:autoSpaceDN/>
        <w:bidi w:val="0"/>
        <w:spacing w:line="560" w:lineRule="exact"/>
        <w:ind w:firstLine="640" w:firstLineChars="200"/>
        <w:textAlignment w:val="auto"/>
        <w:outlineLvl w:val="1"/>
        <w:rPr>
          <w:rFonts w:ascii="仿宋" w:hAnsi="仿宋" w:eastAsia="仿宋"/>
          <w:sz w:val="32"/>
          <w:szCs w:val="32"/>
        </w:rPr>
      </w:pPr>
      <w:bookmarkStart w:id="162" w:name="_Toc1545"/>
      <w:r>
        <w:rPr>
          <w:rFonts w:hint="eastAsia" w:ascii="仿宋" w:hAnsi="仿宋" w:eastAsia="仿宋"/>
          <w:sz w:val="32"/>
          <w:szCs w:val="32"/>
        </w:rPr>
        <w:t>三、支出决算表</w:t>
      </w:r>
      <w:bookmarkEnd w:id="162"/>
    </w:p>
    <w:p w14:paraId="255A585B">
      <w:pPr>
        <w:keepNext w:val="0"/>
        <w:keepLines w:val="0"/>
        <w:pageBreakBefore w:val="0"/>
        <w:widowControl w:val="0"/>
        <w:kinsoku/>
        <w:wordWrap/>
        <w:overflowPunct/>
        <w:topLinePunct/>
        <w:autoSpaceDE/>
        <w:autoSpaceDN/>
        <w:bidi w:val="0"/>
        <w:spacing w:line="560" w:lineRule="exact"/>
        <w:ind w:firstLine="640" w:firstLineChars="200"/>
        <w:textAlignment w:val="auto"/>
        <w:outlineLvl w:val="1"/>
        <w:rPr>
          <w:rFonts w:ascii="仿宋" w:hAnsi="仿宋" w:eastAsia="仿宋"/>
          <w:sz w:val="32"/>
          <w:szCs w:val="32"/>
        </w:rPr>
      </w:pPr>
      <w:bookmarkStart w:id="163" w:name="_Toc16159"/>
      <w:r>
        <w:rPr>
          <w:rFonts w:hint="eastAsia" w:ascii="仿宋" w:hAnsi="仿宋" w:eastAsia="仿宋"/>
          <w:sz w:val="32"/>
          <w:szCs w:val="32"/>
        </w:rPr>
        <w:t>四、财政拨款收入支出决算总表</w:t>
      </w:r>
      <w:bookmarkEnd w:id="163"/>
    </w:p>
    <w:p w14:paraId="45BFD47F">
      <w:pPr>
        <w:keepNext w:val="0"/>
        <w:keepLines w:val="0"/>
        <w:pageBreakBefore w:val="0"/>
        <w:widowControl w:val="0"/>
        <w:kinsoku/>
        <w:wordWrap/>
        <w:overflowPunct/>
        <w:topLinePunct/>
        <w:autoSpaceDE/>
        <w:autoSpaceDN/>
        <w:bidi w:val="0"/>
        <w:spacing w:line="560" w:lineRule="exact"/>
        <w:ind w:firstLine="640" w:firstLineChars="200"/>
        <w:textAlignment w:val="auto"/>
        <w:outlineLvl w:val="1"/>
        <w:rPr>
          <w:rFonts w:ascii="仿宋" w:hAnsi="仿宋" w:eastAsia="仿宋"/>
          <w:sz w:val="32"/>
          <w:szCs w:val="32"/>
        </w:rPr>
      </w:pPr>
      <w:bookmarkStart w:id="164" w:name="_Toc2525"/>
      <w:r>
        <w:rPr>
          <w:rFonts w:hint="eastAsia" w:ascii="仿宋" w:hAnsi="仿宋" w:eastAsia="仿宋"/>
          <w:sz w:val="32"/>
          <w:szCs w:val="32"/>
        </w:rPr>
        <w:t>五、财政拨款支出决算明细表</w:t>
      </w:r>
      <w:bookmarkEnd w:id="164"/>
    </w:p>
    <w:p w14:paraId="7F96E971">
      <w:pPr>
        <w:keepNext w:val="0"/>
        <w:keepLines w:val="0"/>
        <w:pageBreakBefore w:val="0"/>
        <w:widowControl w:val="0"/>
        <w:kinsoku/>
        <w:wordWrap/>
        <w:overflowPunct/>
        <w:topLinePunct/>
        <w:autoSpaceDE/>
        <w:autoSpaceDN/>
        <w:bidi w:val="0"/>
        <w:spacing w:line="560" w:lineRule="exact"/>
        <w:ind w:firstLine="640" w:firstLineChars="200"/>
        <w:textAlignment w:val="auto"/>
        <w:outlineLvl w:val="1"/>
        <w:rPr>
          <w:rFonts w:ascii="仿宋" w:hAnsi="仿宋" w:eastAsia="仿宋"/>
          <w:sz w:val="32"/>
          <w:szCs w:val="32"/>
        </w:rPr>
      </w:pPr>
      <w:bookmarkStart w:id="165" w:name="_Toc16983"/>
      <w:r>
        <w:rPr>
          <w:rFonts w:hint="eastAsia" w:ascii="仿宋" w:hAnsi="仿宋" w:eastAsia="仿宋"/>
          <w:sz w:val="32"/>
          <w:szCs w:val="32"/>
        </w:rPr>
        <w:t>六、一般公共预算财政拨款支出决算表</w:t>
      </w:r>
      <w:bookmarkEnd w:id="165"/>
    </w:p>
    <w:p w14:paraId="10A0A4F5">
      <w:pPr>
        <w:keepNext w:val="0"/>
        <w:keepLines w:val="0"/>
        <w:pageBreakBefore w:val="0"/>
        <w:widowControl w:val="0"/>
        <w:kinsoku/>
        <w:wordWrap/>
        <w:overflowPunct/>
        <w:topLinePunct/>
        <w:autoSpaceDE/>
        <w:autoSpaceDN/>
        <w:bidi w:val="0"/>
        <w:spacing w:line="560" w:lineRule="exact"/>
        <w:ind w:firstLine="640" w:firstLineChars="200"/>
        <w:textAlignment w:val="auto"/>
        <w:outlineLvl w:val="1"/>
        <w:rPr>
          <w:rFonts w:ascii="仿宋" w:hAnsi="仿宋" w:eastAsia="仿宋"/>
          <w:sz w:val="32"/>
          <w:szCs w:val="32"/>
        </w:rPr>
      </w:pPr>
      <w:bookmarkStart w:id="166" w:name="_Toc7871"/>
      <w:r>
        <w:rPr>
          <w:rFonts w:hint="eastAsia" w:ascii="仿宋" w:hAnsi="仿宋" w:eastAsia="仿宋"/>
          <w:sz w:val="32"/>
          <w:szCs w:val="32"/>
        </w:rPr>
        <w:t>七、一般公共预算财政拨款支出决算明细表</w:t>
      </w:r>
      <w:bookmarkEnd w:id="166"/>
    </w:p>
    <w:p w14:paraId="2E71DEF5">
      <w:pPr>
        <w:keepNext w:val="0"/>
        <w:keepLines w:val="0"/>
        <w:pageBreakBefore w:val="0"/>
        <w:widowControl w:val="0"/>
        <w:kinsoku/>
        <w:wordWrap/>
        <w:overflowPunct/>
        <w:topLinePunct/>
        <w:autoSpaceDE/>
        <w:autoSpaceDN/>
        <w:bidi w:val="0"/>
        <w:spacing w:line="560" w:lineRule="exact"/>
        <w:ind w:firstLine="640" w:firstLineChars="200"/>
        <w:textAlignment w:val="auto"/>
        <w:outlineLvl w:val="1"/>
        <w:rPr>
          <w:rFonts w:ascii="仿宋" w:hAnsi="仿宋" w:eastAsia="仿宋"/>
          <w:sz w:val="32"/>
          <w:szCs w:val="32"/>
        </w:rPr>
      </w:pPr>
      <w:bookmarkStart w:id="167" w:name="_Toc18483"/>
      <w:r>
        <w:rPr>
          <w:rFonts w:hint="eastAsia" w:ascii="仿宋" w:hAnsi="仿宋" w:eastAsia="仿宋"/>
          <w:sz w:val="32"/>
          <w:szCs w:val="32"/>
        </w:rPr>
        <w:t>八、一般公共预算财政拨款基本支出决算表</w:t>
      </w:r>
      <w:bookmarkEnd w:id="167"/>
    </w:p>
    <w:p w14:paraId="496A938C">
      <w:pPr>
        <w:keepNext w:val="0"/>
        <w:keepLines w:val="0"/>
        <w:pageBreakBefore w:val="0"/>
        <w:widowControl w:val="0"/>
        <w:kinsoku/>
        <w:wordWrap/>
        <w:overflowPunct/>
        <w:topLinePunct/>
        <w:autoSpaceDE/>
        <w:autoSpaceDN/>
        <w:bidi w:val="0"/>
        <w:spacing w:line="560" w:lineRule="exact"/>
        <w:ind w:firstLine="640" w:firstLineChars="200"/>
        <w:textAlignment w:val="auto"/>
        <w:outlineLvl w:val="1"/>
        <w:rPr>
          <w:rFonts w:ascii="仿宋" w:hAnsi="仿宋" w:eastAsia="仿宋"/>
          <w:sz w:val="32"/>
          <w:szCs w:val="32"/>
        </w:rPr>
      </w:pPr>
      <w:bookmarkStart w:id="168" w:name="_Toc24382"/>
      <w:r>
        <w:rPr>
          <w:rFonts w:hint="eastAsia" w:ascii="仿宋" w:hAnsi="仿宋" w:eastAsia="仿宋"/>
          <w:sz w:val="32"/>
          <w:szCs w:val="32"/>
        </w:rPr>
        <w:t>九、一般公共预算财政拨款项目支出决算表</w:t>
      </w:r>
      <w:bookmarkEnd w:id="168"/>
    </w:p>
    <w:p w14:paraId="582439FE">
      <w:pPr>
        <w:keepNext w:val="0"/>
        <w:keepLines w:val="0"/>
        <w:pageBreakBefore w:val="0"/>
        <w:widowControl w:val="0"/>
        <w:kinsoku/>
        <w:wordWrap/>
        <w:overflowPunct/>
        <w:topLinePunct/>
        <w:autoSpaceDE/>
        <w:autoSpaceDN/>
        <w:bidi w:val="0"/>
        <w:spacing w:line="560" w:lineRule="exact"/>
        <w:ind w:firstLine="640" w:firstLineChars="200"/>
        <w:textAlignment w:val="auto"/>
        <w:outlineLvl w:val="1"/>
        <w:rPr>
          <w:rFonts w:ascii="仿宋" w:hAnsi="仿宋" w:eastAsia="仿宋"/>
          <w:sz w:val="32"/>
          <w:szCs w:val="32"/>
        </w:rPr>
      </w:pPr>
      <w:bookmarkStart w:id="169" w:name="_Toc12691"/>
      <w:r>
        <w:rPr>
          <w:rFonts w:hint="eastAsia" w:ascii="仿宋" w:hAnsi="仿宋" w:eastAsia="仿宋"/>
          <w:sz w:val="32"/>
          <w:szCs w:val="32"/>
        </w:rPr>
        <w:t>十、政府性基金预算财政拨款收入支出决算表</w:t>
      </w:r>
      <w:bookmarkEnd w:id="169"/>
    </w:p>
    <w:p w14:paraId="06B2BF1F">
      <w:pPr>
        <w:keepNext w:val="0"/>
        <w:keepLines w:val="0"/>
        <w:pageBreakBefore w:val="0"/>
        <w:widowControl w:val="0"/>
        <w:kinsoku/>
        <w:wordWrap/>
        <w:overflowPunct/>
        <w:topLinePunct/>
        <w:autoSpaceDE/>
        <w:autoSpaceDN/>
        <w:bidi w:val="0"/>
        <w:spacing w:line="560" w:lineRule="exact"/>
        <w:ind w:firstLine="640" w:firstLineChars="200"/>
        <w:textAlignment w:val="auto"/>
        <w:outlineLvl w:val="1"/>
        <w:rPr>
          <w:rFonts w:ascii="仿宋" w:hAnsi="仿宋" w:eastAsia="仿宋"/>
          <w:sz w:val="32"/>
          <w:szCs w:val="32"/>
        </w:rPr>
      </w:pPr>
      <w:bookmarkStart w:id="170" w:name="_Toc16163"/>
      <w:r>
        <w:rPr>
          <w:rFonts w:hint="eastAsia" w:ascii="仿宋" w:hAnsi="仿宋" w:eastAsia="仿宋"/>
          <w:sz w:val="32"/>
          <w:szCs w:val="32"/>
        </w:rPr>
        <w:t>十一、国有资本经营预算财政拨款收入支出决算表</w:t>
      </w:r>
      <w:bookmarkEnd w:id="170"/>
    </w:p>
    <w:p w14:paraId="0B99044F">
      <w:pPr>
        <w:keepNext w:val="0"/>
        <w:keepLines w:val="0"/>
        <w:pageBreakBefore w:val="0"/>
        <w:widowControl w:val="0"/>
        <w:kinsoku/>
        <w:wordWrap/>
        <w:overflowPunct/>
        <w:topLinePunct/>
        <w:autoSpaceDE/>
        <w:autoSpaceDN/>
        <w:bidi w:val="0"/>
        <w:spacing w:line="560" w:lineRule="exact"/>
        <w:ind w:firstLine="640" w:firstLineChars="200"/>
        <w:textAlignment w:val="auto"/>
        <w:outlineLvl w:val="1"/>
        <w:rPr>
          <w:rFonts w:ascii="仿宋" w:hAnsi="仿宋" w:eastAsia="仿宋"/>
          <w:sz w:val="32"/>
          <w:szCs w:val="32"/>
        </w:rPr>
      </w:pPr>
      <w:bookmarkStart w:id="171" w:name="_Toc26618"/>
      <w:r>
        <w:rPr>
          <w:rFonts w:hint="eastAsia" w:ascii="仿宋" w:hAnsi="仿宋" w:eastAsia="仿宋"/>
          <w:sz w:val="32"/>
          <w:szCs w:val="32"/>
        </w:rPr>
        <w:t>十二、国有资本经营预算财政拨款支出决算表</w:t>
      </w:r>
      <w:bookmarkEnd w:id="171"/>
    </w:p>
    <w:p w14:paraId="1BD0017B">
      <w:pPr>
        <w:keepNext w:val="0"/>
        <w:keepLines w:val="0"/>
        <w:pageBreakBefore w:val="0"/>
        <w:widowControl w:val="0"/>
        <w:kinsoku/>
        <w:wordWrap/>
        <w:overflowPunct/>
        <w:topLinePunct/>
        <w:autoSpaceDE/>
        <w:autoSpaceDN/>
        <w:bidi w:val="0"/>
        <w:spacing w:line="560" w:lineRule="exact"/>
        <w:ind w:firstLine="640" w:firstLineChars="200"/>
        <w:textAlignment w:val="auto"/>
        <w:outlineLvl w:val="1"/>
        <w:rPr>
          <w:rFonts w:ascii="仿宋" w:hAnsi="仿宋" w:eastAsia="仿宋"/>
          <w:sz w:val="32"/>
          <w:szCs w:val="32"/>
        </w:rPr>
      </w:pPr>
      <w:bookmarkStart w:id="172" w:name="_Toc6995"/>
      <w:r>
        <w:rPr>
          <w:rFonts w:hint="eastAsia" w:ascii="仿宋" w:hAnsi="仿宋" w:eastAsia="仿宋"/>
          <w:sz w:val="32"/>
          <w:szCs w:val="32"/>
        </w:rPr>
        <w:t>十三、财政拨款“三公”经费支出决算表</w:t>
      </w:r>
      <w:bookmarkEnd w:id="172"/>
    </w:p>
    <w:sectPr>
      <w:footerReference r:id="rId8" w:type="firs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EndPr>
      <w:rPr>
        <w:rFonts w:hint="eastAsia" w:ascii="仿宋_GB2312" w:hAnsi="仿宋_GB2312" w:eastAsia="仿宋_GB2312" w:cs="仿宋_GB2312"/>
        <w:sz w:val="28"/>
        <w:szCs w:val="28"/>
      </w:rPr>
    </w:sdtEndPr>
    <w:sdtContent>
      <w:p w14:paraId="0B5E7070">
        <w:pPr>
          <w:pStyle w:val="1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23</w:t>
        </w:r>
        <w:r>
          <w:rPr>
            <w:rFonts w:hint="eastAsia" w:ascii="仿宋_GB2312" w:hAnsi="仿宋_GB2312" w:eastAsia="仿宋_GB2312" w:cs="仿宋_GB2312"/>
            <w:sz w:val="28"/>
            <w:szCs w:val="28"/>
          </w:rPr>
          <w:fldChar w:fldCharType="end"/>
        </w:r>
      </w:p>
    </w:sdtContent>
  </w:sdt>
  <w:p w14:paraId="30E3076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B7639">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D5C8A">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3809"/>
    </w:sdtPr>
    <w:sdtEndPr>
      <w:rPr>
        <w:rFonts w:hint="eastAsia" w:ascii="仿宋_GB2312" w:hAnsi="仿宋_GB2312" w:eastAsia="仿宋_GB2312" w:cs="仿宋_GB2312"/>
        <w:sz w:val="28"/>
        <w:szCs w:val="28"/>
      </w:rPr>
    </w:sdtEndPr>
    <w:sdtContent>
      <w:p w14:paraId="792CB363">
        <w:pPr>
          <w:pStyle w:val="1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23</w:t>
        </w:r>
        <w:r>
          <w:rPr>
            <w:rFonts w:hint="eastAsia" w:ascii="仿宋_GB2312" w:hAnsi="仿宋_GB2312" w:eastAsia="仿宋_GB2312" w:cs="仿宋_GB2312"/>
            <w:sz w:val="28"/>
            <w:szCs w:val="28"/>
          </w:rPr>
          <w:fldChar w:fldCharType="end"/>
        </w:r>
      </w:p>
    </w:sdtContent>
  </w:sdt>
  <w:p w14:paraId="33D8709A">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DC941">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0A633">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32215"/>
    <w:multiLevelType w:val="singleLevel"/>
    <w:tmpl w:val="A3C32215"/>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99E7CC0"/>
    <w:multiLevelType w:val="singleLevel"/>
    <w:tmpl w:val="D99E7CC0"/>
    <w:lvl w:ilvl="0" w:tentative="0">
      <w:start w:val="3"/>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2E04269"/>
    <w:multiLevelType w:val="singleLevel"/>
    <w:tmpl w:val="52E04269"/>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jYjM2ZTkwNDJiNTU5M2Q2YTcyZTYzN2I0YjdhNzYifQ=="/>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3375"/>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FEBE30"/>
    <w:rsid w:val="036F8141"/>
    <w:rsid w:val="045845B4"/>
    <w:rsid w:val="046E699D"/>
    <w:rsid w:val="066E0107"/>
    <w:rsid w:val="07074AC5"/>
    <w:rsid w:val="07666193"/>
    <w:rsid w:val="07996F6E"/>
    <w:rsid w:val="079F3C48"/>
    <w:rsid w:val="07DFD8BA"/>
    <w:rsid w:val="0A2032A3"/>
    <w:rsid w:val="0C230678"/>
    <w:rsid w:val="0C8C4B6B"/>
    <w:rsid w:val="0D35B1ED"/>
    <w:rsid w:val="0E7ED1F5"/>
    <w:rsid w:val="0F98263C"/>
    <w:rsid w:val="101860EC"/>
    <w:rsid w:val="10451A7C"/>
    <w:rsid w:val="10C055FF"/>
    <w:rsid w:val="118107EC"/>
    <w:rsid w:val="13D50BC4"/>
    <w:rsid w:val="13F5616D"/>
    <w:rsid w:val="164C6CBB"/>
    <w:rsid w:val="165400D1"/>
    <w:rsid w:val="16BB723D"/>
    <w:rsid w:val="17F9714D"/>
    <w:rsid w:val="1918F934"/>
    <w:rsid w:val="1A6200FB"/>
    <w:rsid w:val="1BE8440E"/>
    <w:rsid w:val="1C745184"/>
    <w:rsid w:val="1D155CEE"/>
    <w:rsid w:val="1DFBC4B3"/>
    <w:rsid w:val="1E68461E"/>
    <w:rsid w:val="1E740ACF"/>
    <w:rsid w:val="1F19C781"/>
    <w:rsid w:val="1F33FCE5"/>
    <w:rsid w:val="1F7333CB"/>
    <w:rsid w:val="1F7F7398"/>
    <w:rsid w:val="1FD2DB6F"/>
    <w:rsid w:val="1FF35744"/>
    <w:rsid w:val="1FF6BC77"/>
    <w:rsid w:val="1FF9236D"/>
    <w:rsid w:val="22222F35"/>
    <w:rsid w:val="227427BA"/>
    <w:rsid w:val="2333840E"/>
    <w:rsid w:val="23860B96"/>
    <w:rsid w:val="240371BF"/>
    <w:rsid w:val="24857BD4"/>
    <w:rsid w:val="257C638F"/>
    <w:rsid w:val="25976DD4"/>
    <w:rsid w:val="25E86E14"/>
    <w:rsid w:val="261766EE"/>
    <w:rsid w:val="274D602F"/>
    <w:rsid w:val="28F553FE"/>
    <w:rsid w:val="296608E7"/>
    <w:rsid w:val="29FD04D3"/>
    <w:rsid w:val="2BFF7BC6"/>
    <w:rsid w:val="2C8A61B5"/>
    <w:rsid w:val="2CD59C95"/>
    <w:rsid w:val="2DF04E50"/>
    <w:rsid w:val="2EFD05E5"/>
    <w:rsid w:val="2F040D46"/>
    <w:rsid w:val="2F4F95CE"/>
    <w:rsid w:val="2FACAFDD"/>
    <w:rsid w:val="2FAE5751"/>
    <w:rsid w:val="2FB1A395"/>
    <w:rsid w:val="2FCF0B76"/>
    <w:rsid w:val="2FD9A7D8"/>
    <w:rsid w:val="319F7F4E"/>
    <w:rsid w:val="3304709D"/>
    <w:rsid w:val="333108EA"/>
    <w:rsid w:val="369462C9"/>
    <w:rsid w:val="36AA5135"/>
    <w:rsid w:val="36BE0DA7"/>
    <w:rsid w:val="376B6AA6"/>
    <w:rsid w:val="376D39B2"/>
    <w:rsid w:val="37E16F03"/>
    <w:rsid w:val="37F53A3B"/>
    <w:rsid w:val="38D469F0"/>
    <w:rsid w:val="38F78389"/>
    <w:rsid w:val="397BAF1F"/>
    <w:rsid w:val="39E7B272"/>
    <w:rsid w:val="39F7642F"/>
    <w:rsid w:val="39FF7B37"/>
    <w:rsid w:val="3A773BBF"/>
    <w:rsid w:val="3AB79AF3"/>
    <w:rsid w:val="3AFDCB77"/>
    <w:rsid w:val="3B7EF35A"/>
    <w:rsid w:val="3B9FDB6C"/>
    <w:rsid w:val="3BF5BC2F"/>
    <w:rsid w:val="3BF7C23A"/>
    <w:rsid w:val="3BFF223E"/>
    <w:rsid w:val="3C6EC0A1"/>
    <w:rsid w:val="3CCE7A8F"/>
    <w:rsid w:val="3CDB0824"/>
    <w:rsid w:val="3CEBA265"/>
    <w:rsid w:val="3D6409C2"/>
    <w:rsid w:val="3D6A7F9F"/>
    <w:rsid w:val="3D7E7F4D"/>
    <w:rsid w:val="3D98207C"/>
    <w:rsid w:val="3D9CF30A"/>
    <w:rsid w:val="3DFF5A3E"/>
    <w:rsid w:val="3E78745D"/>
    <w:rsid w:val="3EEE77E9"/>
    <w:rsid w:val="3F394AF5"/>
    <w:rsid w:val="3FBE5714"/>
    <w:rsid w:val="3FDD8615"/>
    <w:rsid w:val="3FDFB2FF"/>
    <w:rsid w:val="3FF4CAE0"/>
    <w:rsid w:val="3FF75FAF"/>
    <w:rsid w:val="3FF7B227"/>
    <w:rsid w:val="40B54A5A"/>
    <w:rsid w:val="40BA251D"/>
    <w:rsid w:val="44670AB3"/>
    <w:rsid w:val="44E268DA"/>
    <w:rsid w:val="457F4F6B"/>
    <w:rsid w:val="4737FB58"/>
    <w:rsid w:val="47ECCB02"/>
    <w:rsid w:val="47F353E0"/>
    <w:rsid w:val="47FA6A3F"/>
    <w:rsid w:val="482A38F1"/>
    <w:rsid w:val="49D7AE48"/>
    <w:rsid w:val="4A3F6C7E"/>
    <w:rsid w:val="4A627F82"/>
    <w:rsid w:val="4B0E749A"/>
    <w:rsid w:val="4B4F25DA"/>
    <w:rsid w:val="4BBB4781"/>
    <w:rsid w:val="4BD709A5"/>
    <w:rsid w:val="4BDD9BFF"/>
    <w:rsid w:val="4BE068DB"/>
    <w:rsid w:val="4C1E4131"/>
    <w:rsid w:val="4D577224"/>
    <w:rsid w:val="4DBF1CEB"/>
    <w:rsid w:val="4DBF6A6B"/>
    <w:rsid w:val="4DF6A672"/>
    <w:rsid w:val="4EAB630A"/>
    <w:rsid w:val="4ECE2238"/>
    <w:rsid w:val="4F7EA413"/>
    <w:rsid w:val="4FAB812F"/>
    <w:rsid w:val="4FE9BD67"/>
    <w:rsid w:val="4FEE4C07"/>
    <w:rsid w:val="4FFB052F"/>
    <w:rsid w:val="50EC313C"/>
    <w:rsid w:val="52C6501F"/>
    <w:rsid w:val="53004672"/>
    <w:rsid w:val="53634374"/>
    <w:rsid w:val="537E6D0A"/>
    <w:rsid w:val="53AB6B88"/>
    <w:rsid w:val="53F74C96"/>
    <w:rsid w:val="543F4372"/>
    <w:rsid w:val="5583522D"/>
    <w:rsid w:val="57BD3DD4"/>
    <w:rsid w:val="57F54A9A"/>
    <w:rsid w:val="57F9CD1E"/>
    <w:rsid w:val="59F021EF"/>
    <w:rsid w:val="5AF92295"/>
    <w:rsid w:val="5AF9D8E9"/>
    <w:rsid w:val="5B00677C"/>
    <w:rsid w:val="5BDD38BD"/>
    <w:rsid w:val="5BDD79E6"/>
    <w:rsid w:val="5BEFC772"/>
    <w:rsid w:val="5BFF5DFC"/>
    <w:rsid w:val="5CD71FC4"/>
    <w:rsid w:val="5D1F11B5"/>
    <w:rsid w:val="5D3647F9"/>
    <w:rsid w:val="5DA644D4"/>
    <w:rsid w:val="5DAE1B18"/>
    <w:rsid w:val="5DE7D9E5"/>
    <w:rsid w:val="5ECEC941"/>
    <w:rsid w:val="5EFF8FC6"/>
    <w:rsid w:val="5F5BA39A"/>
    <w:rsid w:val="5F7D3B79"/>
    <w:rsid w:val="5F7F4610"/>
    <w:rsid w:val="5FBF9FF3"/>
    <w:rsid w:val="5FCD4E2C"/>
    <w:rsid w:val="5FEF394A"/>
    <w:rsid w:val="5FF67715"/>
    <w:rsid w:val="61924DCC"/>
    <w:rsid w:val="61CA71D5"/>
    <w:rsid w:val="627EE9EA"/>
    <w:rsid w:val="630960EE"/>
    <w:rsid w:val="631D453F"/>
    <w:rsid w:val="63647B36"/>
    <w:rsid w:val="63B23AA5"/>
    <w:rsid w:val="63B912E4"/>
    <w:rsid w:val="647F5392"/>
    <w:rsid w:val="64E322C4"/>
    <w:rsid w:val="65AF3E56"/>
    <w:rsid w:val="65FB93B9"/>
    <w:rsid w:val="6633C463"/>
    <w:rsid w:val="66D32078"/>
    <w:rsid w:val="67D55B77"/>
    <w:rsid w:val="67EE7F84"/>
    <w:rsid w:val="686F5F53"/>
    <w:rsid w:val="6AFFCEAF"/>
    <w:rsid w:val="6B4B5E20"/>
    <w:rsid w:val="6B96E9E6"/>
    <w:rsid w:val="6BCE57B5"/>
    <w:rsid w:val="6BFEA4DB"/>
    <w:rsid w:val="6BFFB662"/>
    <w:rsid w:val="6C4A05C8"/>
    <w:rsid w:val="6C6E2122"/>
    <w:rsid w:val="6CFF4FB8"/>
    <w:rsid w:val="6D6BD6E0"/>
    <w:rsid w:val="6D77E73C"/>
    <w:rsid w:val="6DBF5E93"/>
    <w:rsid w:val="6DFF077E"/>
    <w:rsid w:val="6E7E3605"/>
    <w:rsid w:val="6E7FDCC7"/>
    <w:rsid w:val="6ED6A62E"/>
    <w:rsid w:val="6EE00B15"/>
    <w:rsid w:val="6EE737B2"/>
    <w:rsid w:val="6EEB2329"/>
    <w:rsid w:val="6EECE67A"/>
    <w:rsid w:val="6F6F90A8"/>
    <w:rsid w:val="6F6FB3EB"/>
    <w:rsid w:val="6F8731EA"/>
    <w:rsid w:val="6FB95E7D"/>
    <w:rsid w:val="6FBC2ADD"/>
    <w:rsid w:val="6FD57C00"/>
    <w:rsid w:val="6FEFFFD8"/>
    <w:rsid w:val="6FF5CC65"/>
    <w:rsid w:val="6FFB47EC"/>
    <w:rsid w:val="6FFF034A"/>
    <w:rsid w:val="712A28F1"/>
    <w:rsid w:val="715C0E4B"/>
    <w:rsid w:val="71FFD401"/>
    <w:rsid w:val="72233669"/>
    <w:rsid w:val="72734D90"/>
    <w:rsid w:val="72932BCC"/>
    <w:rsid w:val="72D915F8"/>
    <w:rsid w:val="73316245"/>
    <w:rsid w:val="7332FE48"/>
    <w:rsid w:val="73AD73D5"/>
    <w:rsid w:val="73B6EB34"/>
    <w:rsid w:val="73FA497D"/>
    <w:rsid w:val="744731E5"/>
    <w:rsid w:val="749116A0"/>
    <w:rsid w:val="74BBD01D"/>
    <w:rsid w:val="74ED5379"/>
    <w:rsid w:val="75DEEEC2"/>
    <w:rsid w:val="76795440"/>
    <w:rsid w:val="767F479D"/>
    <w:rsid w:val="76E3355F"/>
    <w:rsid w:val="76F742AF"/>
    <w:rsid w:val="76F7BE7D"/>
    <w:rsid w:val="76FF5125"/>
    <w:rsid w:val="773570D3"/>
    <w:rsid w:val="77597F31"/>
    <w:rsid w:val="776F6FFA"/>
    <w:rsid w:val="7777A522"/>
    <w:rsid w:val="77858688"/>
    <w:rsid w:val="778769C8"/>
    <w:rsid w:val="77CB741A"/>
    <w:rsid w:val="77D7BE3A"/>
    <w:rsid w:val="77DC22F5"/>
    <w:rsid w:val="788F0AF5"/>
    <w:rsid w:val="797E3A6C"/>
    <w:rsid w:val="79CF70E2"/>
    <w:rsid w:val="79D7FD79"/>
    <w:rsid w:val="79DA2A5F"/>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CB3882"/>
    <w:rsid w:val="7BF3FE4C"/>
    <w:rsid w:val="7BFB5035"/>
    <w:rsid w:val="7BFDE17E"/>
    <w:rsid w:val="7CBFC87B"/>
    <w:rsid w:val="7CFE0F48"/>
    <w:rsid w:val="7D0E6DC0"/>
    <w:rsid w:val="7D3DE31C"/>
    <w:rsid w:val="7D4C20DE"/>
    <w:rsid w:val="7D7EC23E"/>
    <w:rsid w:val="7D7F8A13"/>
    <w:rsid w:val="7DBBCB01"/>
    <w:rsid w:val="7DC765D0"/>
    <w:rsid w:val="7DDB0EE0"/>
    <w:rsid w:val="7DFB778A"/>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next w:val="1"/>
    <w:qFormat/>
    <w:uiPriority w:val="0"/>
    <w:pPr>
      <w:ind w:firstLine="200" w:firstLineChars="200"/>
    </w:pPr>
    <w:rPr>
      <w:rFonts w:hint="default" w:ascii="Calibri" w:hAnsi="Calibri"/>
    </w:rPr>
  </w:style>
  <w:style w:type="paragraph" w:styleId="3">
    <w:name w:val="Body Text Indent"/>
    <w:basedOn w:val="1"/>
    <w:qFormat/>
    <w:uiPriority w:val="0"/>
    <w:pPr>
      <w:spacing w:after="120"/>
      <w:ind w:left="200" w:leftChars="200"/>
    </w:pPr>
    <w:rPr>
      <w:rFonts w:ascii="仿宋_GB2312"/>
      <w:szCs w:val="32"/>
    </w:rPr>
  </w:style>
  <w:style w:type="paragraph" w:styleId="7">
    <w:name w:val="annotation text"/>
    <w:basedOn w:val="1"/>
    <w:semiHidden/>
    <w:unhideWhenUsed/>
    <w:uiPriority w:val="99"/>
    <w:pPr>
      <w:jc w:val="left"/>
    </w:p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4"/>
    <w:qFormat/>
    <w:uiPriority w:val="9"/>
    <w:rPr>
      <w:rFonts w:ascii="Times New Roman" w:hAnsi="Times New Roman"/>
      <w:b/>
      <w:bCs/>
      <w:kern w:val="44"/>
      <w:sz w:val="44"/>
      <w:szCs w:val="44"/>
    </w:rPr>
  </w:style>
  <w:style w:type="character" w:customStyle="1" w:styleId="29">
    <w:name w:val="标题 2 字符"/>
    <w:basedOn w:val="16"/>
    <w:link w:val="5"/>
    <w:qFormat/>
    <w:uiPriority w:val="9"/>
    <w:rPr>
      <w:rFonts w:asciiTheme="majorHAnsi" w:hAnsiTheme="majorHAnsi" w:eastAsiaTheme="majorEastAsia" w:cstheme="majorBidi"/>
      <w:b/>
      <w:bCs/>
      <w:kern w:val="2"/>
      <w:sz w:val="32"/>
      <w:szCs w:val="32"/>
    </w:rPr>
  </w:style>
  <w:style w:type="paragraph" w:customStyle="1" w:styleId="30">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10"/>
    <w:semiHidden/>
    <w:qFormat/>
    <w:uiPriority w:val="99"/>
    <w:rPr>
      <w:rFonts w:ascii="Times New Roman" w:hAnsi="Times New Roman"/>
      <w:kern w:val="2"/>
      <w:sz w:val="18"/>
      <w:szCs w:val="18"/>
    </w:rPr>
  </w:style>
  <w:style w:type="character" w:customStyle="1" w:styleId="32">
    <w:name w:val="标题 3 字符"/>
    <w:basedOn w:val="16"/>
    <w:link w:val="6"/>
    <w:qFormat/>
    <w:uiPriority w:val="9"/>
    <w:rPr>
      <w:rFonts w:ascii="Times New Roman" w:hAnsi="Times New Roman"/>
      <w:b/>
      <w:bCs/>
      <w:kern w:val="2"/>
      <w:sz w:val="32"/>
      <w:szCs w:val="32"/>
    </w:rPr>
  </w:style>
  <w:style w:type="paragraph" w:customStyle="1" w:styleId="33">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character" w:customStyle="1" w:styleId="35">
    <w:name w:val="font21"/>
    <w:basedOn w:val="16"/>
    <w:qFormat/>
    <w:uiPriority w:val="0"/>
    <w:rPr>
      <w:rFonts w:hint="eastAsia" w:ascii="黑体" w:hAnsi="黑体" w:eastAsia="黑体" w:cs="黑体"/>
      <w:color w:val="000000"/>
      <w:sz w:val="18"/>
      <w:szCs w:val="18"/>
      <w:u w:val="none"/>
    </w:rPr>
  </w:style>
  <w:style w:type="character" w:customStyle="1" w:styleId="36">
    <w:name w:val="font51"/>
    <w:basedOn w:val="16"/>
    <w:qFormat/>
    <w:uiPriority w:val="0"/>
    <w:rPr>
      <w:rFonts w:ascii="Arial" w:hAnsi="Arial" w:cs="Arial"/>
      <w:color w:val="000000"/>
      <w:sz w:val="18"/>
      <w:szCs w:val="18"/>
      <w:u w:val="none"/>
    </w:rPr>
  </w:style>
  <w:style w:type="character" w:customStyle="1" w:styleId="37">
    <w:name w:val="font31"/>
    <w:basedOn w:val="16"/>
    <w:qFormat/>
    <w:uiPriority w:val="0"/>
    <w:rPr>
      <w:rFonts w:hint="eastAsia" w:ascii="微软雅黑" w:hAnsi="微软雅黑" w:eastAsia="微软雅黑" w:cs="微软雅黑"/>
      <w:i/>
      <w:iCs/>
      <w:color w:val="000000"/>
      <w:sz w:val="16"/>
      <w:szCs w:val="16"/>
      <w:u w:val="none"/>
    </w:rPr>
  </w:style>
  <w:style w:type="character" w:customStyle="1" w:styleId="38">
    <w:name w:val="font61"/>
    <w:basedOn w:val="16"/>
    <w:qFormat/>
    <w:uiPriority w:val="0"/>
    <w:rPr>
      <w:rFonts w:hint="default" w:ascii="Arial" w:hAnsi="Arial" w:cs="Arial"/>
      <w:i/>
      <w:iCs/>
      <w:color w:val="000000"/>
      <w:sz w:val="16"/>
      <w:szCs w:val="16"/>
      <w:u w:val="none"/>
    </w:rPr>
  </w:style>
  <w:style w:type="character" w:customStyle="1" w:styleId="39">
    <w:name w:val="font41"/>
    <w:basedOn w:val="16"/>
    <w:qFormat/>
    <w:uiPriority w:val="0"/>
    <w:rPr>
      <w:rFonts w:hint="eastAsia" w:ascii="微软雅黑" w:hAnsi="微软雅黑" w:eastAsia="微软雅黑" w:cs="微软雅黑"/>
      <w:i/>
      <w:iCs/>
      <w:color w:val="000000"/>
      <w:sz w:val="16"/>
      <w:szCs w:val="16"/>
      <w:u w:val="none"/>
    </w:rPr>
  </w:style>
  <w:style w:type="character" w:customStyle="1" w:styleId="40">
    <w:name w:val="font71"/>
    <w:basedOn w:val="16"/>
    <w:qFormat/>
    <w:uiPriority w:val="0"/>
    <w:rPr>
      <w:rFonts w:hint="default" w:ascii="Arial" w:hAnsi="Arial" w:cs="Arial"/>
      <w:i/>
      <w:iCs/>
      <w:color w:val="000000"/>
      <w:sz w:val="16"/>
      <w:szCs w:val="16"/>
      <w:u w:val="none"/>
    </w:rPr>
  </w:style>
  <w:style w:type="character" w:customStyle="1" w:styleId="41">
    <w:name w:val="font81"/>
    <w:basedOn w:val="16"/>
    <w:qFormat/>
    <w:uiPriority w:val="0"/>
    <w:rPr>
      <w:rFonts w:hint="eastAsia" w:ascii="宋体" w:hAnsi="宋体" w:eastAsia="宋体" w:cs="宋体"/>
      <w:color w:val="000000"/>
      <w:sz w:val="18"/>
      <w:szCs w:val="18"/>
      <w:u w:val="none"/>
    </w:rPr>
  </w:style>
  <w:style w:type="character" w:customStyle="1" w:styleId="42">
    <w:name w:val="font91"/>
    <w:basedOn w:val="16"/>
    <w:qFormat/>
    <w:uiPriority w:val="0"/>
    <w:rPr>
      <w:rFonts w:hint="default" w:ascii="Arial" w:hAnsi="Arial" w:cs="Arial"/>
      <w:i/>
      <w:iCs/>
      <w:color w:val="000000"/>
      <w:sz w:val="16"/>
      <w:szCs w:val="16"/>
      <w:u w:val="none"/>
    </w:rPr>
  </w:style>
  <w:style w:type="paragraph" w:customStyle="1" w:styleId="43">
    <w:name w:val="Table Text"/>
    <w:basedOn w:val="1"/>
    <w:semiHidden/>
    <w:qFormat/>
    <w:uiPriority w:val="0"/>
    <w:rPr>
      <w:rFonts w:ascii="仿宋" w:hAnsi="仿宋" w:eastAsia="仿宋" w:cs="仿宋"/>
      <w:sz w:val="31"/>
      <w:szCs w:val="31"/>
      <w:lang w:val="en-US" w:eastAsia="en-US" w:bidi="ar-SA"/>
    </w:rPr>
  </w:style>
  <w:style w:type="table" w:customStyle="1" w:styleId="44">
    <w:name w:val="Table Normal"/>
    <w:unhideWhenUsed/>
    <w:qFormat/>
    <w:uiPriority w:val="0"/>
    <w:tblPr>
      <w:tblCellMar>
        <w:top w:w="0" w:type="dxa"/>
        <w:left w:w="0" w:type="dxa"/>
        <w:bottom w:w="0" w:type="dxa"/>
        <w:right w:w="0" w:type="dxa"/>
      </w:tblCellMar>
    </w:tblPr>
  </w:style>
  <w:style w:type="paragraph" w:customStyle="1" w:styleId="45">
    <w:name w:val="WPSOffice手动目录 1"/>
    <w:qFormat/>
    <w:uiPriority w:val="0"/>
    <w:pPr>
      <w:ind w:leftChars="0"/>
    </w:pPr>
    <w:rPr>
      <w:rFonts w:ascii="Times New Roman" w:hAnsi="Times New Roman" w:eastAsia="宋体" w:cs="Times New Roman"/>
      <w:sz w:val="20"/>
      <w:szCs w:val="20"/>
    </w:rPr>
  </w:style>
  <w:style w:type="paragraph" w:customStyle="1" w:styleId="4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4.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2.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24037;&#20316;&#31807;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736842105263"/>
          <c:y val="0.209895227008149"/>
          <c:w val="0.865315789473684"/>
          <c:h val="0.693573923166473"/>
        </c:manualLayout>
      </c:layout>
      <c:barChart>
        <c:barDir val="col"/>
        <c:grouping val="clustered"/>
        <c:varyColors val="0"/>
        <c:ser>
          <c:idx val="0"/>
          <c:order val="0"/>
          <c:tx>
            <c:strRef>
              <c:f>[工作簿1]Sheet2!$A$9</c:f>
              <c:strCache>
                <c:ptCount val="1"/>
                <c:pt idx="0">
                  <c:v>2022年</c:v>
                </c:pt>
              </c:strCache>
            </c:strRef>
          </c:tx>
          <c:spPr>
            <a:gradFill>
              <a:gsLst>
                <a:gs pos="0">
                  <a:srgbClr val="EE5596"/>
                </a:gs>
                <a:gs pos="100000">
                  <a:srgbClr val="F9B621"/>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[工作簿1]Sheet2!$B$8:$C$8</c:f>
              <c:strCache>
                <c:ptCount val="2"/>
                <c:pt idx="0">
                  <c:v>收入总计</c:v>
                </c:pt>
                <c:pt idx="1">
                  <c:v>支出总计</c:v>
                </c:pt>
              </c:strCache>
            </c:strRef>
          </c:cat>
          <c:val>
            <c:numRef>
              <c:f>[工作簿1]Sheet2!$B$9:$C$9</c:f>
              <c:numCache>
                <c:formatCode>#,##0.00</c:formatCode>
                <c:ptCount val="2"/>
                <c:pt idx="0">
                  <c:v>1676.71</c:v>
                </c:pt>
                <c:pt idx="1">
                  <c:v>1676.71</c:v>
                </c:pt>
              </c:numCache>
            </c:numRef>
          </c:val>
        </c:ser>
        <c:ser>
          <c:idx val="1"/>
          <c:order val="1"/>
          <c:tx>
            <c:strRef>
              <c:f>[工作簿1]Sheet2!$A$10</c:f>
              <c:strCache>
                <c:ptCount val="1"/>
                <c:pt idx="0">
                  <c:v>2023年</c:v>
                </c:pt>
              </c:strCache>
            </c:strRef>
          </c:tx>
          <c:spPr>
            <a:gradFill>
              <a:gsLst>
                <a:gs pos="0">
                  <a:srgbClr val="6E6FFA"/>
                </a:gs>
                <a:gs pos="100000">
                  <a:srgbClr val="07E3EE"/>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[工作簿1]Sheet2!$B$8:$C$8</c:f>
              <c:strCache>
                <c:ptCount val="2"/>
                <c:pt idx="0">
                  <c:v>收入总计</c:v>
                </c:pt>
                <c:pt idx="1">
                  <c:v>支出总计</c:v>
                </c:pt>
              </c:strCache>
            </c:strRef>
          </c:cat>
          <c:val>
            <c:numRef>
              <c:f>[工作簿1]Sheet2!$B$10:$C$10</c:f>
              <c:numCache>
                <c:formatCode>#,##0.00</c:formatCode>
                <c:ptCount val="2"/>
                <c:pt idx="0">
                  <c:v>1795.17</c:v>
                </c:pt>
                <c:pt idx="1">
                  <c:v>1795.17</c:v>
                </c:pt>
              </c:numCache>
            </c:numRef>
          </c:val>
        </c:ser>
        <c:dLbls>
          <c:showLegendKey val="0"/>
          <c:showVal val="1"/>
          <c:showCatName val="0"/>
          <c:showSerName val="0"/>
          <c:showPercent val="0"/>
          <c:showBubbleSize val="0"/>
        </c:dLbls>
        <c:gapWidth val="219"/>
        <c:overlap val="-27"/>
        <c:axId val="67343020"/>
        <c:axId val="168478528"/>
      </c:barChart>
      <c:catAx>
        <c:axId val="67343020"/>
        <c:scaling>
          <c:orientation val="minMax"/>
        </c:scaling>
        <c:delete val="0"/>
        <c:axPos val="b"/>
        <c:majorGridlines>
          <c:spPr>
            <a:ln w="9525" cap="flat" cmpd="sng" algn="ctr">
              <a:solidFill>
                <a:schemeClr val="bg1">
                  <a:lumMod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defRPr>
            </a:pPr>
          </a:p>
        </c:txPr>
        <c:crossAx val="168478528"/>
        <c:crosses val="autoZero"/>
        <c:auto val="1"/>
        <c:lblAlgn val="ctr"/>
        <c:lblOffset val="100"/>
        <c:noMultiLvlLbl val="0"/>
      </c:catAx>
      <c:valAx>
        <c:axId val="168478528"/>
        <c:scaling>
          <c:orientation val="minMax"/>
        </c:scaling>
        <c:delete val="0"/>
        <c:axPos val="l"/>
        <c:numFmt formatCode="#,##0.00"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defRPr>
            </a:pPr>
          </a:p>
        </c:txPr>
        <c:crossAx val="67343020"/>
        <c:crosses val="autoZero"/>
        <c:crossBetween val="between"/>
      </c:valAx>
      <c:spPr>
        <a:noFill/>
        <a:ln>
          <a:solidFill>
            <a:schemeClr val="bg1">
              <a:lumMod val="85000"/>
            </a:schemeClr>
          </a:solidFill>
        </a:ln>
        <a:effectLst/>
      </c:spPr>
    </c:plotArea>
    <c:legend>
      <c:legendPos val="t"/>
      <c:legendEntry>
        <c:idx val="0"/>
        <c:txPr>
          <a:bodyPr rot="0" spcFirstLastPara="0" vertOverflow="ellipsis" vert="horz" wrap="square" anchor="ctr" anchorCtr="1"/>
          <a:lstStyle/>
          <a:p>
            <a:pPr>
              <a:defRPr lang="zh-CN" sz="900" b="0" i="0" u="none" strike="noStrike" kern="1200" baseline="0">
                <a:solidFill>
                  <a:schemeClr val="tx1">
                    <a:lumMod val="75000"/>
                    <a:lumOff val="25000"/>
                  </a:schemeClr>
                </a:solidFill>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75000"/>
                    <a:lumOff val="25000"/>
                  </a:schemeClr>
                </a:solidFill>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defRPr>
            </a:pPr>
          </a:p>
        </c:txPr>
      </c:legendEntry>
      <c:layout>
        <c:manualLayout>
          <c:xMode val="edge"/>
          <c:yMode val="edge"/>
          <c:x val="0.372763157894737"/>
          <c:y val="0.0291036088474971"/>
          <c:w val="0.248157894736842"/>
          <c:h val="0.152270081490105"/>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defRPr>
          </a:pPr>
        </a:p>
      </c:txPr>
    </c:legend>
    <c:plotVisOnly val="1"/>
    <c:dispBlanksAs val="gap"/>
    <c:showDLblsOverMax val="0"/>
    <c:extLst>
      <c:ext uri="{0b15fc19-7d7d-44ad-8c2d-2c3a37ce22c3}">
        <chartProps xmlns="https://web.wps.cn/et/2018/main" chartId="{ff0fb187-c2d6-40cf-bfbe-4610e9b87864}"/>
      </c:ext>
    </c:extLst>
  </c:chart>
  <c:spPr>
    <a:noFill/>
    <a:ln w="9525" cap="flat" cmpd="sng" algn="ctr">
      <a:no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manualLayout>
                  <c:x val="0.123995479147741"/>
                  <c:y val="-0.15538182981270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875135674336148"/>
                  <c:y val="0.0053433261771253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832551050404522"/>
                  <c:y val="0.0088463541599784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[工作簿1]Sheet1!$A$1:$A$3</c:f>
              <c:strCache>
                <c:ptCount val="3"/>
                <c:pt idx="0">
                  <c:v>一般公共预算财政拨款</c:v>
                </c:pt>
                <c:pt idx="1">
                  <c:v>政府性基金预算财政拨款</c:v>
                </c:pt>
                <c:pt idx="2">
                  <c:v>国有资本经营预算财政拨款</c:v>
                </c:pt>
              </c:strCache>
            </c:strRef>
          </c:cat>
          <c:val>
            <c:numRef>
              <c:f>[工作簿1]Sheet1!$B$1:$B$3</c:f>
              <c:numCache>
                <c:formatCode>General</c:formatCode>
                <c:ptCount val="3"/>
                <c:pt idx="0">
                  <c:v>1709.64</c:v>
                </c:pt>
                <c:pt idx="1">
                  <c:v>85.49</c:v>
                </c:pt>
                <c:pt idx="2">
                  <c:v>0.04</c:v>
                </c:pt>
              </c:numCache>
            </c:numRef>
          </c:val>
        </c:ser>
        <c:ser>
          <c:idx val="1"/>
          <c:order val="1"/>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[工作簿1]Sheet1!$A$1:$A$3</c:f>
              <c:strCache>
                <c:ptCount val="3"/>
                <c:pt idx="0">
                  <c:v>一般公共预算财政拨款</c:v>
                </c:pt>
                <c:pt idx="1">
                  <c:v>政府性基金预算财政拨款</c:v>
                </c:pt>
                <c:pt idx="2">
                  <c:v>国有资本经营预算财政拨款</c:v>
                </c:pt>
              </c:strCache>
            </c:strRef>
          </c:cat>
          <c:val>
            <c:numRef>
              <c:f>[工作簿1]Sheet1!$C$1:$C$3</c:f>
              <c:numCache>
                <c:formatCode>0.00%</c:formatCode>
                <c:ptCount val="3"/>
                <c:pt idx="0">
                  <c:v>0.9523</c:v>
                </c:pt>
                <c:pt idx="1">
                  <c:v>0.0476</c:v>
                </c:pt>
                <c:pt idx="2" c:formatCode="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e36acbf-0e30-4d96-bc55-f832c5ad543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00128092744675176"/>
                  <c:y val="0.039226547278351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04253350095464"/>
                  <c:y val="0.063679312396874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739373422836144"/>
                  <c:y val="0.0039530053503135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92132852024519"/>
                  <c:y val="0.01480821123536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76671292636948"/>
                  <c:y val="-0.0018089421500021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[工作簿1]Sheet1!$A$1:$A$5</c:f>
              <c:strCache>
                <c:ptCount val="5"/>
                <c:pt idx="0">
                  <c:v>基本支出</c:v>
                </c:pt>
                <c:pt idx="1">
                  <c:v>项目支出</c:v>
                </c:pt>
                <c:pt idx="2">
                  <c:v>上缴上级支出</c:v>
                </c:pt>
                <c:pt idx="3">
                  <c:v>经营支出</c:v>
                </c:pt>
                <c:pt idx="4">
                  <c:v>对附属单位补助支出</c:v>
                </c:pt>
              </c:strCache>
            </c:strRef>
          </c:cat>
          <c:val>
            <c:numRef>
              <c:f>[工作簿1]Sheet1!$B$1:$B$5</c:f>
              <c:numCache>
                <c:formatCode>General</c:formatCode>
                <c:ptCount val="5"/>
                <c:pt idx="0">
                  <c:v>1709.64</c:v>
                </c:pt>
                <c:pt idx="1">
                  <c:v>85.53</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130657894736842"/>
          <c:y val="0.03472222222222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356f4a5-0aa7-46d8-879e-a84a15fc5db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981691834825609"/>
          <c:y val="0.268844781445138"/>
          <c:w val="0.847975410931445"/>
          <c:h val="0.609924174843889"/>
        </c:manualLayout>
      </c:layout>
      <c:barChart>
        <c:barDir val="col"/>
        <c:grouping val="clustered"/>
        <c:varyColors val="0"/>
        <c:ser>
          <c:idx val="0"/>
          <c:order val="0"/>
          <c:tx>
            <c:strRef>
              <c:f>[工作簿1]Sheet2!$A$9</c:f>
              <c:strCache>
                <c:ptCount val="1"/>
                <c:pt idx="0">
                  <c:v>2022年</c:v>
                </c:pt>
              </c:strCache>
            </c:strRef>
          </c:tx>
          <c:spPr>
            <a:gradFill>
              <a:gsLst>
                <a:gs pos="0">
                  <a:srgbClr val="EE5596"/>
                </a:gs>
                <a:gs pos="100000">
                  <a:srgbClr val="F9B621"/>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[工作簿1]Sheet2!$B$8:$C$8</c:f>
              <c:strCache>
                <c:ptCount val="2"/>
                <c:pt idx="0">
                  <c:v>财政拨款收入总计</c:v>
                </c:pt>
                <c:pt idx="1">
                  <c:v>财政拨款支出总计</c:v>
                </c:pt>
              </c:strCache>
            </c:strRef>
          </c:cat>
          <c:val>
            <c:numRef>
              <c:f>[工作簿1]Sheet2!$B$9:$C$9</c:f>
              <c:numCache>
                <c:formatCode>#,##0.00</c:formatCode>
                <c:ptCount val="2"/>
                <c:pt idx="0">
                  <c:v>1665.1</c:v>
                </c:pt>
                <c:pt idx="1">
                  <c:v>1665.1</c:v>
                </c:pt>
              </c:numCache>
            </c:numRef>
          </c:val>
        </c:ser>
        <c:ser>
          <c:idx val="1"/>
          <c:order val="1"/>
          <c:tx>
            <c:strRef>
              <c:f>[工作簿1]Sheet2!$A$10</c:f>
              <c:strCache>
                <c:ptCount val="1"/>
                <c:pt idx="0">
                  <c:v>2023年</c:v>
                </c:pt>
              </c:strCache>
            </c:strRef>
          </c:tx>
          <c:spPr>
            <a:gradFill>
              <a:gsLst>
                <a:gs pos="0">
                  <a:srgbClr val="6E6FFA"/>
                </a:gs>
                <a:gs pos="100000">
                  <a:srgbClr val="07E3EE"/>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[工作簿1]Sheet2!$B$8:$C$8</c:f>
              <c:strCache>
                <c:ptCount val="2"/>
                <c:pt idx="0">
                  <c:v>财政拨款收入总计</c:v>
                </c:pt>
                <c:pt idx="1">
                  <c:v>财政拨款支出总计</c:v>
                </c:pt>
              </c:strCache>
            </c:strRef>
          </c:cat>
          <c:val>
            <c:numRef>
              <c:f>[工作簿1]Sheet2!$B$10:$C$10</c:f>
              <c:numCache>
                <c:formatCode>#,##0.00</c:formatCode>
                <c:ptCount val="2"/>
                <c:pt idx="0">
                  <c:v>1795.17</c:v>
                </c:pt>
                <c:pt idx="1">
                  <c:v>1795.17</c:v>
                </c:pt>
              </c:numCache>
            </c:numRef>
          </c:val>
        </c:ser>
        <c:dLbls>
          <c:showLegendKey val="0"/>
          <c:showVal val="1"/>
          <c:showCatName val="0"/>
          <c:showSerName val="0"/>
          <c:showPercent val="0"/>
          <c:showBubbleSize val="0"/>
        </c:dLbls>
        <c:gapWidth val="219"/>
        <c:overlap val="-27"/>
        <c:axId val="67343020"/>
        <c:axId val="168478528"/>
      </c:barChart>
      <c:catAx>
        <c:axId val="67343020"/>
        <c:scaling>
          <c:orientation val="minMax"/>
        </c:scaling>
        <c:delete val="0"/>
        <c:axPos val="b"/>
        <c:majorGridlines>
          <c:spPr>
            <a:ln w="9525" cap="flat" cmpd="sng" algn="ctr">
              <a:solidFill>
                <a:schemeClr val="bg1">
                  <a:lumMod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68478528"/>
        <c:crosses val="autoZero"/>
        <c:auto val="1"/>
        <c:lblAlgn val="ctr"/>
        <c:lblOffset val="100"/>
        <c:noMultiLvlLbl val="0"/>
      </c:catAx>
      <c:valAx>
        <c:axId val="168478528"/>
        <c:scaling>
          <c:orientation val="minMax"/>
        </c:scaling>
        <c:delete val="0"/>
        <c:axPos val="l"/>
        <c:numFmt formatCode="#,##0.00"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67343020"/>
        <c:crosses val="autoZero"/>
        <c:crossBetween val="between"/>
      </c:valAx>
      <c:spPr>
        <a:noFill/>
        <a:ln>
          <a:solidFill>
            <a:schemeClr val="bg1">
              <a:lumMod val="85000"/>
            </a:schemeClr>
          </a:solidFill>
        </a:ln>
        <a:effectLst/>
      </c:spPr>
    </c:plotArea>
    <c:legend>
      <c:legendPos val="t"/>
      <c:layout>
        <c:manualLayout>
          <c:xMode val="edge"/>
          <c:yMode val="edge"/>
          <c:x val="0.385789473684211"/>
          <c:y val="0.0311203319502075"/>
          <c:w val="0.228552631578947"/>
          <c:h val="0.211618257261411"/>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b7c6fc80-fe57-49c2-9180-881f3a9f1d12}"/>
      </c:ext>
    </c:extLst>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981691834825609"/>
          <c:y val="0.268844781445138"/>
          <c:w val="0.847975410931445"/>
          <c:h val="0.609924174843889"/>
        </c:manualLayout>
      </c:layout>
      <c:barChart>
        <c:barDir val="col"/>
        <c:grouping val="clustered"/>
        <c:varyColors val="0"/>
        <c:ser>
          <c:idx val="0"/>
          <c:order val="0"/>
          <c:tx>
            <c:strRef>
              <c:f>[工作簿1]Sheet2!$A$9</c:f>
              <c:strCache>
                <c:ptCount val="1"/>
                <c:pt idx="0">
                  <c:v>2022年</c:v>
                </c:pt>
              </c:strCache>
            </c:strRef>
          </c:tx>
          <c:spPr>
            <a:gradFill>
              <a:gsLst>
                <a:gs pos="0">
                  <a:srgbClr val="EE5596"/>
                </a:gs>
                <a:gs pos="100000">
                  <a:srgbClr val="F9B621"/>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[工作簿1]Sheet2!$B$8</c:f>
              <c:strCache>
                <c:ptCount val="1"/>
                <c:pt idx="0">
                  <c:v>一般公共预算财政拨款支出总计</c:v>
                </c:pt>
              </c:strCache>
            </c:strRef>
          </c:cat>
          <c:val>
            <c:numRef>
              <c:f>[工作簿1]Sheet2!$B$9</c:f>
              <c:numCache>
                <c:formatCode>#,##0.00</c:formatCode>
                <c:ptCount val="1"/>
                <c:pt idx="0">
                  <c:v>1663.08</c:v>
                </c:pt>
              </c:numCache>
            </c:numRef>
          </c:val>
        </c:ser>
        <c:ser>
          <c:idx val="1"/>
          <c:order val="1"/>
          <c:tx>
            <c:strRef>
              <c:f>[工作簿1]Sheet2!$A$10</c:f>
              <c:strCache>
                <c:ptCount val="1"/>
                <c:pt idx="0">
                  <c:v>2023年</c:v>
                </c:pt>
              </c:strCache>
            </c:strRef>
          </c:tx>
          <c:spPr>
            <a:gradFill>
              <a:gsLst>
                <a:gs pos="0">
                  <a:srgbClr val="6E6FFA"/>
                </a:gs>
                <a:gs pos="100000">
                  <a:srgbClr val="07E3EE"/>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[工作簿1]Sheet2!$B$8</c:f>
              <c:strCache>
                <c:ptCount val="1"/>
                <c:pt idx="0">
                  <c:v>一般公共预算财政拨款支出总计</c:v>
                </c:pt>
              </c:strCache>
            </c:strRef>
          </c:cat>
          <c:val>
            <c:numRef>
              <c:f>[工作簿1]Sheet2!$B$10</c:f>
              <c:numCache>
                <c:formatCode>#,##0.00</c:formatCode>
                <c:ptCount val="1"/>
                <c:pt idx="0">
                  <c:v>1709.64</c:v>
                </c:pt>
              </c:numCache>
            </c:numRef>
          </c:val>
        </c:ser>
        <c:dLbls>
          <c:showLegendKey val="0"/>
          <c:showVal val="1"/>
          <c:showCatName val="0"/>
          <c:showSerName val="0"/>
          <c:showPercent val="0"/>
          <c:showBubbleSize val="0"/>
        </c:dLbls>
        <c:gapWidth val="219"/>
        <c:overlap val="-27"/>
        <c:axId val="67343020"/>
        <c:axId val="168478528"/>
      </c:barChart>
      <c:catAx>
        <c:axId val="67343020"/>
        <c:scaling>
          <c:orientation val="minMax"/>
        </c:scaling>
        <c:delete val="0"/>
        <c:axPos val="b"/>
        <c:majorGridlines>
          <c:spPr>
            <a:ln w="9525" cap="flat" cmpd="sng" algn="ctr">
              <a:solidFill>
                <a:schemeClr val="bg1">
                  <a:lumMod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68478528"/>
        <c:crosses val="autoZero"/>
        <c:auto val="1"/>
        <c:lblAlgn val="ctr"/>
        <c:lblOffset val="100"/>
        <c:noMultiLvlLbl val="0"/>
      </c:catAx>
      <c:valAx>
        <c:axId val="168478528"/>
        <c:scaling>
          <c:orientation val="minMax"/>
        </c:scaling>
        <c:delete val="0"/>
        <c:axPos val="l"/>
        <c:numFmt formatCode="#,##0.00"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67343020"/>
        <c:crosses val="autoZero"/>
        <c:crossBetween val="between"/>
      </c:valAx>
      <c:spPr>
        <a:noFill/>
        <a:ln>
          <a:solidFill>
            <a:schemeClr val="bg1">
              <a:lumMod val="85000"/>
            </a:schemeClr>
          </a:solidFill>
        </a:ln>
        <a:effectLst/>
      </c:spPr>
    </c:plotArea>
    <c:legend>
      <c:legendPos val="t"/>
      <c:layout>
        <c:manualLayout>
          <c:xMode val="edge"/>
          <c:yMode val="edge"/>
          <c:x val="0.385789473684211"/>
          <c:y val="0.0311203319502075"/>
          <c:w val="0.228552631578947"/>
          <c:h val="0.211618257261411"/>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78cc5279-3d5f-4efa-838c-8347ef87234d}"/>
      </c:ext>
    </c:extLst>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dLbl>
              <c:idx val="1"/>
              <c:layout>
                <c:manualLayout>
                  <c:x val="0.061610677022713"/>
                  <c:y val="-0.047431798714236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704063438538713"/>
                  <c:y val="0.014298173318372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837650652814335"/>
                  <c:y val="0.046802168961108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32616563975422"/>
                  <c:y val="-0.046831564665410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929073044566401"/>
                  <c:y val="-0.022434394133838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[工作簿1]Sheet3!$A$29:$B$35</c:f>
              <c:multiLvlStrCache>
                <c:ptCount val="7"/>
                <c:lvl/>
                <c:lvl>
                  <c:pt idx="0">
                    <c:v>一般公共服务支出510.71</c:v>
                  </c:pt>
                  <c:pt idx="1">
                    <c:v>社会保障和就业支出191.29</c:v>
                  </c:pt>
                  <c:pt idx="2">
                    <c:v>卫生健康支出26.99</c:v>
                  </c:pt>
                  <c:pt idx="3">
                    <c:v>农林水支出912.02</c:v>
                  </c:pt>
                  <c:pt idx="4">
                    <c:v>住房保障支出68.63</c:v>
                  </c:pt>
                  <c:pt idx="5">
                    <c:v>国有资本经营预算支出0.04</c:v>
                  </c:pt>
                  <c:pt idx="6">
                    <c:v>其他支出85.49</c:v>
                  </c:pt>
                </c:lvl>
              </c:multiLvlStrCache>
            </c:multiLvlStrRef>
          </c:cat>
          <c:val>
            <c:numRef>
              <c:f>[工作簿1]Sheet3!$C$29:$C$35</c:f>
              <c:numCache>
                <c:formatCode>0.000%</c:formatCode>
                <c:ptCount val="7"/>
                <c:pt idx="0">
                  <c:v>0.284491162396876</c:v>
                </c:pt>
                <c:pt idx="1">
                  <c:v>0.106558153266822</c:v>
                </c:pt>
                <c:pt idx="2">
                  <c:v>0.0150347877916855</c:v>
                </c:pt>
                <c:pt idx="3">
                  <c:v>0.508041021184623</c:v>
                </c:pt>
                <c:pt idx="4">
                  <c:v>0.038230362584045</c:v>
                </c:pt>
                <c:pt idx="5">
                  <c:v>2.22820122885298e-5</c:v>
                </c:pt>
                <c:pt idx="6">
                  <c:v>0.0476222307636603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88f7cc7-1a1c-4673-b4a3-9c3dd358420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17608728595242"/>
          <c:y val="0.225151604356785"/>
          <c:w val="0.821324443097439"/>
          <c:h val="0.766017073888725"/>
        </c:manualLayout>
      </c:layout>
      <c:pieChart>
        <c:varyColors val="1"/>
        <c:ser>
          <c:idx val="0"/>
          <c:order val="0"/>
          <c:spPr>
            <a:ln w="15875">
              <a:solidFill>
                <a:schemeClr val="bg1"/>
              </a:solidFill>
            </a:ln>
            <a:effectLst/>
            <a:scene3d>
              <a:camera prst="orthographicFront"/>
              <a:lightRig rig="threePt" dir="t"/>
            </a:scene3d>
            <a:sp3d contourW="15875"/>
          </c:spPr>
          <c:explosion val="0"/>
          <c:dPt>
            <c:idx val="0"/>
            <c:bubble3D val="0"/>
            <c:spPr>
              <a:solidFill>
                <a:schemeClr val="accent1">
                  <a:shade val="76667"/>
                </a:schemeClr>
              </a:solidFill>
              <a:ln w="15875">
                <a:solidFill>
                  <a:schemeClr val="bg1"/>
                </a:solidFill>
              </a:ln>
              <a:effectLst/>
              <a:scene3d>
                <a:camera prst="orthographicFront"/>
                <a:lightRig rig="threePt" dir="t"/>
              </a:scene3d>
              <a:sp3d contourW="15875"/>
            </c:spPr>
          </c:dPt>
          <c:dPt>
            <c:idx val="1"/>
            <c:bubble3D val="0"/>
            <c:spPr>
              <a:solidFill>
                <a:schemeClr val="accent2">
                  <a:shade val="76667"/>
                </a:schemeClr>
              </a:solidFill>
              <a:ln w="15875">
                <a:solidFill>
                  <a:schemeClr val="bg1"/>
                </a:solidFill>
              </a:ln>
              <a:effectLst/>
              <a:scene3d>
                <a:camera prst="orthographicFront"/>
                <a:lightRig rig="threePt" dir="t"/>
              </a:scene3d>
              <a:sp3d contourW="15875"/>
            </c:spPr>
          </c:dPt>
          <c:dPt>
            <c:idx val="2"/>
            <c:bubble3D val="0"/>
            <c:spPr>
              <a:solidFill>
                <a:schemeClr val="accent3">
                  <a:shade val="76667"/>
                </a:schemeClr>
              </a:solidFill>
              <a:ln w="15875">
                <a:solidFill>
                  <a:schemeClr val="bg1"/>
                </a:solidFill>
              </a:ln>
              <a:effectLst/>
              <a:scene3d>
                <a:camera prst="orthographicFront"/>
                <a:lightRig rig="threePt" dir="t"/>
              </a:scene3d>
              <a:sp3d contourW="15875"/>
            </c:spPr>
          </c:dPt>
          <c:dLbls>
            <c:dLbl>
              <c:idx val="0"/>
              <c:layout>
                <c:manualLayout>
                  <c:x val="0.230921052631579"/>
                  <c:y val="0.027777777777777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346567661766934"/>
                  <c:y val="-0.014718869590815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63815789473684"/>
                  <c:y val="-0.017361111111111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numFmt formatCode="General" sourceLinked="1"/>
            <c:spPr>
              <a:noFill/>
              <a:ln w="6350">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[工作簿2]Sheet1!$A$3:$A$5</c:f>
              <c:strCache>
                <c:ptCount val="3"/>
                <c:pt idx="0">
                  <c:v>因公出国（境）费</c:v>
                </c:pt>
                <c:pt idx="1">
                  <c:v>公务用车购置及运行费</c:v>
                </c:pt>
                <c:pt idx="2">
                  <c:v>公务接待费</c:v>
                </c:pt>
              </c:strCache>
            </c:strRef>
          </c:cat>
          <c:val>
            <c:numRef>
              <c:f>[工作簿2]Sheet1!$B$3:$B$5</c:f>
              <c:numCache>
                <c:formatCode>0.00_ </c:formatCode>
                <c:ptCount val="3"/>
                <c:pt idx="0">
                  <c:v>0</c:v>
                </c:pt>
                <c:pt idx="1">
                  <c:v>3</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b6f4c2c8-43a8-49b3-b524-af30d8ed007b}"/>
      </c:ext>
    </c:extLst>
  </c:chart>
  <c:spPr>
    <a:solidFill>
      <a:schemeClr val="bg1"/>
    </a:solidFill>
    <a:ln w="6350" cap="flat" cmpd="sng" algn="ctr">
      <a:solidFill>
        <a:schemeClr val="tx1">
          <a:lumMod val="50000"/>
          <a:lumOff val="50000"/>
          <a:alpha val="25000"/>
        </a:schemeClr>
      </a:solidFill>
      <a:prstDash val="solid"/>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四川省财政厅</Company>
  <Pages>48</Pages>
  <Words>12856</Words>
  <Characters>13919</Characters>
  <Lines>72</Lines>
  <Paragraphs>20</Paragraphs>
  <TotalTime>4</TotalTime>
  <ScaleCrop>false</ScaleCrop>
  <LinksUpToDate>false</LinksUpToDate>
  <CharactersWithSpaces>14064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朩昜叒芡</cp:lastModifiedBy>
  <cp:lastPrinted>2023-08-03T10:35:00Z</cp:lastPrinted>
  <dcterms:modified xsi:type="dcterms:W3CDTF">2024-10-28T09:39:19Z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BA5D1CC38B5A4209988D8341717BBA31_13</vt:lpwstr>
  </property>
</Properties>
</file>