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12" w:firstLineChars="100"/>
        <w:jc w:val="center"/>
        <w:rPr>
          <w:rStyle w:val="12"/>
          <w:rFonts w:hint="eastAsia" w:ascii="ˎ̥" w:hAnsi="ˎ̥" w:eastAsia="宋体"/>
          <w:b/>
          <w:bCs/>
          <w:color w:val="000000"/>
          <w:sz w:val="41"/>
          <w:szCs w:val="41"/>
          <w:lang w:eastAsia="zh-CN"/>
        </w:rPr>
      </w:pPr>
      <w:r>
        <w:rPr>
          <w:rStyle w:val="12"/>
          <w:rFonts w:hint="eastAsia" w:ascii="ˎ̥" w:hAnsi="ˎ̥"/>
          <w:b/>
          <w:bCs/>
          <w:color w:val="000000"/>
          <w:sz w:val="41"/>
          <w:szCs w:val="41"/>
        </w:rPr>
        <w:t>德阳市</w:t>
      </w:r>
      <w:r>
        <w:rPr>
          <w:rStyle w:val="12"/>
          <w:rFonts w:hint="eastAsia" w:ascii="ˎ̥" w:hAnsi="ˎ̥"/>
          <w:b/>
          <w:bCs/>
          <w:color w:val="000000"/>
          <w:sz w:val="41"/>
          <w:szCs w:val="41"/>
          <w:lang w:eastAsia="zh-CN"/>
        </w:rPr>
        <w:t>罗江区财政局</w:t>
      </w:r>
    </w:p>
    <w:p>
      <w:pPr>
        <w:ind w:firstLine="412" w:firstLineChars="100"/>
        <w:jc w:val="center"/>
        <w:rPr>
          <w:rStyle w:val="12"/>
          <w:rFonts w:ascii="ˎ̥" w:hAnsi="ˎ̥"/>
          <w:b/>
          <w:bCs/>
          <w:color w:val="000000"/>
          <w:sz w:val="41"/>
          <w:szCs w:val="41"/>
        </w:rPr>
      </w:pPr>
      <w:r>
        <w:rPr>
          <w:rStyle w:val="12"/>
          <w:rFonts w:ascii="ˎ̥" w:hAnsi="ˎ̥"/>
          <w:b/>
          <w:bCs/>
          <w:color w:val="000000"/>
          <w:sz w:val="41"/>
          <w:szCs w:val="41"/>
        </w:rPr>
        <w:t>20</w:t>
      </w:r>
      <w:r>
        <w:rPr>
          <w:rStyle w:val="12"/>
          <w:rFonts w:hint="eastAsia" w:ascii="ˎ̥" w:hAnsi="ˎ̥"/>
          <w:b/>
          <w:bCs/>
          <w:color w:val="000000"/>
          <w:sz w:val="41"/>
          <w:szCs w:val="41"/>
          <w:lang w:val="en-US" w:eastAsia="zh-CN"/>
        </w:rPr>
        <w:t>24</w:t>
      </w:r>
      <w:r>
        <w:rPr>
          <w:rStyle w:val="12"/>
          <w:rFonts w:ascii="ˎ̥" w:hAnsi="ˎ̥"/>
          <w:b/>
          <w:bCs/>
          <w:color w:val="000000"/>
          <w:sz w:val="41"/>
          <w:szCs w:val="41"/>
        </w:rPr>
        <w:t>年部门预算编制说明</w:t>
      </w:r>
    </w:p>
    <w:sdt>
      <w:sdtPr>
        <w:rPr>
          <w:rFonts w:ascii="宋体" w:hAnsi="宋体" w:eastAsia="宋体" w:cs="Times New Roman"/>
          <w:kern w:val="2"/>
          <w:sz w:val="21"/>
          <w:szCs w:val="24"/>
          <w:lang w:val="en-US" w:eastAsia="zh-CN" w:bidi="ar-SA"/>
        </w:rPr>
        <w:id w:val="147471545"/>
        <w15:color w:val="DBDBDB"/>
      </w:sdtPr>
      <w:sdtEndPr>
        <w:rPr>
          <w:rFonts w:hint="eastAsia" w:ascii="ˎ̥" w:hAnsi="ˎ̥" w:eastAsia="宋体" w:cs="Times New Roman"/>
          <w:b/>
          <w:bCs/>
          <w:color w:val="000000"/>
          <w:kern w:val="2"/>
          <w:sz w:val="48"/>
          <w:szCs w:val="41"/>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sz w:val="96"/>
              <w:szCs w:val="40"/>
            </w:rPr>
          </w:pPr>
          <w:r>
            <w:rPr>
              <w:rFonts w:ascii="宋体" w:hAnsi="宋体" w:eastAsia="宋体"/>
              <w:sz w:val="44"/>
              <w:szCs w:val="52"/>
            </w:rPr>
            <w:t>目录</w:t>
          </w:r>
        </w:p>
        <w:p>
          <w:pPr>
            <w:pStyle w:val="19"/>
            <w:tabs>
              <w:tab w:val="right" w:leader="dot" w:pos="8845"/>
            </w:tabs>
            <w:rPr>
              <w:b/>
              <w:sz w:val="28"/>
              <w:szCs w:val="28"/>
            </w:rPr>
          </w:pPr>
          <w:r>
            <w:rPr>
              <w:rStyle w:val="12"/>
              <w:rFonts w:hint="eastAsia" w:ascii="ˎ̥" w:hAnsi="ˎ̥"/>
              <w:b/>
              <w:bCs/>
              <w:color w:val="000000"/>
              <w:sz w:val="56"/>
              <w:szCs w:val="56"/>
            </w:rPr>
            <w:fldChar w:fldCharType="begin"/>
          </w:r>
          <w:r>
            <w:rPr>
              <w:rStyle w:val="12"/>
              <w:rFonts w:hint="eastAsia" w:ascii="ˎ̥" w:hAnsi="ˎ̥"/>
              <w:b/>
              <w:bCs/>
              <w:color w:val="000000"/>
              <w:sz w:val="56"/>
              <w:szCs w:val="56"/>
            </w:rPr>
            <w:instrText xml:space="preserve">TOC \o "1-2" \h \u </w:instrText>
          </w:r>
          <w:r>
            <w:rPr>
              <w:rStyle w:val="12"/>
              <w:rFonts w:hint="eastAsia" w:ascii="ˎ̥" w:hAnsi="ˎ̥"/>
              <w:b/>
              <w:bCs/>
              <w:color w:val="000000"/>
              <w:sz w:val="56"/>
              <w:szCs w:val="56"/>
            </w:rPr>
            <w:fldChar w:fldCharType="separate"/>
          </w:r>
          <w:r>
            <w:rPr>
              <w:rFonts w:hint="eastAsia" w:ascii="ˎ̥" w:hAnsi="ˎ̥"/>
              <w:b/>
              <w:bCs/>
              <w:color w:val="000000"/>
              <w:sz w:val="28"/>
              <w:szCs w:val="56"/>
            </w:rPr>
            <w:fldChar w:fldCharType="begin"/>
          </w:r>
          <w:r>
            <w:rPr>
              <w:rFonts w:hint="eastAsia" w:ascii="ˎ̥" w:hAnsi="ˎ̥"/>
              <w:b/>
              <w:bCs/>
              <w:sz w:val="28"/>
              <w:szCs w:val="56"/>
            </w:rPr>
            <w:instrText xml:space="preserve"> HYPERLINK \l _Toc28770 </w:instrText>
          </w:r>
          <w:r>
            <w:rPr>
              <w:rFonts w:hint="eastAsia" w:ascii="ˎ̥" w:hAnsi="ˎ̥"/>
              <w:b/>
              <w:bCs/>
              <w:sz w:val="28"/>
              <w:szCs w:val="56"/>
            </w:rPr>
            <w:fldChar w:fldCharType="separate"/>
          </w:r>
          <w:r>
            <w:rPr>
              <w:rFonts w:hint="eastAsia" w:ascii="黑体" w:hAnsi="黑体" w:eastAsia="黑体" w:cs="黑体"/>
              <w:b/>
              <w:sz w:val="28"/>
              <w:szCs w:val="48"/>
            </w:rPr>
            <w:t>一、基本职能及主要工作</w:t>
          </w:r>
          <w:r>
            <w:rPr>
              <w:b/>
              <w:sz w:val="28"/>
              <w:szCs w:val="28"/>
            </w:rPr>
            <w:tab/>
          </w:r>
          <w:r>
            <w:rPr>
              <w:b/>
              <w:sz w:val="28"/>
              <w:szCs w:val="28"/>
            </w:rPr>
            <w:fldChar w:fldCharType="begin"/>
          </w:r>
          <w:r>
            <w:rPr>
              <w:b/>
              <w:sz w:val="28"/>
              <w:szCs w:val="28"/>
            </w:rPr>
            <w:instrText xml:space="preserve"> PAGEREF _Toc28770 \h </w:instrText>
          </w:r>
          <w:r>
            <w:rPr>
              <w:b/>
              <w:sz w:val="28"/>
              <w:szCs w:val="28"/>
            </w:rPr>
            <w:fldChar w:fldCharType="separate"/>
          </w:r>
          <w:r>
            <w:rPr>
              <w:b/>
              <w:sz w:val="28"/>
              <w:szCs w:val="28"/>
            </w:rPr>
            <w:t>1</w:t>
          </w:r>
          <w:r>
            <w:rPr>
              <w:b/>
              <w:sz w:val="28"/>
              <w:szCs w:val="28"/>
            </w:rPr>
            <w:fldChar w:fldCharType="end"/>
          </w:r>
          <w:r>
            <w:rPr>
              <w:rFonts w:hint="eastAsia" w:ascii="ˎ̥" w:hAnsi="ˎ̥"/>
              <w:b/>
              <w:bCs/>
              <w:color w:val="000000"/>
              <w:sz w:val="28"/>
              <w:szCs w:val="56"/>
            </w:rPr>
            <w:fldChar w:fldCharType="end"/>
          </w:r>
        </w:p>
        <w:p>
          <w:pPr>
            <w:pStyle w:val="20"/>
            <w:tabs>
              <w:tab w:val="right" w:leader="dot" w:pos="8845"/>
            </w:tabs>
            <w:ind w:left="0" w:leftChars="0" w:firstLine="560" w:firstLineChars="200"/>
            <w:rPr>
              <w:sz w:val="28"/>
              <w:szCs w:val="28"/>
            </w:rPr>
          </w:pPr>
          <w:r>
            <w:rPr>
              <w:rFonts w:hint="eastAsia" w:ascii="ˎ̥" w:hAnsi="ˎ̥"/>
              <w:bCs/>
              <w:color w:val="000000"/>
              <w:sz w:val="28"/>
              <w:szCs w:val="56"/>
            </w:rPr>
            <w:fldChar w:fldCharType="begin"/>
          </w:r>
          <w:r>
            <w:rPr>
              <w:rFonts w:hint="eastAsia" w:ascii="ˎ̥" w:hAnsi="ˎ̥"/>
              <w:bCs/>
              <w:sz w:val="28"/>
              <w:szCs w:val="56"/>
            </w:rPr>
            <w:instrText xml:space="preserve"> HYPERLINK \l _Toc21884 </w:instrText>
          </w:r>
          <w:r>
            <w:rPr>
              <w:rFonts w:hint="eastAsia" w:ascii="ˎ̥" w:hAnsi="ˎ̥"/>
              <w:bCs/>
              <w:sz w:val="28"/>
              <w:szCs w:val="56"/>
            </w:rPr>
            <w:fldChar w:fldCharType="separate"/>
          </w:r>
          <w:r>
            <w:rPr>
              <w:rFonts w:hint="eastAsia" w:ascii="楷体_GB2312" w:hAnsi="楷体_GB2312" w:eastAsia="楷体_GB2312" w:cs="楷体_GB2312"/>
              <w:bCs/>
              <w:sz w:val="28"/>
              <w:szCs w:val="48"/>
            </w:rPr>
            <w:t>（一）机构设置及主要职责</w:t>
          </w:r>
          <w:r>
            <w:rPr>
              <w:sz w:val="28"/>
              <w:szCs w:val="28"/>
            </w:rPr>
            <w:tab/>
          </w:r>
          <w:r>
            <w:rPr>
              <w:rFonts w:hint="eastAsia"/>
              <w:sz w:val="28"/>
              <w:szCs w:val="28"/>
              <w:lang w:val="en-US" w:eastAsia="zh-CN"/>
            </w:rPr>
            <w:t>1</w:t>
          </w:r>
          <w:r>
            <w:rPr>
              <w:rFonts w:hint="eastAsia" w:ascii="ˎ̥" w:hAnsi="ˎ̥"/>
              <w:bCs/>
              <w:color w:val="000000"/>
              <w:sz w:val="28"/>
              <w:szCs w:val="56"/>
            </w:rPr>
            <w:fldChar w:fldCharType="end"/>
          </w:r>
        </w:p>
        <w:p>
          <w:pPr>
            <w:pStyle w:val="20"/>
            <w:tabs>
              <w:tab w:val="right" w:leader="dot" w:pos="8845"/>
            </w:tabs>
            <w:ind w:left="0" w:leftChars="0" w:firstLine="560" w:firstLineChars="200"/>
            <w:rPr>
              <w:sz w:val="28"/>
              <w:szCs w:val="28"/>
            </w:rPr>
          </w:pPr>
          <w:r>
            <w:rPr>
              <w:rFonts w:hint="eastAsia" w:ascii="ˎ̥" w:hAnsi="ˎ̥"/>
              <w:bCs/>
              <w:color w:val="000000"/>
              <w:sz w:val="28"/>
              <w:szCs w:val="56"/>
            </w:rPr>
            <w:fldChar w:fldCharType="begin"/>
          </w:r>
          <w:r>
            <w:rPr>
              <w:rFonts w:hint="eastAsia" w:ascii="ˎ̥" w:hAnsi="ˎ̥"/>
              <w:bCs/>
              <w:sz w:val="28"/>
              <w:szCs w:val="56"/>
            </w:rPr>
            <w:instrText xml:space="preserve"> HYPERLINK \l _Toc818 </w:instrText>
          </w:r>
          <w:r>
            <w:rPr>
              <w:rFonts w:hint="eastAsia" w:ascii="ˎ̥" w:hAnsi="ˎ̥"/>
              <w:bCs/>
              <w:sz w:val="28"/>
              <w:szCs w:val="56"/>
            </w:rPr>
            <w:fldChar w:fldCharType="separate"/>
          </w:r>
          <w:r>
            <w:rPr>
              <w:rFonts w:hint="eastAsia" w:ascii="楷体_GB2312" w:hAnsi="楷体_GB2312" w:eastAsia="楷体_GB2312" w:cs="楷体_GB2312"/>
              <w:bCs/>
              <w:sz w:val="28"/>
              <w:szCs w:val="48"/>
            </w:rPr>
            <w:t>（二）20</w:t>
          </w:r>
          <w:r>
            <w:rPr>
              <w:rFonts w:hint="eastAsia" w:ascii="楷体_GB2312" w:hAnsi="楷体_GB2312" w:eastAsia="楷体_GB2312" w:cs="楷体_GB2312"/>
              <w:bCs/>
              <w:sz w:val="28"/>
              <w:szCs w:val="48"/>
              <w:lang w:val="en-US" w:eastAsia="zh-CN"/>
            </w:rPr>
            <w:t>24</w:t>
          </w:r>
          <w:r>
            <w:rPr>
              <w:rFonts w:hint="eastAsia" w:ascii="楷体_GB2312" w:hAnsi="楷体_GB2312" w:eastAsia="楷体_GB2312" w:cs="楷体_GB2312"/>
              <w:bCs/>
              <w:sz w:val="28"/>
              <w:szCs w:val="48"/>
            </w:rPr>
            <w:t>年重点工作</w:t>
          </w:r>
          <w:r>
            <w:rPr>
              <w:sz w:val="28"/>
              <w:szCs w:val="28"/>
            </w:rPr>
            <w:tab/>
          </w:r>
          <w:r>
            <w:rPr>
              <w:rFonts w:hint="eastAsia"/>
              <w:sz w:val="28"/>
              <w:szCs w:val="28"/>
              <w:lang w:val="en-US" w:eastAsia="zh-CN"/>
            </w:rPr>
            <w:t>5</w:t>
          </w:r>
          <w:r>
            <w:rPr>
              <w:rFonts w:hint="eastAsia" w:ascii="ˎ̥" w:hAnsi="ˎ̥"/>
              <w:bCs/>
              <w:color w:val="000000"/>
              <w:sz w:val="28"/>
              <w:szCs w:val="56"/>
            </w:rPr>
            <w:fldChar w:fldCharType="end"/>
          </w:r>
        </w:p>
        <w:p>
          <w:pPr>
            <w:pStyle w:val="19"/>
            <w:tabs>
              <w:tab w:val="right" w:leader="dot" w:pos="8845"/>
            </w:tabs>
            <w:rPr>
              <w:b/>
              <w:sz w:val="28"/>
              <w:szCs w:val="28"/>
            </w:rPr>
          </w:pPr>
          <w:r>
            <w:rPr>
              <w:rFonts w:hint="eastAsia" w:ascii="ˎ̥" w:hAnsi="ˎ̥"/>
              <w:b/>
              <w:bCs/>
              <w:color w:val="000000"/>
              <w:sz w:val="28"/>
              <w:szCs w:val="56"/>
            </w:rPr>
            <w:fldChar w:fldCharType="begin"/>
          </w:r>
          <w:r>
            <w:rPr>
              <w:rFonts w:hint="eastAsia" w:ascii="ˎ̥" w:hAnsi="ˎ̥"/>
              <w:b/>
              <w:bCs/>
              <w:sz w:val="28"/>
              <w:szCs w:val="56"/>
            </w:rPr>
            <w:instrText xml:space="preserve"> HYPERLINK \l _Toc27442 </w:instrText>
          </w:r>
          <w:r>
            <w:rPr>
              <w:rFonts w:hint="eastAsia" w:ascii="ˎ̥" w:hAnsi="ˎ̥"/>
              <w:b/>
              <w:bCs/>
              <w:sz w:val="28"/>
              <w:szCs w:val="56"/>
            </w:rPr>
            <w:fldChar w:fldCharType="separate"/>
          </w:r>
          <w:r>
            <w:rPr>
              <w:rFonts w:hint="eastAsia" w:ascii="黑体" w:hAnsi="黑体" w:eastAsia="黑体" w:cs="黑体"/>
              <w:b/>
              <w:sz w:val="28"/>
              <w:szCs w:val="48"/>
            </w:rPr>
            <w:t>二、部门预算单位构成</w:t>
          </w:r>
          <w:r>
            <w:rPr>
              <w:b/>
              <w:sz w:val="28"/>
              <w:szCs w:val="28"/>
            </w:rPr>
            <w:tab/>
          </w:r>
          <w:r>
            <w:rPr>
              <w:rFonts w:hint="eastAsia"/>
              <w:b/>
              <w:sz w:val="28"/>
              <w:szCs w:val="28"/>
              <w:lang w:val="en-US" w:eastAsia="zh-CN"/>
            </w:rPr>
            <w:t>8</w:t>
          </w:r>
          <w:r>
            <w:rPr>
              <w:rFonts w:hint="eastAsia" w:ascii="ˎ̥" w:hAnsi="ˎ̥"/>
              <w:b/>
              <w:bCs/>
              <w:color w:val="000000"/>
              <w:sz w:val="28"/>
              <w:szCs w:val="56"/>
            </w:rPr>
            <w:fldChar w:fldCharType="end"/>
          </w:r>
        </w:p>
        <w:p>
          <w:pPr>
            <w:pStyle w:val="19"/>
            <w:tabs>
              <w:tab w:val="right" w:leader="dot" w:pos="8845"/>
            </w:tabs>
            <w:rPr>
              <w:b/>
              <w:sz w:val="28"/>
              <w:szCs w:val="28"/>
            </w:rPr>
          </w:pPr>
          <w:r>
            <w:rPr>
              <w:rFonts w:hint="eastAsia" w:ascii="ˎ̥" w:hAnsi="ˎ̥"/>
              <w:b/>
              <w:bCs/>
              <w:color w:val="000000"/>
              <w:sz w:val="28"/>
              <w:szCs w:val="56"/>
            </w:rPr>
            <w:fldChar w:fldCharType="begin"/>
          </w:r>
          <w:r>
            <w:rPr>
              <w:rFonts w:hint="eastAsia" w:ascii="ˎ̥" w:hAnsi="ˎ̥"/>
              <w:b/>
              <w:bCs/>
              <w:sz w:val="28"/>
              <w:szCs w:val="56"/>
            </w:rPr>
            <w:instrText xml:space="preserve"> HYPERLINK \l _Toc1848 </w:instrText>
          </w:r>
          <w:r>
            <w:rPr>
              <w:rFonts w:hint="eastAsia" w:ascii="ˎ̥" w:hAnsi="ˎ̥"/>
              <w:b/>
              <w:bCs/>
              <w:sz w:val="28"/>
              <w:szCs w:val="56"/>
            </w:rPr>
            <w:fldChar w:fldCharType="separate"/>
          </w:r>
          <w:r>
            <w:rPr>
              <w:rFonts w:hint="eastAsia" w:ascii="黑体" w:hAnsi="黑体" w:eastAsia="黑体" w:cs="黑体"/>
              <w:b/>
              <w:sz w:val="28"/>
              <w:szCs w:val="48"/>
            </w:rPr>
            <w:t>三、收支预算增减变化情况说明</w:t>
          </w:r>
          <w:r>
            <w:rPr>
              <w:b/>
              <w:sz w:val="28"/>
              <w:szCs w:val="28"/>
            </w:rPr>
            <w:tab/>
          </w:r>
          <w:r>
            <w:rPr>
              <w:rFonts w:hint="eastAsia"/>
              <w:b/>
              <w:sz w:val="28"/>
              <w:szCs w:val="28"/>
              <w:lang w:val="en-US" w:eastAsia="zh-CN"/>
            </w:rPr>
            <w:t>8</w:t>
          </w:r>
          <w:r>
            <w:rPr>
              <w:rFonts w:hint="eastAsia" w:ascii="ˎ̥" w:hAnsi="ˎ̥"/>
              <w:b/>
              <w:bCs/>
              <w:color w:val="000000"/>
              <w:sz w:val="28"/>
              <w:szCs w:val="56"/>
            </w:rPr>
            <w:fldChar w:fldCharType="end"/>
          </w:r>
        </w:p>
        <w:p>
          <w:pPr>
            <w:pStyle w:val="20"/>
            <w:tabs>
              <w:tab w:val="right" w:leader="dot" w:pos="8845"/>
            </w:tabs>
            <w:ind w:left="0" w:leftChars="0" w:firstLine="560" w:firstLineChars="200"/>
            <w:rPr>
              <w:sz w:val="28"/>
              <w:szCs w:val="28"/>
            </w:rPr>
          </w:pPr>
          <w:r>
            <w:rPr>
              <w:rFonts w:hint="eastAsia" w:ascii="ˎ̥" w:hAnsi="ˎ̥"/>
              <w:bCs/>
              <w:color w:val="000000"/>
              <w:sz w:val="28"/>
              <w:szCs w:val="56"/>
            </w:rPr>
            <w:fldChar w:fldCharType="begin"/>
          </w:r>
          <w:r>
            <w:rPr>
              <w:rFonts w:hint="eastAsia" w:ascii="ˎ̥" w:hAnsi="ˎ̥"/>
              <w:bCs/>
              <w:sz w:val="28"/>
              <w:szCs w:val="56"/>
            </w:rPr>
            <w:instrText xml:space="preserve"> HYPERLINK \l _Toc193 </w:instrText>
          </w:r>
          <w:r>
            <w:rPr>
              <w:rFonts w:hint="eastAsia" w:ascii="ˎ̥" w:hAnsi="ˎ̥"/>
              <w:bCs/>
              <w:sz w:val="28"/>
              <w:szCs w:val="56"/>
            </w:rPr>
            <w:fldChar w:fldCharType="separate"/>
          </w:r>
          <w:r>
            <w:rPr>
              <w:rFonts w:hint="eastAsia" w:ascii="楷体_GB2312" w:hAnsi="楷体_GB2312" w:eastAsia="楷体_GB2312" w:cs="楷体_GB2312"/>
              <w:bCs/>
              <w:sz w:val="28"/>
              <w:szCs w:val="48"/>
            </w:rPr>
            <w:t>（一）收入预算情况</w:t>
          </w:r>
          <w:r>
            <w:rPr>
              <w:sz w:val="28"/>
              <w:szCs w:val="28"/>
            </w:rPr>
            <w:tab/>
          </w:r>
          <w:r>
            <w:rPr>
              <w:rFonts w:hint="eastAsia"/>
              <w:sz w:val="28"/>
              <w:szCs w:val="28"/>
              <w:lang w:val="en-US" w:eastAsia="zh-CN"/>
            </w:rPr>
            <w:t>9</w:t>
          </w:r>
          <w:r>
            <w:rPr>
              <w:rFonts w:hint="eastAsia" w:ascii="ˎ̥" w:hAnsi="ˎ̥"/>
              <w:bCs/>
              <w:color w:val="000000"/>
              <w:sz w:val="28"/>
              <w:szCs w:val="56"/>
            </w:rPr>
            <w:fldChar w:fldCharType="end"/>
          </w:r>
        </w:p>
        <w:p>
          <w:pPr>
            <w:pStyle w:val="20"/>
            <w:tabs>
              <w:tab w:val="right" w:leader="dot" w:pos="8845"/>
            </w:tabs>
            <w:ind w:left="0" w:leftChars="0" w:firstLine="560" w:firstLineChars="200"/>
            <w:rPr>
              <w:sz w:val="28"/>
              <w:szCs w:val="28"/>
            </w:rPr>
          </w:pPr>
          <w:r>
            <w:rPr>
              <w:rFonts w:hint="eastAsia" w:ascii="ˎ̥" w:hAnsi="ˎ̥"/>
              <w:bCs/>
              <w:color w:val="000000"/>
              <w:sz w:val="28"/>
              <w:szCs w:val="56"/>
            </w:rPr>
            <w:fldChar w:fldCharType="begin"/>
          </w:r>
          <w:r>
            <w:rPr>
              <w:rFonts w:hint="eastAsia" w:ascii="ˎ̥" w:hAnsi="ˎ̥"/>
              <w:bCs/>
              <w:sz w:val="28"/>
              <w:szCs w:val="56"/>
            </w:rPr>
            <w:instrText xml:space="preserve"> HYPERLINK \l _Toc3651 </w:instrText>
          </w:r>
          <w:r>
            <w:rPr>
              <w:rFonts w:hint="eastAsia" w:ascii="ˎ̥" w:hAnsi="ˎ̥"/>
              <w:bCs/>
              <w:sz w:val="28"/>
              <w:szCs w:val="56"/>
            </w:rPr>
            <w:fldChar w:fldCharType="separate"/>
          </w:r>
          <w:r>
            <w:rPr>
              <w:rFonts w:hint="eastAsia" w:ascii="楷体_GB2312" w:hAnsi="楷体_GB2312" w:eastAsia="楷体_GB2312" w:cs="楷体_GB2312"/>
              <w:bCs/>
              <w:sz w:val="28"/>
              <w:szCs w:val="48"/>
            </w:rPr>
            <w:t>（二）支出预算情况</w:t>
          </w:r>
          <w:r>
            <w:rPr>
              <w:sz w:val="28"/>
              <w:szCs w:val="28"/>
            </w:rPr>
            <w:tab/>
          </w:r>
          <w:r>
            <w:rPr>
              <w:rFonts w:hint="eastAsia"/>
              <w:sz w:val="28"/>
              <w:szCs w:val="28"/>
              <w:lang w:val="en-US" w:eastAsia="zh-CN"/>
            </w:rPr>
            <w:t>9</w:t>
          </w:r>
          <w:r>
            <w:rPr>
              <w:rFonts w:hint="eastAsia" w:ascii="ˎ̥" w:hAnsi="ˎ̥"/>
              <w:bCs/>
              <w:color w:val="000000"/>
              <w:sz w:val="28"/>
              <w:szCs w:val="56"/>
            </w:rPr>
            <w:fldChar w:fldCharType="end"/>
          </w:r>
        </w:p>
        <w:p>
          <w:pPr>
            <w:pStyle w:val="19"/>
            <w:tabs>
              <w:tab w:val="right" w:leader="dot" w:pos="8845"/>
            </w:tabs>
            <w:rPr>
              <w:b/>
              <w:sz w:val="28"/>
              <w:szCs w:val="28"/>
            </w:rPr>
          </w:pPr>
          <w:r>
            <w:rPr>
              <w:rFonts w:hint="eastAsia" w:ascii="ˎ̥" w:hAnsi="ˎ̥"/>
              <w:b/>
              <w:bCs/>
              <w:color w:val="000000"/>
              <w:sz w:val="28"/>
              <w:szCs w:val="56"/>
            </w:rPr>
            <w:fldChar w:fldCharType="begin"/>
          </w:r>
          <w:r>
            <w:rPr>
              <w:rFonts w:hint="eastAsia" w:ascii="ˎ̥" w:hAnsi="ˎ̥"/>
              <w:b/>
              <w:bCs/>
              <w:sz w:val="28"/>
              <w:szCs w:val="56"/>
            </w:rPr>
            <w:instrText xml:space="preserve"> HYPERLINK \l _Toc3738 </w:instrText>
          </w:r>
          <w:r>
            <w:rPr>
              <w:rFonts w:hint="eastAsia" w:ascii="ˎ̥" w:hAnsi="ˎ̥"/>
              <w:b/>
              <w:bCs/>
              <w:sz w:val="28"/>
              <w:szCs w:val="56"/>
            </w:rPr>
            <w:fldChar w:fldCharType="separate"/>
          </w:r>
          <w:r>
            <w:rPr>
              <w:rFonts w:hint="eastAsia" w:ascii="黑体" w:hAnsi="黑体" w:eastAsia="黑体" w:cs="黑体"/>
              <w:b/>
              <w:sz w:val="28"/>
              <w:szCs w:val="48"/>
            </w:rPr>
            <w:t>四、财政拨款收支预算情况说明</w:t>
          </w:r>
          <w:r>
            <w:rPr>
              <w:b/>
              <w:sz w:val="28"/>
              <w:szCs w:val="28"/>
            </w:rPr>
            <w:tab/>
          </w:r>
          <w:r>
            <w:rPr>
              <w:rFonts w:hint="eastAsia"/>
              <w:b/>
              <w:sz w:val="28"/>
              <w:szCs w:val="28"/>
              <w:lang w:val="en-US" w:eastAsia="zh-CN"/>
            </w:rPr>
            <w:t>9</w:t>
          </w:r>
          <w:r>
            <w:rPr>
              <w:rFonts w:hint="eastAsia" w:ascii="ˎ̥" w:hAnsi="ˎ̥"/>
              <w:b/>
              <w:bCs/>
              <w:color w:val="000000"/>
              <w:sz w:val="28"/>
              <w:szCs w:val="56"/>
            </w:rPr>
            <w:fldChar w:fldCharType="end"/>
          </w:r>
        </w:p>
        <w:p>
          <w:pPr>
            <w:pStyle w:val="19"/>
            <w:tabs>
              <w:tab w:val="right" w:leader="dot" w:pos="8845"/>
            </w:tabs>
            <w:rPr>
              <w:rFonts w:hint="eastAsia" w:eastAsia="宋体"/>
              <w:b/>
              <w:sz w:val="28"/>
              <w:szCs w:val="28"/>
              <w:lang w:val="en-US" w:eastAsia="zh-CN"/>
            </w:rPr>
          </w:pPr>
          <w:r>
            <w:rPr>
              <w:rFonts w:hint="eastAsia" w:ascii="ˎ̥" w:hAnsi="ˎ̥"/>
              <w:b/>
              <w:bCs/>
              <w:color w:val="000000"/>
              <w:sz w:val="28"/>
              <w:szCs w:val="56"/>
            </w:rPr>
            <w:fldChar w:fldCharType="begin"/>
          </w:r>
          <w:r>
            <w:rPr>
              <w:rFonts w:hint="eastAsia" w:ascii="ˎ̥" w:hAnsi="ˎ̥"/>
              <w:b/>
              <w:bCs/>
              <w:sz w:val="28"/>
              <w:szCs w:val="56"/>
            </w:rPr>
            <w:instrText xml:space="preserve"> HYPERLINK \l _Toc3440 </w:instrText>
          </w:r>
          <w:r>
            <w:rPr>
              <w:rFonts w:hint="eastAsia" w:ascii="ˎ̥" w:hAnsi="ˎ̥"/>
              <w:b/>
              <w:bCs/>
              <w:sz w:val="28"/>
              <w:szCs w:val="56"/>
            </w:rPr>
            <w:fldChar w:fldCharType="separate"/>
          </w:r>
          <w:r>
            <w:rPr>
              <w:rFonts w:hint="eastAsia" w:ascii="黑体" w:hAnsi="黑体" w:eastAsia="黑体" w:cs="黑体"/>
              <w:b/>
              <w:sz w:val="28"/>
              <w:szCs w:val="48"/>
            </w:rPr>
            <w:t>五、一般公共预算当年拨款情况说明</w:t>
          </w:r>
          <w:r>
            <w:rPr>
              <w:b/>
              <w:sz w:val="28"/>
              <w:szCs w:val="28"/>
            </w:rPr>
            <w:tab/>
          </w:r>
          <w:r>
            <w:rPr>
              <w:rFonts w:hint="eastAsia"/>
              <w:b/>
              <w:sz w:val="28"/>
              <w:szCs w:val="28"/>
              <w:lang w:val="en-US" w:eastAsia="zh-CN"/>
            </w:rPr>
            <w:t>9</w:t>
          </w:r>
          <w:r>
            <w:rPr>
              <w:rFonts w:hint="eastAsia" w:ascii="ˎ̥" w:hAnsi="ˎ̥"/>
              <w:b/>
              <w:bCs/>
              <w:color w:val="000000"/>
              <w:sz w:val="28"/>
              <w:szCs w:val="56"/>
            </w:rPr>
            <w:fldChar w:fldCharType="end"/>
          </w:r>
        </w:p>
        <w:p>
          <w:pPr>
            <w:pStyle w:val="20"/>
            <w:tabs>
              <w:tab w:val="right" w:leader="dot" w:pos="8845"/>
            </w:tabs>
            <w:ind w:left="0" w:leftChars="0" w:firstLine="560" w:firstLineChars="200"/>
            <w:rPr>
              <w:rFonts w:hint="eastAsia" w:eastAsia="宋体"/>
              <w:sz w:val="28"/>
              <w:szCs w:val="28"/>
              <w:lang w:val="en-US" w:eastAsia="zh-CN"/>
            </w:rPr>
          </w:pPr>
          <w:r>
            <w:rPr>
              <w:rFonts w:hint="eastAsia" w:ascii="ˎ̥" w:hAnsi="ˎ̥"/>
              <w:bCs/>
              <w:color w:val="000000"/>
              <w:sz w:val="28"/>
              <w:szCs w:val="56"/>
            </w:rPr>
            <w:fldChar w:fldCharType="begin"/>
          </w:r>
          <w:r>
            <w:rPr>
              <w:rFonts w:hint="eastAsia" w:ascii="ˎ̥" w:hAnsi="ˎ̥"/>
              <w:bCs/>
              <w:sz w:val="28"/>
              <w:szCs w:val="56"/>
            </w:rPr>
            <w:instrText xml:space="preserve"> HYPERLINK \l _Toc25098 </w:instrText>
          </w:r>
          <w:r>
            <w:rPr>
              <w:rFonts w:hint="eastAsia" w:ascii="ˎ̥" w:hAnsi="ˎ̥"/>
              <w:bCs/>
              <w:sz w:val="28"/>
              <w:szCs w:val="56"/>
            </w:rPr>
            <w:fldChar w:fldCharType="separate"/>
          </w:r>
          <w:r>
            <w:rPr>
              <w:rFonts w:hint="eastAsia" w:ascii="楷体_GB2312" w:hAnsi="楷体_GB2312" w:eastAsia="楷体_GB2312" w:cs="楷体_GB2312"/>
              <w:bCs/>
              <w:sz w:val="28"/>
              <w:szCs w:val="48"/>
            </w:rPr>
            <w:t>（一）一般公共预算当年拨款规模变化情况</w:t>
          </w:r>
          <w:r>
            <w:rPr>
              <w:sz w:val="28"/>
              <w:szCs w:val="28"/>
            </w:rPr>
            <w:tab/>
          </w:r>
          <w:r>
            <w:rPr>
              <w:rFonts w:hint="eastAsia"/>
              <w:sz w:val="28"/>
              <w:szCs w:val="28"/>
              <w:lang w:val="en-US" w:eastAsia="zh-CN"/>
            </w:rPr>
            <w:t>9</w:t>
          </w:r>
          <w:r>
            <w:rPr>
              <w:rFonts w:hint="eastAsia" w:ascii="ˎ̥" w:hAnsi="ˎ̥"/>
              <w:bCs/>
              <w:color w:val="000000"/>
              <w:sz w:val="28"/>
              <w:szCs w:val="56"/>
            </w:rPr>
            <w:fldChar w:fldCharType="end"/>
          </w:r>
        </w:p>
        <w:p>
          <w:pPr>
            <w:pStyle w:val="20"/>
            <w:tabs>
              <w:tab w:val="right" w:leader="dot" w:pos="8845"/>
            </w:tabs>
            <w:ind w:left="0" w:leftChars="0" w:firstLine="560" w:firstLineChars="200"/>
            <w:rPr>
              <w:rFonts w:hint="eastAsia" w:eastAsia="宋体"/>
              <w:sz w:val="28"/>
              <w:szCs w:val="28"/>
              <w:lang w:val="en-US" w:eastAsia="zh-CN"/>
            </w:rPr>
          </w:pPr>
          <w:r>
            <w:rPr>
              <w:rFonts w:hint="eastAsia" w:ascii="ˎ̥" w:hAnsi="ˎ̥"/>
              <w:bCs/>
              <w:color w:val="000000"/>
              <w:sz w:val="28"/>
              <w:szCs w:val="56"/>
            </w:rPr>
            <w:fldChar w:fldCharType="begin"/>
          </w:r>
          <w:r>
            <w:rPr>
              <w:rFonts w:hint="eastAsia" w:ascii="ˎ̥" w:hAnsi="ˎ̥"/>
              <w:bCs/>
              <w:sz w:val="28"/>
              <w:szCs w:val="56"/>
            </w:rPr>
            <w:instrText xml:space="preserve"> HYPERLINK \l _Toc16092 </w:instrText>
          </w:r>
          <w:r>
            <w:rPr>
              <w:rFonts w:hint="eastAsia" w:ascii="ˎ̥" w:hAnsi="ˎ̥"/>
              <w:bCs/>
              <w:sz w:val="28"/>
              <w:szCs w:val="56"/>
            </w:rPr>
            <w:fldChar w:fldCharType="separate"/>
          </w:r>
          <w:r>
            <w:rPr>
              <w:rFonts w:hint="eastAsia" w:ascii="仿宋_GB2312" w:hAnsi="仿宋_GB2312" w:eastAsia="仿宋_GB2312"/>
              <w:bCs/>
              <w:sz w:val="28"/>
              <w:szCs w:val="48"/>
            </w:rPr>
            <w:t>（二）一般公共预算当年拨款结构情况(按照功能科目类写)</w:t>
          </w:r>
          <w:r>
            <w:rPr>
              <w:sz w:val="28"/>
              <w:szCs w:val="28"/>
            </w:rPr>
            <w:tab/>
          </w:r>
          <w:r>
            <w:rPr>
              <w:rFonts w:hint="eastAsia"/>
              <w:sz w:val="28"/>
              <w:szCs w:val="28"/>
              <w:lang w:val="en-US" w:eastAsia="zh-CN"/>
            </w:rPr>
            <w:t>9</w:t>
          </w:r>
          <w:r>
            <w:rPr>
              <w:rFonts w:hint="eastAsia" w:ascii="ˎ̥" w:hAnsi="ˎ̥"/>
              <w:bCs/>
              <w:color w:val="000000"/>
              <w:sz w:val="28"/>
              <w:szCs w:val="56"/>
            </w:rPr>
            <w:fldChar w:fldCharType="end"/>
          </w:r>
        </w:p>
        <w:p>
          <w:pPr>
            <w:pStyle w:val="20"/>
            <w:tabs>
              <w:tab w:val="right" w:leader="dot" w:pos="8845"/>
            </w:tabs>
            <w:ind w:left="0" w:leftChars="0" w:firstLine="560" w:firstLineChars="200"/>
            <w:rPr>
              <w:rFonts w:hint="eastAsia" w:eastAsia="宋体"/>
              <w:sz w:val="28"/>
              <w:szCs w:val="28"/>
              <w:lang w:val="en-US" w:eastAsia="zh-CN"/>
            </w:rPr>
          </w:pPr>
          <w:r>
            <w:rPr>
              <w:rFonts w:hint="eastAsia" w:ascii="ˎ̥" w:hAnsi="ˎ̥"/>
              <w:bCs/>
              <w:color w:val="000000"/>
              <w:sz w:val="28"/>
              <w:szCs w:val="56"/>
            </w:rPr>
            <w:fldChar w:fldCharType="begin"/>
          </w:r>
          <w:r>
            <w:rPr>
              <w:rFonts w:hint="eastAsia" w:ascii="ˎ̥" w:hAnsi="ˎ̥"/>
              <w:bCs/>
              <w:sz w:val="28"/>
              <w:szCs w:val="56"/>
            </w:rPr>
            <w:instrText xml:space="preserve"> HYPERLINK \l _Toc28341 </w:instrText>
          </w:r>
          <w:r>
            <w:rPr>
              <w:rFonts w:hint="eastAsia" w:ascii="ˎ̥" w:hAnsi="ˎ̥"/>
              <w:bCs/>
              <w:sz w:val="28"/>
              <w:szCs w:val="56"/>
            </w:rPr>
            <w:fldChar w:fldCharType="separate"/>
          </w:r>
          <w:r>
            <w:rPr>
              <w:rFonts w:hint="eastAsia" w:ascii="楷体_GB2312" w:hAnsi="楷体_GB2312" w:eastAsia="楷体_GB2312" w:cs="楷体_GB2312"/>
              <w:bCs/>
              <w:sz w:val="28"/>
              <w:szCs w:val="48"/>
            </w:rPr>
            <w:t>（三）一般公共预算当年拨款具体使用情况（按功能科目类款项写）</w:t>
          </w:r>
          <w:r>
            <w:rPr>
              <w:sz w:val="28"/>
              <w:szCs w:val="28"/>
            </w:rPr>
            <w:tab/>
          </w:r>
          <w:r>
            <w:rPr>
              <w:rFonts w:hint="eastAsia"/>
              <w:sz w:val="28"/>
              <w:szCs w:val="28"/>
              <w:lang w:val="en-US" w:eastAsia="zh-CN"/>
            </w:rPr>
            <w:t>1</w:t>
          </w:r>
          <w:r>
            <w:rPr>
              <w:rFonts w:hint="eastAsia" w:ascii="ˎ̥" w:hAnsi="ˎ̥"/>
              <w:bCs/>
              <w:color w:val="000000"/>
              <w:sz w:val="28"/>
              <w:szCs w:val="56"/>
            </w:rPr>
            <w:fldChar w:fldCharType="end"/>
          </w:r>
          <w:r>
            <w:rPr>
              <w:rFonts w:hint="eastAsia" w:ascii="ˎ̥" w:hAnsi="ˎ̥"/>
              <w:bCs/>
              <w:color w:val="000000"/>
              <w:sz w:val="28"/>
              <w:szCs w:val="56"/>
              <w:lang w:val="en-US" w:eastAsia="zh-CN"/>
            </w:rPr>
            <w:t>0</w:t>
          </w:r>
        </w:p>
        <w:p>
          <w:pPr>
            <w:pStyle w:val="19"/>
            <w:tabs>
              <w:tab w:val="right" w:leader="dot" w:pos="8845"/>
            </w:tabs>
            <w:rPr>
              <w:rFonts w:hint="eastAsia" w:eastAsia="宋体"/>
              <w:b/>
              <w:sz w:val="28"/>
              <w:szCs w:val="28"/>
              <w:lang w:val="en-US" w:eastAsia="zh-CN"/>
            </w:rPr>
          </w:pPr>
          <w:r>
            <w:rPr>
              <w:rFonts w:hint="eastAsia" w:ascii="ˎ̥" w:hAnsi="ˎ̥"/>
              <w:b/>
              <w:bCs/>
              <w:color w:val="000000"/>
              <w:sz w:val="28"/>
              <w:szCs w:val="56"/>
            </w:rPr>
            <w:fldChar w:fldCharType="begin"/>
          </w:r>
          <w:r>
            <w:rPr>
              <w:rFonts w:hint="eastAsia" w:ascii="ˎ̥" w:hAnsi="ˎ̥"/>
              <w:b/>
              <w:bCs/>
              <w:sz w:val="28"/>
              <w:szCs w:val="56"/>
            </w:rPr>
            <w:instrText xml:space="preserve"> HYPERLINK \l _Toc18858 </w:instrText>
          </w:r>
          <w:r>
            <w:rPr>
              <w:rFonts w:hint="eastAsia" w:ascii="ˎ̥" w:hAnsi="ˎ̥"/>
              <w:b/>
              <w:bCs/>
              <w:sz w:val="28"/>
              <w:szCs w:val="56"/>
            </w:rPr>
            <w:fldChar w:fldCharType="separate"/>
          </w:r>
          <w:r>
            <w:rPr>
              <w:rFonts w:hint="eastAsia" w:ascii="黑体" w:hAnsi="黑体" w:eastAsia="黑体" w:cs="黑体"/>
              <w:b/>
              <w:sz w:val="28"/>
              <w:szCs w:val="48"/>
            </w:rPr>
            <w:t>六、一般公共预算基本支出情况说明</w:t>
          </w:r>
          <w:r>
            <w:rPr>
              <w:b/>
              <w:sz w:val="28"/>
              <w:szCs w:val="28"/>
            </w:rPr>
            <w:tab/>
          </w:r>
          <w:r>
            <w:rPr>
              <w:rFonts w:hint="eastAsia"/>
              <w:b/>
              <w:sz w:val="28"/>
              <w:szCs w:val="28"/>
              <w:lang w:val="en-US" w:eastAsia="zh-CN"/>
            </w:rPr>
            <w:t>1</w:t>
          </w:r>
          <w:r>
            <w:rPr>
              <w:rFonts w:hint="eastAsia" w:ascii="ˎ̥" w:hAnsi="ˎ̥"/>
              <w:b/>
              <w:bCs/>
              <w:color w:val="000000"/>
              <w:sz w:val="28"/>
              <w:szCs w:val="56"/>
            </w:rPr>
            <w:fldChar w:fldCharType="end"/>
          </w:r>
          <w:r>
            <w:rPr>
              <w:rFonts w:hint="eastAsia" w:ascii="ˎ̥" w:hAnsi="ˎ̥"/>
              <w:b/>
              <w:bCs/>
              <w:color w:val="000000"/>
              <w:sz w:val="28"/>
              <w:szCs w:val="56"/>
              <w:lang w:val="en-US" w:eastAsia="zh-CN"/>
            </w:rPr>
            <w:t>1</w:t>
          </w:r>
        </w:p>
        <w:p>
          <w:pPr>
            <w:pStyle w:val="19"/>
            <w:tabs>
              <w:tab w:val="right" w:leader="dot" w:pos="8845"/>
            </w:tabs>
            <w:rPr>
              <w:rFonts w:hint="eastAsia" w:eastAsia="宋体"/>
              <w:b/>
              <w:sz w:val="28"/>
              <w:szCs w:val="28"/>
              <w:lang w:val="en-US" w:eastAsia="zh-CN"/>
            </w:rPr>
          </w:pPr>
          <w:r>
            <w:rPr>
              <w:rFonts w:hint="eastAsia" w:ascii="ˎ̥" w:hAnsi="ˎ̥"/>
              <w:b/>
              <w:bCs/>
              <w:color w:val="000000"/>
              <w:sz w:val="28"/>
              <w:szCs w:val="56"/>
            </w:rPr>
            <w:fldChar w:fldCharType="begin"/>
          </w:r>
          <w:r>
            <w:rPr>
              <w:rFonts w:hint="eastAsia" w:ascii="ˎ̥" w:hAnsi="ˎ̥"/>
              <w:b/>
              <w:bCs/>
              <w:sz w:val="28"/>
              <w:szCs w:val="56"/>
            </w:rPr>
            <w:instrText xml:space="preserve"> HYPERLINK \l _Toc256 </w:instrText>
          </w:r>
          <w:r>
            <w:rPr>
              <w:rFonts w:hint="eastAsia" w:ascii="ˎ̥" w:hAnsi="ˎ̥"/>
              <w:b/>
              <w:bCs/>
              <w:sz w:val="28"/>
              <w:szCs w:val="56"/>
            </w:rPr>
            <w:fldChar w:fldCharType="separate"/>
          </w:r>
          <w:r>
            <w:rPr>
              <w:rFonts w:hint="eastAsia" w:ascii="黑体" w:hAnsi="黑体" w:eastAsia="黑体" w:cs="黑体"/>
              <w:b/>
              <w:sz w:val="28"/>
              <w:szCs w:val="48"/>
            </w:rPr>
            <w:t>七、“三公”经费财政拨款预算安排情况说明</w:t>
          </w:r>
          <w:r>
            <w:rPr>
              <w:b/>
              <w:sz w:val="28"/>
              <w:szCs w:val="28"/>
            </w:rPr>
            <w:tab/>
          </w:r>
          <w:r>
            <w:rPr>
              <w:rFonts w:hint="eastAsia"/>
              <w:b/>
              <w:sz w:val="28"/>
              <w:szCs w:val="28"/>
              <w:lang w:val="en-US" w:eastAsia="zh-CN"/>
            </w:rPr>
            <w:t>1</w:t>
          </w:r>
          <w:r>
            <w:rPr>
              <w:rFonts w:hint="eastAsia" w:ascii="ˎ̥" w:hAnsi="ˎ̥"/>
              <w:b/>
              <w:bCs/>
              <w:color w:val="000000"/>
              <w:sz w:val="28"/>
              <w:szCs w:val="56"/>
            </w:rPr>
            <w:fldChar w:fldCharType="end"/>
          </w:r>
          <w:r>
            <w:rPr>
              <w:rFonts w:hint="eastAsia" w:ascii="ˎ̥" w:hAnsi="ˎ̥"/>
              <w:b/>
              <w:bCs/>
              <w:color w:val="000000"/>
              <w:sz w:val="28"/>
              <w:szCs w:val="56"/>
              <w:lang w:val="en-US" w:eastAsia="zh-CN"/>
            </w:rPr>
            <w:t>2</w:t>
          </w:r>
        </w:p>
        <w:p>
          <w:pPr>
            <w:pStyle w:val="19"/>
            <w:tabs>
              <w:tab w:val="right" w:leader="dot" w:pos="8845"/>
            </w:tabs>
            <w:rPr>
              <w:rFonts w:hint="eastAsia" w:eastAsia="宋体"/>
              <w:b/>
              <w:sz w:val="28"/>
              <w:szCs w:val="28"/>
              <w:lang w:val="en-US" w:eastAsia="zh-CN"/>
            </w:rPr>
          </w:pPr>
          <w:r>
            <w:rPr>
              <w:rFonts w:hint="eastAsia" w:ascii="ˎ̥" w:hAnsi="ˎ̥"/>
              <w:b/>
              <w:bCs/>
              <w:color w:val="000000"/>
              <w:sz w:val="28"/>
              <w:szCs w:val="56"/>
            </w:rPr>
            <w:fldChar w:fldCharType="begin"/>
          </w:r>
          <w:r>
            <w:rPr>
              <w:rFonts w:hint="eastAsia" w:ascii="ˎ̥" w:hAnsi="ˎ̥"/>
              <w:b/>
              <w:bCs/>
              <w:sz w:val="28"/>
              <w:szCs w:val="56"/>
            </w:rPr>
            <w:instrText xml:space="preserve"> HYPERLINK \l _Toc11086 </w:instrText>
          </w:r>
          <w:r>
            <w:rPr>
              <w:rFonts w:hint="eastAsia" w:ascii="ˎ̥" w:hAnsi="ˎ̥"/>
              <w:b/>
              <w:bCs/>
              <w:sz w:val="28"/>
              <w:szCs w:val="56"/>
            </w:rPr>
            <w:fldChar w:fldCharType="separate"/>
          </w:r>
          <w:r>
            <w:rPr>
              <w:rFonts w:hint="eastAsia" w:ascii="黑体" w:hAnsi="黑体" w:eastAsia="黑体" w:cs="黑体"/>
              <w:b/>
              <w:bCs w:val="0"/>
              <w:sz w:val="28"/>
              <w:szCs w:val="48"/>
            </w:rPr>
            <w:t>八、政府性基金预算收支情况说明</w:t>
          </w:r>
          <w:r>
            <w:rPr>
              <w:b/>
              <w:sz w:val="28"/>
              <w:szCs w:val="28"/>
            </w:rPr>
            <w:tab/>
          </w:r>
          <w:r>
            <w:rPr>
              <w:rFonts w:hint="eastAsia"/>
              <w:b/>
              <w:sz w:val="28"/>
              <w:szCs w:val="28"/>
              <w:lang w:val="en-US" w:eastAsia="zh-CN"/>
            </w:rPr>
            <w:t>1</w:t>
          </w:r>
          <w:r>
            <w:rPr>
              <w:rFonts w:hint="eastAsia" w:ascii="ˎ̥" w:hAnsi="ˎ̥"/>
              <w:b/>
              <w:bCs/>
              <w:color w:val="000000"/>
              <w:sz w:val="28"/>
              <w:szCs w:val="56"/>
            </w:rPr>
            <w:fldChar w:fldCharType="end"/>
          </w:r>
          <w:r>
            <w:rPr>
              <w:rFonts w:hint="eastAsia" w:ascii="ˎ̥" w:hAnsi="ˎ̥"/>
              <w:b/>
              <w:bCs/>
              <w:color w:val="000000"/>
              <w:sz w:val="28"/>
              <w:szCs w:val="56"/>
              <w:lang w:val="en-US" w:eastAsia="zh-CN"/>
            </w:rPr>
            <w:t>2</w:t>
          </w:r>
        </w:p>
        <w:p>
          <w:pPr>
            <w:pStyle w:val="19"/>
            <w:tabs>
              <w:tab w:val="right" w:leader="dot" w:pos="8845"/>
            </w:tabs>
            <w:rPr>
              <w:rFonts w:hint="eastAsia" w:eastAsia="宋体"/>
              <w:b/>
              <w:sz w:val="28"/>
              <w:szCs w:val="28"/>
              <w:lang w:val="en-US" w:eastAsia="zh-CN"/>
            </w:rPr>
          </w:pPr>
          <w:r>
            <w:rPr>
              <w:rFonts w:hint="eastAsia" w:ascii="ˎ̥" w:hAnsi="ˎ̥"/>
              <w:b/>
              <w:bCs/>
              <w:color w:val="000000"/>
              <w:sz w:val="28"/>
              <w:szCs w:val="56"/>
            </w:rPr>
            <w:fldChar w:fldCharType="begin"/>
          </w:r>
          <w:r>
            <w:rPr>
              <w:rFonts w:hint="eastAsia" w:ascii="ˎ̥" w:hAnsi="ˎ̥"/>
              <w:b/>
              <w:bCs/>
              <w:sz w:val="28"/>
              <w:szCs w:val="56"/>
            </w:rPr>
            <w:instrText xml:space="preserve"> HYPERLINK \l _Toc165 </w:instrText>
          </w:r>
          <w:r>
            <w:rPr>
              <w:rFonts w:hint="eastAsia" w:ascii="ˎ̥" w:hAnsi="ˎ̥"/>
              <w:b/>
              <w:bCs/>
              <w:sz w:val="28"/>
              <w:szCs w:val="56"/>
            </w:rPr>
            <w:fldChar w:fldCharType="separate"/>
          </w:r>
          <w:r>
            <w:rPr>
              <w:rFonts w:hint="eastAsia" w:ascii="黑体" w:hAnsi="黑体" w:eastAsia="黑体" w:cs="黑体"/>
              <w:b/>
              <w:sz w:val="28"/>
              <w:szCs w:val="48"/>
            </w:rPr>
            <w:t>九、国有资本经营预算支出情况说明</w:t>
          </w:r>
          <w:r>
            <w:rPr>
              <w:b/>
              <w:sz w:val="28"/>
              <w:szCs w:val="28"/>
            </w:rPr>
            <w:tab/>
          </w:r>
          <w:r>
            <w:rPr>
              <w:rFonts w:hint="eastAsia"/>
              <w:b/>
              <w:sz w:val="28"/>
              <w:szCs w:val="28"/>
              <w:lang w:val="en-US" w:eastAsia="zh-CN"/>
            </w:rPr>
            <w:t>1</w:t>
          </w:r>
          <w:r>
            <w:rPr>
              <w:rFonts w:hint="eastAsia" w:ascii="ˎ̥" w:hAnsi="ˎ̥"/>
              <w:b/>
              <w:bCs/>
              <w:color w:val="000000"/>
              <w:sz w:val="28"/>
              <w:szCs w:val="56"/>
            </w:rPr>
            <w:fldChar w:fldCharType="end"/>
          </w:r>
          <w:r>
            <w:rPr>
              <w:rFonts w:hint="eastAsia" w:ascii="ˎ̥" w:hAnsi="ˎ̥"/>
              <w:b/>
              <w:bCs/>
              <w:color w:val="000000"/>
              <w:sz w:val="28"/>
              <w:szCs w:val="56"/>
              <w:lang w:val="en-US" w:eastAsia="zh-CN"/>
            </w:rPr>
            <w:t>2</w:t>
          </w:r>
        </w:p>
        <w:p>
          <w:pPr>
            <w:pStyle w:val="19"/>
            <w:tabs>
              <w:tab w:val="right" w:leader="dot" w:pos="8845"/>
            </w:tabs>
            <w:rPr>
              <w:rFonts w:hint="eastAsia" w:eastAsia="宋体"/>
              <w:b/>
              <w:sz w:val="28"/>
              <w:szCs w:val="28"/>
              <w:lang w:val="en-US" w:eastAsia="zh-CN"/>
            </w:rPr>
          </w:pPr>
          <w:r>
            <w:rPr>
              <w:rFonts w:hint="eastAsia" w:ascii="ˎ̥" w:hAnsi="ˎ̥"/>
              <w:b/>
              <w:bCs/>
              <w:color w:val="000000"/>
              <w:sz w:val="28"/>
              <w:szCs w:val="56"/>
            </w:rPr>
            <w:fldChar w:fldCharType="begin"/>
          </w:r>
          <w:r>
            <w:rPr>
              <w:rFonts w:hint="eastAsia" w:ascii="ˎ̥" w:hAnsi="ˎ̥"/>
              <w:b/>
              <w:bCs/>
              <w:sz w:val="28"/>
              <w:szCs w:val="56"/>
            </w:rPr>
            <w:instrText xml:space="preserve"> HYPERLINK \l _Toc29771 </w:instrText>
          </w:r>
          <w:r>
            <w:rPr>
              <w:rFonts w:hint="eastAsia" w:ascii="ˎ̥" w:hAnsi="ˎ̥"/>
              <w:b/>
              <w:bCs/>
              <w:sz w:val="28"/>
              <w:szCs w:val="56"/>
            </w:rPr>
            <w:fldChar w:fldCharType="separate"/>
          </w:r>
          <w:r>
            <w:rPr>
              <w:rFonts w:hint="eastAsia" w:ascii="黑体" w:hAnsi="黑体" w:eastAsia="黑体" w:cs="黑体"/>
              <w:b/>
              <w:sz w:val="28"/>
              <w:szCs w:val="48"/>
            </w:rPr>
            <w:t>十、其他重要事项的情况说明</w:t>
          </w:r>
          <w:r>
            <w:rPr>
              <w:b/>
              <w:sz w:val="28"/>
              <w:szCs w:val="28"/>
            </w:rPr>
            <w:tab/>
          </w:r>
          <w:r>
            <w:rPr>
              <w:rFonts w:hint="eastAsia"/>
              <w:b/>
              <w:sz w:val="28"/>
              <w:szCs w:val="28"/>
              <w:lang w:val="en-US" w:eastAsia="zh-CN"/>
            </w:rPr>
            <w:t>1</w:t>
          </w:r>
          <w:r>
            <w:rPr>
              <w:rFonts w:hint="eastAsia" w:ascii="ˎ̥" w:hAnsi="ˎ̥"/>
              <w:b/>
              <w:bCs/>
              <w:color w:val="000000"/>
              <w:sz w:val="28"/>
              <w:szCs w:val="56"/>
            </w:rPr>
            <w:fldChar w:fldCharType="end"/>
          </w:r>
          <w:r>
            <w:rPr>
              <w:rFonts w:hint="eastAsia" w:ascii="ˎ̥" w:hAnsi="ˎ̥"/>
              <w:b/>
              <w:bCs/>
              <w:color w:val="000000"/>
              <w:sz w:val="28"/>
              <w:szCs w:val="56"/>
              <w:lang w:val="en-US" w:eastAsia="zh-CN"/>
            </w:rPr>
            <w:t>3</w:t>
          </w:r>
        </w:p>
        <w:p>
          <w:pPr>
            <w:pStyle w:val="20"/>
            <w:tabs>
              <w:tab w:val="right" w:leader="dot" w:pos="8845"/>
            </w:tabs>
            <w:ind w:left="0" w:leftChars="0" w:firstLine="560" w:firstLineChars="200"/>
            <w:rPr>
              <w:rFonts w:hint="eastAsia" w:eastAsia="宋体"/>
              <w:sz w:val="28"/>
              <w:szCs w:val="28"/>
              <w:lang w:val="en-US" w:eastAsia="zh-CN"/>
            </w:rPr>
          </w:pPr>
          <w:r>
            <w:rPr>
              <w:rFonts w:hint="eastAsia" w:ascii="ˎ̥" w:hAnsi="ˎ̥"/>
              <w:bCs/>
              <w:color w:val="000000"/>
              <w:sz w:val="28"/>
              <w:szCs w:val="56"/>
            </w:rPr>
            <w:fldChar w:fldCharType="begin"/>
          </w:r>
          <w:r>
            <w:rPr>
              <w:rFonts w:hint="eastAsia" w:ascii="ˎ̥" w:hAnsi="ˎ̥"/>
              <w:bCs/>
              <w:sz w:val="28"/>
              <w:szCs w:val="56"/>
            </w:rPr>
            <w:instrText xml:space="preserve"> HYPERLINK \l _Toc11525 </w:instrText>
          </w:r>
          <w:r>
            <w:rPr>
              <w:rFonts w:hint="eastAsia" w:ascii="ˎ̥" w:hAnsi="ˎ̥"/>
              <w:bCs/>
              <w:sz w:val="28"/>
              <w:szCs w:val="56"/>
            </w:rPr>
            <w:fldChar w:fldCharType="separate"/>
          </w:r>
          <w:r>
            <w:rPr>
              <w:rFonts w:hint="eastAsia" w:ascii="仿宋_GB2312" w:hAnsi="仿宋_GB2312" w:eastAsia="仿宋_GB2312"/>
              <w:sz w:val="28"/>
              <w:szCs w:val="48"/>
            </w:rPr>
            <w:t>（一）机关运行经费</w:t>
          </w:r>
          <w:r>
            <w:rPr>
              <w:sz w:val="28"/>
              <w:szCs w:val="28"/>
            </w:rPr>
            <w:tab/>
          </w:r>
          <w:r>
            <w:rPr>
              <w:rFonts w:hint="eastAsia"/>
              <w:sz w:val="28"/>
              <w:szCs w:val="28"/>
              <w:lang w:val="en-US" w:eastAsia="zh-CN"/>
            </w:rPr>
            <w:t>1</w:t>
          </w:r>
          <w:r>
            <w:rPr>
              <w:rFonts w:hint="eastAsia" w:ascii="ˎ̥" w:hAnsi="ˎ̥"/>
              <w:bCs/>
              <w:color w:val="000000"/>
              <w:sz w:val="28"/>
              <w:szCs w:val="56"/>
            </w:rPr>
            <w:fldChar w:fldCharType="end"/>
          </w:r>
          <w:r>
            <w:rPr>
              <w:rFonts w:hint="eastAsia" w:ascii="ˎ̥" w:hAnsi="ˎ̥"/>
              <w:bCs/>
              <w:color w:val="000000"/>
              <w:sz w:val="28"/>
              <w:szCs w:val="56"/>
              <w:lang w:val="en-US" w:eastAsia="zh-CN"/>
            </w:rPr>
            <w:t>3</w:t>
          </w:r>
        </w:p>
        <w:p>
          <w:pPr>
            <w:pStyle w:val="20"/>
            <w:tabs>
              <w:tab w:val="right" w:leader="dot" w:pos="8845"/>
            </w:tabs>
            <w:ind w:left="0" w:leftChars="0" w:firstLine="560" w:firstLineChars="200"/>
            <w:rPr>
              <w:rFonts w:hint="eastAsia" w:ascii="ˎ̥" w:hAnsi="ˎ̥"/>
              <w:bCs/>
              <w:color w:val="000000"/>
              <w:sz w:val="28"/>
              <w:szCs w:val="56"/>
            </w:rPr>
            <w:sectPr>
              <w:pgSz w:w="11906" w:h="16838"/>
              <w:pgMar w:top="1440" w:right="1800" w:bottom="1440" w:left="1800" w:header="851" w:footer="992" w:gutter="0"/>
              <w:pgNumType w:fmt="decimal"/>
              <w:cols w:space="425" w:num="1"/>
              <w:docGrid w:type="lines" w:linePitch="312" w:charSpace="0"/>
            </w:sectPr>
          </w:pPr>
        </w:p>
        <w:p>
          <w:pPr>
            <w:pStyle w:val="20"/>
            <w:tabs>
              <w:tab w:val="right" w:leader="dot" w:pos="8845"/>
            </w:tabs>
            <w:ind w:left="0" w:leftChars="0" w:firstLine="560" w:firstLineChars="200"/>
            <w:rPr>
              <w:rFonts w:hint="eastAsia" w:eastAsia="宋体"/>
              <w:sz w:val="28"/>
              <w:szCs w:val="28"/>
              <w:lang w:val="en-US" w:eastAsia="zh-CN"/>
            </w:rPr>
          </w:pPr>
          <w:r>
            <w:rPr>
              <w:rFonts w:hint="eastAsia" w:ascii="ˎ̥" w:hAnsi="ˎ̥"/>
              <w:bCs/>
              <w:color w:val="000000"/>
              <w:sz w:val="28"/>
              <w:szCs w:val="56"/>
            </w:rPr>
            <w:fldChar w:fldCharType="begin"/>
          </w:r>
          <w:r>
            <w:rPr>
              <w:rFonts w:hint="eastAsia" w:ascii="ˎ̥" w:hAnsi="ˎ̥"/>
              <w:bCs/>
              <w:sz w:val="28"/>
              <w:szCs w:val="56"/>
            </w:rPr>
            <w:instrText xml:space="preserve"> HYPERLINK \l _Toc15299 </w:instrText>
          </w:r>
          <w:r>
            <w:rPr>
              <w:rFonts w:hint="eastAsia" w:ascii="ˎ̥" w:hAnsi="ˎ̥"/>
              <w:bCs/>
              <w:sz w:val="28"/>
              <w:szCs w:val="56"/>
            </w:rPr>
            <w:fldChar w:fldCharType="separate"/>
          </w:r>
          <w:r>
            <w:rPr>
              <w:rFonts w:hint="eastAsia" w:ascii="仿宋_GB2312" w:hAnsi="仿宋_GB2312" w:eastAsia="仿宋_GB2312"/>
              <w:sz w:val="28"/>
              <w:szCs w:val="48"/>
            </w:rPr>
            <w:t>（二）政府采购情况</w:t>
          </w:r>
          <w:r>
            <w:rPr>
              <w:sz w:val="28"/>
              <w:szCs w:val="28"/>
            </w:rPr>
            <w:tab/>
          </w:r>
          <w:r>
            <w:rPr>
              <w:rFonts w:hint="eastAsia"/>
              <w:sz w:val="28"/>
              <w:szCs w:val="28"/>
              <w:lang w:val="en-US" w:eastAsia="zh-CN"/>
            </w:rPr>
            <w:t>1</w:t>
          </w:r>
          <w:r>
            <w:rPr>
              <w:rFonts w:hint="eastAsia" w:ascii="ˎ̥" w:hAnsi="ˎ̥"/>
              <w:bCs/>
              <w:color w:val="000000"/>
              <w:sz w:val="28"/>
              <w:szCs w:val="56"/>
            </w:rPr>
            <w:fldChar w:fldCharType="end"/>
          </w:r>
          <w:r>
            <w:rPr>
              <w:rFonts w:hint="eastAsia" w:ascii="ˎ̥" w:hAnsi="ˎ̥"/>
              <w:bCs/>
              <w:color w:val="000000"/>
              <w:sz w:val="28"/>
              <w:szCs w:val="56"/>
              <w:lang w:val="en-US" w:eastAsia="zh-CN"/>
            </w:rPr>
            <w:t>3</w:t>
          </w:r>
        </w:p>
        <w:p>
          <w:pPr>
            <w:pStyle w:val="20"/>
            <w:tabs>
              <w:tab w:val="right" w:leader="dot" w:pos="8845"/>
            </w:tabs>
            <w:ind w:left="0" w:leftChars="0" w:firstLine="560" w:firstLineChars="200"/>
            <w:rPr>
              <w:rFonts w:hint="eastAsia" w:eastAsia="宋体"/>
              <w:sz w:val="28"/>
              <w:szCs w:val="28"/>
              <w:lang w:val="en-US" w:eastAsia="zh-CN"/>
            </w:rPr>
          </w:pPr>
          <w:r>
            <w:rPr>
              <w:rFonts w:hint="eastAsia" w:ascii="ˎ̥" w:hAnsi="ˎ̥"/>
              <w:bCs/>
              <w:color w:val="000000"/>
              <w:sz w:val="28"/>
              <w:szCs w:val="56"/>
            </w:rPr>
            <w:fldChar w:fldCharType="begin"/>
          </w:r>
          <w:r>
            <w:rPr>
              <w:rFonts w:hint="eastAsia" w:ascii="ˎ̥" w:hAnsi="ˎ̥"/>
              <w:bCs/>
              <w:sz w:val="28"/>
              <w:szCs w:val="56"/>
            </w:rPr>
            <w:instrText xml:space="preserve"> HYPERLINK \l _Toc18679 </w:instrText>
          </w:r>
          <w:r>
            <w:rPr>
              <w:rFonts w:hint="eastAsia" w:ascii="ˎ̥" w:hAnsi="ˎ̥"/>
              <w:bCs/>
              <w:sz w:val="28"/>
              <w:szCs w:val="56"/>
            </w:rPr>
            <w:fldChar w:fldCharType="separate"/>
          </w:r>
          <w:r>
            <w:rPr>
              <w:rFonts w:hint="eastAsia" w:ascii="仿宋_GB2312" w:hAnsi="仿宋_GB2312" w:eastAsia="仿宋_GB2312"/>
              <w:sz w:val="28"/>
              <w:szCs w:val="48"/>
            </w:rPr>
            <w:t>（三）国有资产占有使用情况</w:t>
          </w:r>
          <w:r>
            <w:rPr>
              <w:sz w:val="28"/>
              <w:szCs w:val="28"/>
            </w:rPr>
            <w:tab/>
          </w:r>
          <w:r>
            <w:rPr>
              <w:rFonts w:hint="eastAsia"/>
              <w:sz w:val="28"/>
              <w:szCs w:val="28"/>
              <w:lang w:val="en-US" w:eastAsia="zh-CN"/>
            </w:rPr>
            <w:t>1</w:t>
          </w:r>
          <w:r>
            <w:rPr>
              <w:rFonts w:hint="eastAsia" w:ascii="ˎ̥" w:hAnsi="ˎ̥"/>
              <w:bCs/>
              <w:color w:val="000000"/>
              <w:sz w:val="28"/>
              <w:szCs w:val="56"/>
            </w:rPr>
            <w:fldChar w:fldCharType="end"/>
          </w:r>
          <w:r>
            <w:rPr>
              <w:rFonts w:hint="eastAsia" w:ascii="ˎ̥" w:hAnsi="ˎ̥"/>
              <w:bCs/>
              <w:color w:val="000000"/>
              <w:sz w:val="28"/>
              <w:szCs w:val="56"/>
              <w:lang w:val="en-US" w:eastAsia="zh-CN"/>
            </w:rPr>
            <w:t>3</w:t>
          </w:r>
        </w:p>
        <w:p>
          <w:pPr>
            <w:pStyle w:val="20"/>
            <w:tabs>
              <w:tab w:val="right" w:leader="dot" w:pos="8845"/>
            </w:tabs>
            <w:ind w:left="0" w:leftChars="0" w:firstLine="560" w:firstLineChars="200"/>
            <w:rPr>
              <w:rFonts w:hint="eastAsia" w:eastAsia="宋体"/>
              <w:sz w:val="28"/>
              <w:szCs w:val="28"/>
              <w:lang w:val="en-US" w:eastAsia="zh-CN"/>
            </w:rPr>
          </w:pPr>
          <w:r>
            <w:rPr>
              <w:rFonts w:hint="eastAsia" w:ascii="ˎ̥" w:hAnsi="ˎ̥"/>
              <w:bCs/>
              <w:color w:val="000000"/>
              <w:sz w:val="28"/>
              <w:szCs w:val="56"/>
            </w:rPr>
            <w:fldChar w:fldCharType="begin"/>
          </w:r>
          <w:r>
            <w:rPr>
              <w:rFonts w:hint="eastAsia" w:ascii="ˎ̥" w:hAnsi="ˎ̥"/>
              <w:bCs/>
              <w:sz w:val="28"/>
              <w:szCs w:val="56"/>
            </w:rPr>
            <w:instrText xml:space="preserve"> HYPERLINK \l _Toc2176 </w:instrText>
          </w:r>
          <w:r>
            <w:rPr>
              <w:rFonts w:hint="eastAsia" w:ascii="ˎ̥" w:hAnsi="ˎ̥"/>
              <w:bCs/>
              <w:sz w:val="28"/>
              <w:szCs w:val="56"/>
            </w:rPr>
            <w:fldChar w:fldCharType="separate"/>
          </w:r>
          <w:r>
            <w:rPr>
              <w:rFonts w:hint="eastAsia" w:ascii="仿宋_GB2312" w:hAnsi="仿宋_GB2312" w:eastAsia="仿宋_GB2312"/>
              <w:sz w:val="28"/>
              <w:szCs w:val="48"/>
            </w:rPr>
            <w:t>（四）绩效目标设置情况</w:t>
          </w:r>
          <w:r>
            <w:rPr>
              <w:sz w:val="28"/>
              <w:szCs w:val="28"/>
            </w:rPr>
            <w:tab/>
          </w:r>
          <w:r>
            <w:rPr>
              <w:rFonts w:hint="eastAsia"/>
              <w:sz w:val="28"/>
              <w:szCs w:val="28"/>
              <w:lang w:val="en-US" w:eastAsia="zh-CN"/>
            </w:rPr>
            <w:t>1</w:t>
          </w:r>
          <w:r>
            <w:rPr>
              <w:rFonts w:hint="eastAsia" w:ascii="ˎ̥" w:hAnsi="ˎ̥"/>
              <w:bCs/>
              <w:color w:val="000000"/>
              <w:sz w:val="28"/>
              <w:szCs w:val="56"/>
            </w:rPr>
            <w:fldChar w:fldCharType="end"/>
          </w:r>
          <w:r>
            <w:rPr>
              <w:rFonts w:hint="eastAsia" w:ascii="ˎ̥" w:hAnsi="ˎ̥"/>
              <w:bCs/>
              <w:color w:val="000000"/>
              <w:sz w:val="28"/>
              <w:szCs w:val="56"/>
              <w:lang w:val="en-US" w:eastAsia="zh-CN"/>
            </w:rPr>
            <w:t>3</w:t>
          </w:r>
        </w:p>
        <w:p>
          <w:pPr>
            <w:pStyle w:val="19"/>
            <w:tabs>
              <w:tab w:val="right" w:leader="dot" w:pos="8845"/>
            </w:tabs>
            <w:rPr>
              <w:rFonts w:hint="eastAsia" w:eastAsia="宋体"/>
              <w:b/>
              <w:sz w:val="28"/>
              <w:szCs w:val="28"/>
              <w:lang w:val="en-US" w:eastAsia="zh-CN"/>
            </w:rPr>
          </w:pPr>
          <w:r>
            <w:rPr>
              <w:rFonts w:hint="eastAsia" w:ascii="ˎ̥" w:hAnsi="ˎ̥"/>
              <w:b/>
              <w:bCs/>
              <w:color w:val="000000"/>
              <w:sz w:val="28"/>
              <w:szCs w:val="56"/>
            </w:rPr>
            <w:fldChar w:fldCharType="begin"/>
          </w:r>
          <w:r>
            <w:rPr>
              <w:rFonts w:hint="eastAsia" w:ascii="ˎ̥" w:hAnsi="ˎ̥"/>
              <w:b/>
              <w:bCs/>
              <w:sz w:val="28"/>
              <w:szCs w:val="56"/>
            </w:rPr>
            <w:instrText xml:space="preserve"> HYPERLINK \l _Toc6693 </w:instrText>
          </w:r>
          <w:r>
            <w:rPr>
              <w:rFonts w:hint="eastAsia" w:ascii="ˎ̥" w:hAnsi="ˎ̥"/>
              <w:b/>
              <w:bCs/>
              <w:sz w:val="28"/>
              <w:szCs w:val="56"/>
            </w:rPr>
            <w:fldChar w:fldCharType="separate"/>
          </w:r>
          <w:r>
            <w:rPr>
              <w:rFonts w:hint="eastAsia" w:ascii="仿宋_GB2312" w:hAnsi="仿宋_GB2312" w:eastAsia="仿宋_GB2312"/>
              <w:b/>
              <w:sz w:val="28"/>
              <w:szCs w:val="48"/>
            </w:rPr>
            <w:t>十</w:t>
          </w:r>
          <w:r>
            <w:rPr>
              <w:rFonts w:hint="eastAsia" w:ascii="仿宋_GB2312" w:hAnsi="仿宋_GB2312" w:eastAsia="仿宋_GB2312"/>
              <w:b/>
              <w:sz w:val="28"/>
              <w:szCs w:val="48"/>
              <w:lang w:eastAsia="zh-CN"/>
            </w:rPr>
            <w:t>一</w:t>
          </w:r>
          <w:r>
            <w:rPr>
              <w:rFonts w:hint="eastAsia" w:ascii="仿宋_GB2312" w:hAnsi="仿宋_GB2312" w:eastAsia="仿宋_GB2312"/>
              <w:b/>
              <w:sz w:val="28"/>
              <w:szCs w:val="48"/>
            </w:rPr>
            <w:t>、名词解释</w:t>
          </w:r>
          <w:r>
            <w:rPr>
              <w:b/>
              <w:sz w:val="28"/>
              <w:szCs w:val="28"/>
            </w:rPr>
            <w:tab/>
          </w:r>
          <w:r>
            <w:rPr>
              <w:rFonts w:hint="eastAsia"/>
              <w:b/>
              <w:sz w:val="28"/>
              <w:szCs w:val="28"/>
              <w:lang w:val="en-US" w:eastAsia="zh-CN"/>
            </w:rPr>
            <w:t>1</w:t>
          </w:r>
          <w:r>
            <w:rPr>
              <w:rFonts w:hint="eastAsia" w:ascii="ˎ̥" w:hAnsi="ˎ̥"/>
              <w:b/>
              <w:bCs/>
              <w:color w:val="000000"/>
              <w:sz w:val="28"/>
              <w:szCs w:val="56"/>
            </w:rPr>
            <w:fldChar w:fldCharType="end"/>
          </w:r>
          <w:r>
            <w:rPr>
              <w:rFonts w:hint="eastAsia" w:ascii="ˎ̥" w:hAnsi="ˎ̥"/>
              <w:b/>
              <w:bCs/>
              <w:color w:val="000000"/>
              <w:sz w:val="28"/>
              <w:szCs w:val="56"/>
              <w:lang w:val="en-US" w:eastAsia="zh-CN"/>
            </w:rPr>
            <w:t>3</w:t>
          </w:r>
        </w:p>
        <w:p>
          <w:pPr>
            <w:ind w:firstLine="964" w:firstLineChars="100"/>
            <w:jc w:val="center"/>
            <w:rPr>
              <w:rStyle w:val="12"/>
              <w:rFonts w:hint="eastAsia" w:ascii="ˎ̥" w:hAnsi="ˎ̥"/>
              <w:b/>
              <w:bCs/>
              <w:color w:val="000000"/>
              <w:sz w:val="41"/>
              <w:szCs w:val="41"/>
            </w:rPr>
          </w:pPr>
          <w:r>
            <w:rPr>
              <w:rFonts w:hint="eastAsia" w:ascii="ˎ̥" w:hAnsi="ˎ̥"/>
              <w:b/>
              <w:bCs/>
              <w:color w:val="000000"/>
              <w:sz w:val="96"/>
              <w:szCs w:val="56"/>
            </w:rPr>
            <w:fldChar w:fldCharType="end"/>
          </w:r>
        </w:p>
      </w:sdtContent>
    </w:sdt>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p>
    <w:p>
      <w:pPr>
        <w:ind w:firstLine="412" w:firstLineChars="100"/>
        <w:jc w:val="center"/>
        <w:rPr>
          <w:rStyle w:val="12"/>
          <w:rFonts w:hint="eastAsia" w:ascii="ˎ̥" w:hAnsi="ˎ̥"/>
          <w:b/>
          <w:bCs/>
          <w:color w:val="000000"/>
          <w:sz w:val="41"/>
          <w:szCs w:val="41"/>
        </w:rPr>
      </w:pPr>
    </w:p>
    <w:p>
      <w:pPr>
        <w:pStyle w:val="2"/>
        <w:rPr>
          <w:rStyle w:val="12"/>
          <w:rFonts w:hint="eastAsia" w:ascii="ˎ̥" w:hAnsi="ˎ̥"/>
          <w:b/>
          <w:bCs/>
          <w:color w:val="000000"/>
          <w:sz w:val="41"/>
          <w:szCs w:val="41"/>
        </w:rPr>
      </w:pPr>
    </w:p>
    <w:p>
      <w:pPr>
        <w:rPr>
          <w:rStyle w:val="12"/>
          <w:rFonts w:hint="eastAsia" w:ascii="ˎ̥" w:hAnsi="ˎ̥"/>
          <w:b/>
          <w:bCs/>
          <w:color w:val="000000"/>
          <w:sz w:val="41"/>
          <w:szCs w:val="41"/>
        </w:rPr>
      </w:pPr>
    </w:p>
    <w:p>
      <w:pPr>
        <w:pStyle w:val="2"/>
        <w:rPr>
          <w:rStyle w:val="12"/>
          <w:rFonts w:hint="eastAsia" w:ascii="ˎ̥" w:hAnsi="ˎ̥"/>
          <w:b/>
          <w:bCs/>
          <w:color w:val="000000"/>
          <w:sz w:val="41"/>
          <w:szCs w:val="41"/>
        </w:rPr>
      </w:pPr>
    </w:p>
    <w:p>
      <w:pPr>
        <w:rPr>
          <w:rStyle w:val="12"/>
          <w:rFonts w:hint="eastAsia" w:ascii="ˎ̥" w:hAnsi="ˎ̥"/>
          <w:b/>
          <w:bCs/>
          <w:color w:val="000000"/>
          <w:sz w:val="41"/>
          <w:szCs w:val="41"/>
        </w:rPr>
      </w:pPr>
    </w:p>
    <w:p>
      <w:pPr>
        <w:pStyle w:val="2"/>
        <w:rPr>
          <w:rStyle w:val="12"/>
          <w:rFonts w:hint="eastAsia" w:ascii="ˎ̥" w:hAnsi="ˎ̥"/>
          <w:b/>
          <w:bCs/>
          <w:color w:val="000000"/>
          <w:sz w:val="41"/>
          <w:szCs w:val="41"/>
        </w:rPr>
      </w:pPr>
    </w:p>
    <w:p>
      <w:pPr>
        <w:rPr>
          <w:rStyle w:val="12"/>
          <w:rFonts w:hint="eastAsia" w:ascii="ˎ̥" w:hAnsi="ˎ̥"/>
          <w:b/>
          <w:bCs/>
          <w:color w:val="000000"/>
          <w:sz w:val="41"/>
          <w:szCs w:val="41"/>
        </w:rPr>
      </w:pPr>
    </w:p>
    <w:p>
      <w:pPr>
        <w:pStyle w:val="2"/>
        <w:rPr>
          <w:rStyle w:val="12"/>
          <w:rFonts w:hint="eastAsia" w:ascii="ˎ̥" w:hAnsi="ˎ̥"/>
          <w:b/>
          <w:bCs/>
          <w:color w:val="000000"/>
          <w:sz w:val="41"/>
          <w:szCs w:val="41"/>
        </w:rPr>
      </w:pPr>
    </w:p>
    <w:p>
      <w:pPr>
        <w:rPr>
          <w:rStyle w:val="12"/>
          <w:rFonts w:hint="eastAsia" w:ascii="ˎ̥" w:hAnsi="ˎ̥"/>
          <w:b/>
          <w:bCs/>
          <w:color w:val="000000"/>
          <w:sz w:val="41"/>
          <w:szCs w:val="41"/>
        </w:rPr>
      </w:pPr>
    </w:p>
    <w:p>
      <w:pPr>
        <w:pStyle w:val="2"/>
        <w:rPr>
          <w:rStyle w:val="12"/>
          <w:rFonts w:hint="eastAsia" w:ascii="ˎ̥" w:hAnsi="ˎ̥"/>
          <w:b/>
          <w:bCs/>
          <w:color w:val="000000"/>
          <w:sz w:val="41"/>
          <w:szCs w:val="41"/>
        </w:rPr>
      </w:pPr>
    </w:p>
    <w:p>
      <w:pPr>
        <w:rPr>
          <w:rStyle w:val="12"/>
          <w:rFonts w:hint="eastAsia" w:ascii="ˎ̥" w:hAnsi="ˎ̥"/>
          <w:b/>
          <w:bCs/>
          <w:color w:val="000000"/>
          <w:sz w:val="41"/>
          <w:szCs w:val="41"/>
        </w:rPr>
      </w:pPr>
    </w:p>
    <w:p>
      <w:pPr>
        <w:pStyle w:val="2"/>
        <w:rPr>
          <w:rStyle w:val="12"/>
          <w:rFonts w:hint="eastAsia" w:ascii="ˎ̥" w:hAnsi="ˎ̥"/>
          <w:b/>
          <w:bCs/>
          <w:color w:val="000000"/>
          <w:sz w:val="41"/>
          <w:szCs w:val="41"/>
        </w:rPr>
      </w:pPr>
    </w:p>
    <w:p>
      <w:pPr>
        <w:rPr>
          <w:rStyle w:val="12"/>
          <w:rFonts w:hint="eastAsia" w:ascii="ˎ̥" w:hAnsi="ˎ̥"/>
          <w:b/>
          <w:bCs/>
          <w:color w:val="000000"/>
          <w:sz w:val="41"/>
          <w:szCs w:val="41"/>
        </w:rPr>
      </w:pPr>
    </w:p>
    <w:p>
      <w:pPr>
        <w:pStyle w:val="2"/>
        <w:rPr>
          <w:rStyle w:val="12"/>
          <w:rFonts w:hint="eastAsia" w:ascii="ˎ̥" w:hAnsi="ˎ̥"/>
          <w:b/>
          <w:bCs/>
          <w:color w:val="000000"/>
          <w:sz w:val="41"/>
          <w:szCs w:val="41"/>
        </w:rPr>
      </w:pPr>
    </w:p>
    <w:p>
      <w:pPr>
        <w:rPr>
          <w:rStyle w:val="12"/>
          <w:rFonts w:hint="eastAsia" w:ascii="ˎ̥" w:hAnsi="ˎ̥"/>
          <w:b/>
          <w:bCs/>
          <w:color w:val="000000"/>
          <w:sz w:val="41"/>
          <w:szCs w:val="41"/>
        </w:rPr>
      </w:pPr>
    </w:p>
    <w:p>
      <w:pPr>
        <w:pStyle w:val="2"/>
        <w:rPr>
          <w:rFonts w:hint="eastAsia"/>
        </w:rPr>
      </w:pP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黑体" w:hAnsi="黑体" w:eastAsia="黑体" w:cs="黑体"/>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一、基本职能及主要工作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textAlignment w:val="auto"/>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财政局</w:t>
      </w:r>
      <w:r>
        <w:rPr>
          <w:rFonts w:hint="eastAsia" w:ascii="楷体" w:hAnsi="楷体" w:eastAsia="楷体" w:cs="楷体"/>
          <w:sz w:val="32"/>
          <w:szCs w:val="32"/>
        </w:rPr>
        <w:t>机构设置及主要职责。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eastAsia="仿宋_GB2312" w:cs="仿宋_GB2312"/>
          <w:kern w:val="2"/>
          <w:sz w:val="32"/>
          <w:szCs w:val="32"/>
          <w:lang w:val="en-US" w:eastAsia="zh-CN" w:bidi="ar-SA"/>
        </w:rPr>
        <w:t>1.</w:t>
      </w:r>
      <w:r>
        <w:rPr>
          <w:rFonts w:hint="eastAsia" w:ascii="Times New Roman" w:hAnsi="Times New Roman" w:eastAsia="仿宋_GB2312" w:cs="仿宋_GB2312"/>
          <w:kern w:val="2"/>
          <w:sz w:val="32"/>
          <w:szCs w:val="32"/>
          <w:lang w:val="en-US" w:eastAsia="zh-CN" w:bidi="ar-SA"/>
        </w:rPr>
        <w:t>办公室（人事财务管理股）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98" w:firstLineChars="187"/>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负责文电、会务、档案、机要、安全、接待等机关日常运转工作。承担保密、信息、新闻宣传、交办督办、机关绩效管理、政务公开和信访工作。承担机关财务、政府采购、国有资产管理等工作。组织办理人大代表建议、政协委员提案。承担有关综合性文稿起草和史志编纂工作。负责机关和直属单位的机构编制、干部人事、离退休人员管理服务工作等工作。负责机关和直属单位人才队伍建设和教育培训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eastAsia="仿宋_GB2312" w:cs="仿宋_GB2312"/>
          <w:kern w:val="2"/>
          <w:sz w:val="32"/>
          <w:szCs w:val="32"/>
          <w:lang w:val="en-US" w:eastAsia="zh-CN" w:bidi="ar-SA"/>
        </w:rPr>
        <w:t>2.</w:t>
      </w:r>
      <w:r>
        <w:rPr>
          <w:rFonts w:hint="eastAsia" w:ascii="Times New Roman" w:hAnsi="Times New Roman" w:eastAsia="仿宋_GB2312" w:cs="仿宋_GB2312"/>
          <w:kern w:val="2"/>
          <w:sz w:val="32"/>
          <w:szCs w:val="32"/>
          <w:lang w:val="en-US" w:eastAsia="zh-CN" w:bidi="ar-SA"/>
        </w:rPr>
        <w:t>综合股（政府采购监督管理股）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98" w:firstLineChars="187"/>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分析预测宏观经济形势并提出宏观调控政策建议，提出中长期财政规划建议。组织拟定政府购买服务制度。提出收入分配政策建议和改革方案。管理住房改革和保障资金。贯彻落实土地、矿产等国有资源出让收支政策。承担彩票管理有关工作。管理财政票据。制定区级政府采购管理制度；负责评审专家信息库区级终端管理；组织区级政府采购实施计划备案，审核政府采购资金支出计划；核准政府采购方式变更、进口产品购置；监督管理区级政府采购活动；负责政府采购信息化建设；负责政府采购供应商投诉处理。组织制定和执行政府非税收入管理制度和政策，承担政府性基金、行政事业性收费、罚没收入管理等相关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eastAsia="仿宋_GB2312" w:cs="仿宋_GB2312"/>
          <w:kern w:val="2"/>
          <w:sz w:val="32"/>
          <w:szCs w:val="32"/>
          <w:lang w:val="en-US" w:eastAsia="zh-CN" w:bidi="ar-SA"/>
        </w:rPr>
        <w:t>3.</w:t>
      </w:r>
      <w:r>
        <w:rPr>
          <w:rFonts w:hint="eastAsia" w:ascii="Times New Roman" w:hAnsi="Times New Roman" w:eastAsia="仿宋_GB2312" w:cs="仿宋_GB2312"/>
          <w:kern w:val="2"/>
          <w:sz w:val="32"/>
          <w:szCs w:val="32"/>
          <w:lang w:val="en-US" w:eastAsia="zh-CN" w:bidi="ar-SA"/>
        </w:rPr>
        <w:t>财监法规会计股（行政审批和信息管理股）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98" w:firstLineChars="187"/>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承担有关规范性文件的合法性审查工作。承担重大行政处罚听证、行政复议工作。组织行政应诉工作。负责制定财政执法责任制度并组织监督检查。组织财政普法工作。负责国家赔偿费用管理工作。管理全区会计工作，贯彻实施国家统一的会计法律、法规和会计制度，提出全区会计改革的政策建议。指导会计人才队伍建设有关工作。按规定承担会计专业技术资格管理工作。指导和监督代理记账机构工作。负责法律、法规授权区财政局范围内的行政审批和公共服务事项。负责局机关局域网及区本级城域网、财政业务应用计算机系统、局机关办公自动化系统的建设、维护、管理及网络系统的安全保密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eastAsia="仿宋_GB2312" w:cs="仿宋_GB2312"/>
          <w:kern w:val="2"/>
          <w:sz w:val="32"/>
          <w:szCs w:val="32"/>
          <w:lang w:val="en-US" w:eastAsia="zh-CN" w:bidi="ar-SA"/>
        </w:rPr>
        <w:t>4.</w:t>
      </w:r>
      <w:r>
        <w:rPr>
          <w:rFonts w:hint="eastAsia" w:ascii="Times New Roman" w:hAnsi="Times New Roman" w:eastAsia="仿宋_GB2312" w:cs="仿宋_GB2312"/>
          <w:kern w:val="2"/>
          <w:sz w:val="32"/>
          <w:szCs w:val="32"/>
          <w:lang w:val="en-US" w:eastAsia="zh-CN" w:bidi="ar-SA"/>
        </w:rPr>
        <w:t>预算税政股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提出财政政策、财政体制、预算管理制度的建议，组织编制中期财政规划。编制年度区级预决算草案和预算调整方案，组织区级一般公共预算、政府性基金预算、国有资本经营预算、社会保险基金预算的编制、审核等工作。组织区级部门支出标准体系建设及项目库管理工作。承担区对各镇、区级各部门的转移支付工作，汇总年度全区财政预算。承担清理规范公务员津贴补贴有关工作。按照管理权限管理全区税政事项。参与国家重大税收政策研究并提出调整建议。负责提出地方税种增减、税目税率调整、减免税等建议和税收政策调整建议。开展税源调查分析、税收支出管理、监督检查税收政策的贯彻执行、跨年度政策性退税和差错性退税等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eastAsia="仿宋_GB2312" w:cs="仿宋_GB2312"/>
          <w:kern w:val="2"/>
          <w:sz w:val="32"/>
          <w:szCs w:val="32"/>
          <w:lang w:val="en-US" w:eastAsia="zh-CN" w:bidi="ar-SA"/>
        </w:rPr>
        <w:t>5.</w:t>
      </w:r>
      <w:r>
        <w:rPr>
          <w:rFonts w:hint="eastAsia" w:ascii="Times New Roman" w:hAnsi="Times New Roman" w:eastAsia="仿宋_GB2312" w:cs="仿宋_GB2312"/>
          <w:kern w:val="2"/>
          <w:sz w:val="32"/>
          <w:szCs w:val="32"/>
          <w:lang w:val="en-US" w:eastAsia="zh-CN" w:bidi="ar-SA"/>
        </w:rPr>
        <w:t>债务金融股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拟订全区政府债务管理制度。承担政府债务规模控制、限额管理、预算管理、债券管理、风险防控、统计分析、考核评价、信息公开和加强政府隐性债务监管等工作。承担地方债券转贷、兑付等管理工作。承担政府外债和外国政府贷（赠）款有关管理工作。承担财政政策与金融监管、金融体制改革协调配合相关工作。负责制定财政金融互动政策。承担区级国有金融资本出资人管理职责，依法依规行使国有金融资本管理职能。拟订全区金融业发展规划和政策措施并组织实施。研究分析全区金融形势和金融运行情况。协调全区资本市场和直接融资、企业上市改制、上市培育和上市服务工作，指导上市公司规范运作、并购重组。负责监管范围内的地方法人金融机构的业务指导和全区保险、证券等非银行业机构的协调和指导。负责地方法人金融机构、融资担保公司、小额贷款公司的管理和服务。牵头会同有关部门防范、化解和处置地方金融风险。牵头统筹处置非法集资，协调配合有关部门打击其他非法金融活动，推进全区地方金融风险监测预警与应急处置机制建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eastAsia="仿宋_GB2312" w:cs="仿宋_GB2312"/>
          <w:kern w:val="2"/>
          <w:sz w:val="32"/>
          <w:szCs w:val="32"/>
          <w:lang w:val="en-US" w:eastAsia="zh-CN" w:bidi="ar-SA"/>
        </w:rPr>
        <w:t>6.</w:t>
      </w:r>
      <w:r>
        <w:rPr>
          <w:rFonts w:hint="eastAsia" w:ascii="Times New Roman" w:hAnsi="Times New Roman" w:eastAsia="仿宋_GB2312" w:cs="仿宋_GB2312"/>
          <w:kern w:val="2"/>
          <w:sz w:val="32"/>
          <w:szCs w:val="32"/>
          <w:lang w:val="en-US" w:eastAsia="zh-CN" w:bidi="ar-SA"/>
        </w:rPr>
        <w:t>绩效评价股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负责实施全面预算绩效管理。牵头建立预算绩效管理制度，建立预算绩效管理标准体系。组织开展事前绩效评估、事中绩效监控、事后绩效评价工作，督促开展绩效目标管理和评价结果应用工作。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eastAsia="仿宋_GB2312" w:cs="仿宋_GB2312"/>
          <w:kern w:val="2"/>
          <w:sz w:val="32"/>
          <w:szCs w:val="32"/>
          <w:lang w:val="en-US" w:eastAsia="zh-CN" w:bidi="ar-SA"/>
        </w:rPr>
        <w:t>7.</w:t>
      </w:r>
      <w:r>
        <w:rPr>
          <w:rFonts w:hint="eastAsia" w:ascii="Times New Roman" w:hAnsi="Times New Roman" w:eastAsia="仿宋_GB2312" w:cs="仿宋_GB2312"/>
          <w:kern w:val="2"/>
          <w:sz w:val="32"/>
          <w:szCs w:val="32"/>
          <w:lang w:val="en-US" w:eastAsia="zh-CN" w:bidi="ar-SA"/>
        </w:rPr>
        <w:t>国库股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组织预算执行、监控及分析预测。组织实施总预算会计制度。组织拟订全区国库管理制度和国库集中收付制度。组织实施政府非税收入国库集中收缴。管理财政和预算单位账户、财政决算及总会计核算。拟定政府财务报告编制制度并组织实施。承担国库现金管理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eastAsia="仿宋_GB2312" w:cs="仿宋_GB2312"/>
          <w:kern w:val="2"/>
          <w:sz w:val="32"/>
          <w:szCs w:val="32"/>
          <w:lang w:val="en-US" w:eastAsia="zh-CN" w:bidi="ar-SA"/>
        </w:rPr>
        <w:t>8.</w:t>
      </w:r>
      <w:r>
        <w:rPr>
          <w:rFonts w:hint="eastAsia" w:ascii="Times New Roman" w:hAnsi="Times New Roman" w:eastAsia="仿宋_GB2312" w:cs="仿宋_GB2312"/>
          <w:kern w:val="2"/>
          <w:sz w:val="32"/>
          <w:szCs w:val="32"/>
          <w:lang w:val="en-US" w:eastAsia="zh-CN" w:bidi="ar-SA"/>
        </w:rPr>
        <w:t>资产管理和经建股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加强国有资产管理，拟订行政事业单位及企业国有资产管理制度并组织实施。组织实施企业财务制度及企业财务会计报告编制办法。落实国有资产管理情况报告工作。承担工业、交通、能源、商贸、应急、涉外交流、经贸合作等方面的部门预算和相关领域预算支出有关工作，提出相关财政政策建议。组织实施国有金融资产产权管理、国有资本经营预算管理、财务监督管理、薪酬管理等工作。根据区政府授权，依照有关法律、法规对授权监管企业履行出资人职责。指导推进国有企业改革和重组。提出国有资本经营预算建议草案并监督预算的执行，监缴及管理国有资本经营收益。对所监管企业国有资产的保值增值进行监督，建立相关指标体系，拟定考核标准。承担国有资产统计分析工作。对企业经营业绩进行考核、奖惩，完善激励和约束制度，监督工资分配管理工作，制定企业负责人收入分配政策并组织实施。负责企业国有资产产权的界定、登记和转让等处置事项。负责企业国有资产评估项目的立项审核，对资产评估报告进行合规性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eastAsia="仿宋_GB2312" w:cs="仿宋_GB2312"/>
          <w:kern w:val="2"/>
          <w:sz w:val="32"/>
          <w:szCs w:val="32"/>
          <w:lang w:val="en-US" w:eastAsia="zh-CN" w:bidi="ar-SA"/>
        </w:rPr>
        <w:t>9.</w:t>
      </w:r>
      <w:r>
        <w:rPr>
          <w:rFonts w:hint="eastAsia" w:ascii="Times New Roman" w:hAnsi="Times New Roman" w:eastAsia="仿宋_GB2312" w:cs="仿宋_GB2312"/>
          <w:kern w:val="2"/>
          <w:sz w:val="32"/>
          <w:szCs w:val="32"/>
          <w:lang w:val="en-US" w:eastAsia="zh-CN" w:bidi="ar-SA"/>
        </w:rPr>
        <w:t>行政政法和教科文股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承担行政、政法、宣传、文化和旅游、科技、教育、体育等方面的部门预算和相关领域预算支出有关工作，提出相关财政政策建议。拟订行政性经费、事业单位通用的财务管理制度，提出开支标准和定额。承担财政局外事管理工作。承办涉及港澳的合作与交流事务。负责财政预算内行政事业单位和社会团体的非贸易外汇。承担区政府交办的对外财经交流的具体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eastAsia="仿宋_GB2312" w:cs="仿宋_GB2312"/>
          <w:kern w:val="2"/>
          <w:sz w:val="32"/>
          <w:szCs w:val="32"/>
          <w:lang w:val="en-US" w:eastAsia="zh-CN" w:bidi="ar-SA"/>
        </w:rPr>
        <w:t>10.</w:t>
      </w:r>
      <w:r>
        <w:rPr>
          <w:rFonts w:hint="eastAsia" w:ascii="Times New Roman" w:hAnsi="Times New Roman" w:eastAsia="仿宋_GB2312" w:cs="仿宋_GB2312"/>
          <w:kern w:val="2"/>
          <w:sz w:val="32"/>
          <w:szCs w:val="32"/>
          <w:lang w:val="en-US" w:eastAsia="zh-CN" w:bidi="ar-SA"/>
        </w:rPr>
        <w:t>社会保障股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承担人力资源和社会保障、民政、卫生健康、退役军人事务、医疗保障等方面的部门预算和相关领域预算支出有关工作，提出相关财政政策建议。会同有关部门拟订有关资金（基金）财务管理制度。审核并汇总编制全区社会保险基金预决算草案，承担社会保险基金财政监管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eastAsia="仿宋_GB2312" w:cs="仿宋_GB2312"/>
          <w:kern w:val="2"/>
          <w:sz w:val="32"/>
          <w:szCs w:val="32"/>
          <w:lang w:val="en-US" w:eastAsia="zh-CN" w:bidi="ar-SA"/>
        </w:rPr>
        <w:t>11.</w:t>
      </w:r>
      <w:r>
        <w:rPr>
          <w:rFonts w:hint="eastAsia" w:ascii="Times New Roman" w:hAnsi="Times New Roman" w:eastAsia="仿宋_GB2312" w:cs="仿宋_GB2312"/>
          <w:kern w:val="2"/>
          <w:sz w:val="32"/>
          <w:szCs w:val="32"/>
          <w:lang w:val="en-US" w:eastAsia="zh-CN" w:bidi="ar-SA"/>
        </w:rPr>
        <w:t>投资管理股（自然资源和生态环境股）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承担粮食和物资储备、建设、自然资源、生态环境、林业草原等方面的部门预算和相关领域预算支出有关工作，提出相关财政政策建议。办理基建投资财政拨款和决算批复，拟订基建财务管理制度。承担有关政策性补贴和专项储备财政管理工作。参与拟订基本建设、自然资源和生态环境等领域的发展规划、政策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eastAsia="仿宋_GB2312" w:cs="仿宋_GB2312"/>
          <w:kern w:val="2"/>
          <w:sz w:val="32"/>
          <w:szCs w:val="32"/>
          <w:lang w:val="en-US" w:eastAsia="zh-CN" w:bidi="ar-SA"/>
        </w:rPr>
        <w:t>12.</w:t>
      </w:r>
      <w:r>
        <w:rPr>
          <w:rFonts w:hint="eastAsia" w:ascii="Times New Roman" w:hAnsi="Times New Roman" w:eastAsia="仿宋_GB2312" w:cs="仿宋_GB2312"/>
          <w:kern w:val="2"/>
          <w:sz w:val="32"/>
          <w:szCs w:val="32"/>
          <w:lang w:val="en-US" w:eastAsia="zh-CN" w:bidi="ar-SA"/>
        </w:rPr>
        <w:t>农业农村股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sz w:val="32"/>
          <w:szCs w:val="32"/>
          <w:lang w:eastAsia="zh-CN"/>
        </w:rPr>
      </w:pPr>
      <w:r>
        <w:rPr>
          <w:rFonts w:hint="eastAsia" w:ascii="Times New Roman" w:hAnsi="Times New Roman" w:eastAsia="仿宋_GB2312" w:cs="仿宋_GB2312"/>
          <w:kern w:val="2"/>
          <w:sz w:val="32"/>
          <w:szCs w:val="32"/>
          <w:lang w:val="en-US" w:eastAsia="zh-CN" w:bidi="ar-SA"/>
        </w:rPr>
        <w:t>承担农业农村、水利、气象、扶贫等方面的部门预算和相关领域预算支出有关工作，提出相关财政政策建议。承担财政支持实施乡村振兴战略相关工作，统筹安排财政扶贫资金。提出有关农村综合改革政策措施建议。</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财政局</w:t>
      </w:r>
      <w:r>
        <w:rPr>
          <w:rFonts w:hint="eastAsia" w:ascii="楷体" w:hAnsi="楷体" w:eastAsia="楷体" w:cs="楷体"/>
          <w:b w:val="0"/>
          <w:bCs w:val="0"/>
          <w:color w:val="auto"/>
          <w:sz w:val="32"/>
          <w:szCs w:val="32"/>
        </w:rPr>
        <w:t>20</w:t>
      </w:r>
      <w:r>
        <w:rPr>
          <w:rFonts w:hint="eastAsia" w:ascii="楷体" w:hAnsi="楷体" w:eastAsia="楷体" w:cs="楷体"/>
          <w:b w:val="0"/>
          <w:bCs w:val="0"/>
          <w:color w:val="auto"/>
          <w:sz w:val="32"/>
          <w:szCs w:val="32"/>
          <w:lang w:val="en-US" w:eastAsia="zh-CN"/>
        </w:rPr>
        <w:t>24</w:t>
      </w:r>
      <w:r>
        <w:rPr>
          <w:rFonts w:hint="eastAsia" w:ascii="楷体" w:hAnsi="楷体" w:eastAsia="楷体" w:cs="楷体"/>
          <w:b w:val="0"/>
          <w:bCs w:val="0"/>
          <w:color w:val="auto"/>
          <w:sz w:val="32"/>
          <w:szCs w:val="32"/>
        </w:rPr>
        <w:t>年重点工作。</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rPr>
          <w:rFonts w:hint="eastAsia" w:ascii="Times New Roman" w:hAnsi="Times New Roman" w:eastAsia="仿宋_GB2312" w:cs="仿宋_GB2312"/>
          <w:sz w:val="32"/>
          <w:szCs w:val="32"/>
          <w:lang w:val="en-US" w:eastAsia="zh-CN"/>
        </w:rPr>
      </w:pPr>
      <w:r>
        <w:rPr>
          <w:rFonts w:hint="eastAsia" w:ascii="Times New Roman" w:eastAsia="楷体_GB2312" w:cs="楷体_GB2312"/>
          <w:b w:val="0"/>
          <w:bCs w:val="0"/>
          <w:sz w:val="32"/>
          <w:szCs w:val="32"/>
          <w:lang w:val="en-US" w:eastAsia="zh-CN"/>
        </w:rPr>
        <w:t>1.</w:t>
      </w:r>
      <w:r>
        <w:rPr>
          <w:rFonts w:hint="eastAsia" w:ascii="Times New Roman" w:hAnsi="Times New Roman" w:eastAsia="楷体_GB2312" w:cs="楷体_GB2312"/>
          <w:b w:val="0"/>
          <w:bCs w:val="0"/>
          <w:sz w:val="32"/>
          <w:szCs w:val="32"/>
          <w:lang w:val="en-US" w:eastAsia="zh-CN"/>
        </w:rPr>
        <w:t>加强财政收支管理。</w:t>
      </w:r>
      <w:r>
        <w:rPr>
          <w:rFonts w:hint="eastAsia" w:ascii="Times New Roman" w:hAnsi="Times New Roman" w:eastAsia="仿宋_GB2312" w:cs="仿宋_GB2312"/>
          <w:sz w:val="32"/>
          <w:szCs w:val="32"/>
          <w:lang w:val="en-US" w:eastAsia="zh-CN"/>
        </w:rPr>
        <w:t>围绕年初收入预期目标，依法依规组织财政收入，做到应征尽征、应收尽收。同时，加大向上争资争项力度，多渠道增加财政可用财力。持续优化支出结构，落实过紧日子要求，压减一般性支出，严控预算追加，腾出更多财力保障重点领域需求。积极推进预算支出标准体系建设，完善基本支出和项目支出标准，健全基本公共服务保障机制和标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eastAsia="楷体_GB2312" w:cs="楷体_GB2312"/>
          <w:b w:val="0"/>
          <w:bCs w:val="0"/>
          <w:sz w:val="32"/>
          <w:szCs w:val="32"/>
          <w:lang w:val="en-US" w:eastAsia="zh-CN"/>
        </w:rPr>
        <w:t>2.</w:t>
      </w:r>
      <w:r>
        <w:rPr>
          <w:rFonts w:hint="eastAsia" w:ascii="Times New Roman" w:hAnsi="Times New Roman" w:eastAsia="楷体_GB2312" w:cs="楷体_GB2312"/>
          <w:b w:val="0"/>
          <w:bCs w:val="0"/>
          <w:sz w:val="32"/>
          <w:szCs w:val="32"/>
          <w:lang w:val="en-US" w:eastAsia="zh-CN"/>
        </w:rPr>
        <w:t>全面落实积极财政政策。</w:t>
      </w:r>
      <w:r>
        <w:rPr>
          <w:rFonts w:hint="eastAsia" w:ascii="Times New Roman" w:hAnsi="Times New Roman" w:eastAsia="仿宋_GB2312" w:cs="仿宋_GB2312"/>
          <w:sz w:val="32"/>
          <w:szCs w:val="32"/>
          <w:lang w:val="en-US" w:eastAsia="zh-CN"/>
        </w:rPr>
        <w:t>严格执行已出台的各项减税降费政策，持续释放政策红利，增强企业获得感。认真落实国家稳经济一揽子政策和接续政策措施，用足用活金融工具和政府性融资担保、财政贴息等政策，引导撬动金融资源和社会资本支持我区产业发展。健全专项债项目常态化储备机制，积极争取新增政府债务限额，加快资金使用，强化资金管理，充分发挥专项债稳增长、扩内需、补短板的积极作用。</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eastAsia="楷体_GB2312" w:cs="楷体_GB2312"/>
          <w:b w:val="0"/>
          <w:bCs w:val="0"/>
          <w:sz w:val="32"/>
          <w:szCs w:val="32"/>
          <w:lang w:val="en-US" w:eastAsia="zh-CN"/>
        </w:rPr>
        <w:t>3.</w:t>
      </w:r>
      <w:r>
        <w:rPr>
          <w:rFonts w:hint="eastAsia" w:ascii="Times New Roman" w:hAnsi="Times New Roman" w:eastAsia="楷体_GB2312" w:cs="楷体_GB2312"/>
          <w:b w:val="0"/>
          <w:bCs w:val="0"/>
          <w:sz w:val="32"/>
          <w:szCs w:val="32"/>
          <w:lang w:val="en-US" w:eastAsia="zh-CN"/>
        </w:rPr>
        <w:t>防范化解财政运行风险。</w:t>
      </w:r>
      <w:r>
        <w:rPr>
          <w:rFonts w:hint="eastAsia" w:ascii="Times New Roman" w:hAnsi="Times New Roman" w:eastAsia="仿宋_GB2312" w:cs="仿宋_GB2312"/>
          <w:sz w:val="32"/>
          <w:szCs w:val="32"/>
          <w:lang w:val="en-US" w:eastAsia="zh-CN"/>
        </w:rPr>
        <w:t>深入落实地方政府债务限额管理和预算管理要求，紧盯年度化债目标，积极筹集化债资金，牢牢守住债务风险底线。加大对国有企业运营风险监督力度，关注国企运行、项目营收、融资结构等情况，推动国有企业国有资本做大做强。落实财政“三保”责任，切实兜牢“三保”底线。健全财会监督体系，持续加强对政府债务、财政资金、“三保”等方面监控。坚持库款运行动态监控，保持合理库款规模，确保资金均衡调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仿宋_GB2312"/>
          <w:b w:val="0"/>
          <w:bCs w:val="0"/>
          <w:kern w:val="2"/>
          <w:sz w:val="32"/>
          <w:szCs w:val="32"/>
          <w:highlight w:val="none"/>
          <w:lang w:val="en-US" w:eastAsia="zh-CN" w:bidi="ar-SA"/>
        </w:rPr>
      </w:pPr>
      <w:r>
        <w:rPr>
          <w:rFonts w:hint="eastAsia" w:ascii="Times New Roman" w:eastAsia="楷体_GB2312" w:cs="楷体_GB2312"/>
          <w:b w:val="0"/>
          <w:bCs w:val="0"/>
          <w:sz w:val="32"/>
          <w:szCs w:val="32"/>
          <w:lang w:val="en-US" w:eastAsia="zh-CN"/>
        </w:rPr>
        <w:t>4.</w:t>
      </w:r>
      <w:r>
        <w:rPr>
          <w:rFonts w:hint="eastAsia" w:ascii="Times New Roman" w:hAnsi="Times New Roman" w:eastAsia="楷体_GB2312" w:cs="楷体_GB2312"/>
          <w:b w:val="0"/>
          <w:bCs w:val="0"/>
          <w:sz w:val="32"/>
          <w:szCs w:val="32"/>
          <w:lang w:val="en-US" w:eastAsia="zh-CN"/>
        </w:rPr>
        <w:t>不断深化财政管理改革。</w:t>
      </w:r>
      <w:r>
        <w:rPr>
          <w:rFonts w:hint="eastAsia" w:ascii="Times New Roman" w:hAnsi="Times New Roman" w:eastAsia="仿宋_GB2312" w:cs="仿宋_GB2312"/>
          <w:sz w:val="32"/>
          <w:szCs w:val="32"/>
          <w:lang w:val="en-US" w:eastAsia="zh-CN"/>
        </w:rPr>
        <w:t>继续推进预算管理一体化建设，进一步提高预算管理信息化水平。全面实施预算绩效管理，健全重大政策和重点项目全过程跟踪问效机制，推动绩效管理提质增效。深化国资国企改革，</w:t>
      </w:r>
      <w:r>
        <w:rPr>
          <w:rFonts w:hint="eastAsia" w:ascii="Times New Roman" w:hAnsi="Times New Roman" w:eastAsia="仿宋_GB2312" w:cs="仿宋_GB2312"/>
          <w:b w:val="0"/>
          <w:bCs w:val="0"/>
          <w:kern w:val="2"/>
          <w:sz w:val="32"/>
          <w:szCs w:val="32"/>
          <w:highlight w:val="none"/>
          <w:lang w:val="en-US" w:eastAsia="zh-CN" w:bidi="ar-SA"/>
        </w:rPr>
        <w:t>积极引导民营经济参与国资国企混合所有制改革，支持优势民营企业跨地区、跨行业、跨所有制兼并联合。优化国资国企产业布局，集中国有资源做强罗江特色龙头产业，以德阳市“一县一园区、一区一主业”产业布局为指导，引导国有资本进一步向重要行业和关键领域集中。</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rPr>
          <w:rFonts w:hint="eastAsia" w:ascii="Times New Roman" w:hAnsi="Times New Roman" w:eastAsia="仿宋_GB2312" w:cs="仿宋_GB2312"/>
          <w:sz w:val="32"/>
          <w:szCs w:val="32"/>
          <w:lang w:val="en-US" w:eastAsia="zh-CN"/>
        </w:rPr>
      </w:pPr>
      <w:r>
        <w:rPr>
          <w:rFonts w:hint="eastAsia" w:ascii="Times New Roman" w:eastAsia="楷体_GB2312" w:cs="楷体_GB2312"/>
          <w:b w:val="0"/>
          <w:bCs w:val="0"/>
          <w:sz w:val="32"/>
          <w:szCs w:val="32"/>
          <w:lang w:val="en-US" w:eastAsia="zh-CN"/>
        </w:rPr>
        <w:t>5.</w:t>
      </w:r>
      <w:r>
        <w:rPr>
          <w:rFonts w:hint="eastAsia" w:ascii="Times New Roman" w:hAnsi="Times New Roman" w:eastAsia="楷体_GB2312" w:cs="楷体_GB2312"/>
          <w:b w:val="0"/>
          <w:bCs w:val="0"/>
          <w:sz w:val="32"/>
          <w:szCs w:val="32"/>
          <w:lang w:val="en-US" w:eastAsia="zh-CN"/>
        </w:rPr>
        <w:t>打造忠诚干净担当的财政队伍。</w:t>
      </w:r>
      <w:r>
        <w:rPr>
          <w:rFonts w:hint="eastAsia" w:ascii="Times New Roman" w:hAnsi="Times New Roman" w:eastAsia="仿宋_GB2312" w:cs="仿宋_GB2312"/>
          <w:b w:val="0"/>
          <w:bCs w:val="0"/>
          <w:sz w:val="32"/>
          <w:szCs w:val="32"/>
          <w:lang w:val="en-US" w:eastAsia="zh-CN"/>
        </w:rPr>
        <w:t>着</w:t>
      </w:r>
      <w:r>
        <w:rPr>
          <w:rFonts w:hint="eastAsia" w:ascii="Times New Roman" w:hAnsi="Times New Roman" w:eastAsia="仿宋_GB2312" w:cs="仿宋_GB2312"/>
          <w:sz w:val="32"/>
          <w:szCs w:val="32"/>
          <w:lang w:val="en-US" w:eastAsia="zh-CN"/>
        </w:rPr>
        <w:t>力推动党建工作质量提升，抓好支部建设，认真落实“三会一课”、主题党日等组织生活制度建设，进一步增强党组织的凝聚力和战斗力。落实全面从严治党主体责任和“一岗双责”，切实加强干部教育管理监督，增强廉政风险防控意识。强化干部能力素质建设，加强教育培训，不断增强适应新时代财政工作发展要求的能力。</w:t>
      </w:r>
    </w:p>
    <w:p>
      <w:pPr>
        <w:keepNext w:val="0"/>
        <w:keepLines w:val="0"/>
        <w:pageBreakBefore w:val="0"/>
        <w:kinsoku/>
        <w:wordWrap/>
        <w:overflowPunct/>
        <w:topLinePunct w:val="0"/>
        <w:autoSpaceDE/>
        <w:autoSpaceDN/>
        <w:bidi w:val="0"/>
        <w:spacing w:beforeAutospacing="0" w:afterAutospacing="0" w:line="560" w:lineRule="exact"/>
        <w:ind w:firstLine="645"/>
        <w:textAlignment w:val="auto"/>
        <w:rPr>
          <w:rFonts w:hint="eastAsia" w:ascii="黑体" w:hAnsi="黑体" w:eastAsia="黑体" w:cs="黑体"/>
          <w:sz w:val="32"/>
          <w:szCs w:val="32"/>
        </w:rPr>
      </w:pPr>
      <w:r>
        <w:rPr>
          <w:rFonts w:hint="eastAsia" w:ascii="黑体" w:hAnsi="黑体" w:eastAsia="黑体" w:cs="黑体"/>
          <w:sz w:val="32"/>
          <w:szCs w:val="32"/>
        </w:rPr>
        <w:t>二、部门预算单位构成</w:t>
      </w:r>
    </w:p>
    <w:p>
      <w:pPr>
        <w:keepNext w:val="0"/>
        <w:keepLines w:val="0"/>
        <w:pageBreakBefore w:val="0"/>
        <w:kinsoku/>
        <w:wordWrap/>
        <w:overflowPunct/>
        <w:topLinePunct w:val="0"/>
        <w:autoSpaceDE/>
        <w:autoSpaceDN/>
        <w:bidi w:val="0"/>
        <w:spacing w:beforeAutospacing="0" w:afterAutospacing="0"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lang w:eastAsia="zh-CN"/>
        </w:rPr>
        <w:t>罗江区财政局现有行政编制单位</w:t>
      </w:r>
      <w:r>
        <w:rPr>
          <w:rFonts w:hint="eastAsia" w:ascii="仿宋_GB2312" w:hAnsi="仿宋_GB2312" w:eastAsia="仿宋_GB2312"/>
          <w:sz w:val="32"/>
          <w:szCs w:val="32"/>
          <w:lang w:val="en-US" w:eastAsia="zh-CN"/>
        </w:rPr>
        <w:t>1个，</w:t>
      </w:r>
      <w:r>
        <w:rPr>
          <w:rFonts w:hint="eastAsia" w:ascii="仿宋_GB2312" w:hAnsi="仿宋_GB2312" w:eastAsia="仿宋_GB2312"/>
          <w:sz w:val="32"/>
          <w:szCs w:val="32"/>
        </w:rPr>
        <w:t>下属二级预算单位</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个，其中参照公务员法管理的事业单位</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个，事业单位</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个</w:t>
      </w:r>
      <w:r>
        <w:rPr>
          <w:rFonts w:hint="eastAsia" w:ascii="仿宋_GB2312" w:hAnsi="仿宋_GB2312" w:eastAsia="仿宋_GB2312"/>
          <w:sz w:val="32"/>
          <w:szCs w:val="32"/>
          <w:lang w:eastAsia="zh-CN"/>
        </w:rPr>
        <w:t>，</w:t>
      </w:r>
      <w:r>
        <w:rPr>
          <w:rFonts w:hint="eastAsia" w:ascii="仿宋_GB2312" w:hAnsi="仿宋_GB2312" w:eastAsia="仿宋_GB2312" w:cs="Times New Roman"/>
          <w:kern w:val="2"/>
          <w:sz w:val="32"/>
          <w:szCs w:val="32"/>
          <w:lang w:val="en-US" w:eastAsia="zh-CN" w:bidi="ar-SA"/>
        </w:rPr>
        <w:t>总编制4</w:t>
      </w:r>
      <w:r>
        <w:rPr>
          <w:rFonts w:hint="eastAsia" w:hAnsi="仿宋_GB2312" w:cs="Times New Roman"/>
          <w:kern w:val="2"/>
          <w:sz w:val="32"/>
          <w:szCs w:val="32"/>
          <w:lang w:val="en-US" w:eastAsia="zh-CN" w:bidi="ar-SA"/>
        </w:rPr>
        <w:t>6</w:t>
      </w:r>
      <w:r>
        <w:rPr>
          <w:rFonts w:hint="eastAsia" w:ascii="仿宋_GB2312" w:hAnsi="仿宋_GB2312" w:eastAsia="仿宋_GB2312" w:cs="Times New Roman"/>
          <w:kern w:val="2"/>
          <w:sz w:val="32"/>
          <w:szCs w:val="32"/>
          <w:lang w:val="en-US" w:eastAsia="zh-CN" w:bidi="ar-SA"/>
        </w:rPr>
        <w:t>名（行政编制</w:t>
      </w:r>
      <w:r>
        <w:rPr>
          <w:rFonts w:hint="eastAsia" w:hAnsi="仿宋_GB2312" w:cs="Times New Roman"/>
          <w:kern w:val="2"/>
          <w:sz w:val="32"/>
          <w:szCs w:val="32"/>
          <w:lang w:val="en-US" w:eastAsia="zh-CN" w:bidi="ar-SA"/>
        </w:rPr>
        <w:t>19</w:t>
      </w:r>
      <w:r>
        <w:rPr>
          <w:rFonts w:hint="eastAsia" w:ascii="仿宋_GB2312" w:hAnsi="仿宋_GB2312" w:eastAsia="仿宋_GB2312" w:cs="Times New Roman"/>
          <w:kern w:val="2"/>
          <w:sz w:val="32"/>
          <w:szCs w:val="32"/>
          <w:lang w:val="en-US" w:eastAsia="zh-CN" w:bidi="ar-SA"/>
        </w:rPr>
        <w:t>名，</w:t>
      </w:r>
      <w:r>
        <w:rPr>
          <w:rFonts w:hint="eastAsia" w:hAnsi="仿宋_GB2312" w:cs="Times New Roman"/>
          <w:kern w:val="2"/>
          <w:sz w:val="32"/>
          <w:szCs w:val="32"/>
          <w:lang w:val="en-US" w:eastAsia="zh-CN" w:bidi="ar-SA"/>
        </w:rPr>
        <w:t>参公编制11名，</w:t>
      </w:r>
      <w:r>
        <w:rPr>
          <w:rFonts w:hint="eastAsia" w:ascii="仿宋_GB2312" w:hAnsi="仿宋_GB2312" w:eastAsia="仿宋_GB2312" w:cs="Times New Roman"/>
          <w:kern w:val="2"/>
          <w:sz w:val="32"/>
          <w:szCs w:val="32"/>
          <w:lang w:val="en-US" w:eastAsia="zh-CN" w:bidi="ar-SA"/>
        </w:rPr>
        <w:t>事业编制1</w:t>
      </w:r>
      <w:r>
        <w:rPr>
          <w:rFonts w:hint="eastAsia" w:hAnsi="仿宋_GB2312" w:cs="Times New Roman"/>
          <w:kern w:val="2"/>
          <w:sz w:val="32"/>
          <w:szCs w:val="32"/>
          <w:lang w:val="en-US" w:eastAsia="zh-CN" w:bidi="ar-SA"/>
        </w:rPr>
        <w:t>6</w:t>
      </w:r>
      <w:r>
        <w:rPr>
          <w:rFonts w:hint="eastAsia" w:ascii="仿宋_GB2312" w:hAnsi="仿宋_GB2312" w:eastAsia="仿宋_GB2312" w:cs="Times New Roman"/>
          <w:kern w:val="2"/>
          <w:sz w:val="32"/>
          <w:szCs w:val="32"/>
          <w:lang w:val="en-US" w:eastAsia="zh-CN" w:bidi="ar-SA"/>
        </w:rPr>
        <w:t>名）。</w:t>
      </w:r>
      <w:r>
        <w:rPr>
          <w:rFonts w:hint="eastAsia" w:ascii="仿宋_GB2312" w:hAnsi="仿宋_GB2312" w:eastAsia="仿宋_GB2312"/>
          <w:sz w:val="32"/>
          <w:szCs w:val="32"/>
          <w:lang w:eastAsia="zh-CN"/>
        </w:rPr>
        <w:t>截止</w:t>
      </w:r>
      <w:r>
        <w:rPr>
          <w:rFonts w:hint="eastAsia" w:ascii="仿宋_GB2312" w:hAnsi="仿宋_GB2312" w:eastAsia="仿宋_GB2312"/>
          <w:sz w:val="32"/>
          <w:szCs w:val="32"/>
          <w:lang w:val="en-US" w:eastAsia="zh-CN"/>
        </w:rPr>
        <w:t>2023年12月，人员构成如下</w:t>
      </w:r>
      <w:r>
        <w:rPr>
          <w:rFonts w:hint="eastAsia" w:ascii="仿宋_GB2312" w:hAnsi="仿宋_GB2312" w:eastAsia="仿宋_GB2312"/>
          <w:sz w:val="32"/>
          <w:szCs w:val="32"/>
        </w:rPr>
        <w:t>：</w:t>
      </w:r>
    </w:p>
    <w:p>
      <w:pPr>
        <w:spacing w:line="560" w:lineRule="exact"/>
        <w:ind w:firstLine="645"/>
        <w:rPr>
          <w:rFonts w:hint="default" w:ascii="Times New Roman" w:hAnsi="Times New Roman" w:eastAsia="仿宋_GB2312" w:cs="Times New Roman"/>
          <w:sz w:val="32"/>
          <w:szCs w:val="32"/>
        </w:rPr>
      </w:pPr>
      <w:r>
        <w:rPr>
          <w:rFonts w:hint="eastAsia" w:ascii="仿宋_GB2312" w:hAnsi="仿宋_GB2312" w:eastAsia="仿宋_GB2312" w:cs="Times New Roman"/>
          <w:kern w:val="2"/>
          <w:sz w:val="32"/>
          <w:szCs w:val="32"/>
          <w:lang w:val="en-US" w:eastAsia="zh-CN" w:bidi="ar-SA"/>
        </w:rPr>
        <w:t>在职人员总数</w:t>
      </w:r>
      <w:r>
        <w:rPr>
          <w:rFonts w:hint="eastAsia" w:hAnsi="仿宋_GB2312" w:cs="Times New Roman"/>
          <w:kern w:val="2"/>
          <w:sz w:val="32"/>
          <w:szCs w:val="32"/>
          <w:lang w:val="en-US" w:eastAsia="zh-CN" w:bidi="ar-SA"/>
        </w:rPr>
        <w:t>44</w:t>
      </w:r>
      <w:r>
        <w:rPr>
          <w:rFonts w:hint="eastAsia" w:ascii="仿宋_GB2312" w:hAnsi="仿宋_GB2312" w:eastAsia="仿宋_GB2312" w:cs="Times New Roman"/>
          <w:kern w:val="2"/>
          <w:sz w:val="32"/>
          <w:szCs w:val="32"/>
          <w:lang w:val="en-US" w:eastAsia="zh-CN" w:bidi="ar-SA"/>
        </w:rPr>
        <w:t>人，</w:t>
      </w:r>
      <w:r>
        <w:rPr>
          <w:rFonts w:hint="default" w:ascii="Times New Roman" w:hAnsi="Times New Roman" w:eastAsia="仿宋_GB2312" w:cs="Times New Roman"/>
          <w:sz w:val="32"/>
          <w:szCs w:val="32"/>
        </w:rPr>
        <w:t>其中：行政人员16人，工勤2人，参公人员7人，事业人员19人（含借用事业人员3 人)；离退休人员</w:t>
      </w:r>
      <w:r>
        <w:rPr>
          <w:rFonts w:hint="eastAsia" w:ascii="Times New Roman" w:eastAsia="仿宋_GB2312" w:cs="Times New Roman"/>
          <w:sz w:val="32"/>
          <w:szCs w:val="32"/>
          <w:lang w:val="en-US" w:eastAsia="zh-CN"/>
        </w:rPr>
        <w:t>8</w:t>
      </w:r>
      <w:r>
        <w:rPr>
          <w:rFonts w:hint="default" w:ascii="Times New Roman" w:hAnsi="Times New Roman" w:eastAsia="仿宋_GB2312" w:cs="Times New Roman"/>
          <w:sz w:val="32"/>
          <w:szCs w:val="32"/>
        </w:rPr>
        <w:t xml:space="preserve">人，其中：退休人员 </w:t>
      </w:r>
      <w:r>
        <w:rPr>
          <w:rFonts w:hint="eastAsia" w:ascii="Times New Roman" w:eastAsia="仿宋_GB2312" w:cs="Times New Roman"/>
          <w:sz w:val="32"/>
          <w:szCs w:val="32"/>
          <w:lang w:val="en-US" w:eastAsia="zh-CN"/>
        </w:rPr>
        <w:t>8</w:t>
      </w:r>
      <w:r>
        <w:rPr>
          <w:rFonts w:hint="default" w:ascii="Times New Roman" w:hAnsi="Times New Roman" w:eastAsia="仿宋_GB2312" w:cs="Times New Roman"/>
          <w:sz w:val="32"/>
          <w:szCs w:val="32"/>
        </w:rPr>
        <w:t>人。另有经区人事部门核定的编外人员9人。</w:t>
      </w:r>
    </w:p>
    <w:p>
      <w:pPr>
        <w:pStyle w:val="6"/>
        <w:keepNext w:val="0"/>
        <w:keepLines w:val="0"/>
        <w:pageBreakBefore w:val="0"/>
        <w:kinsoku/>
        <w:wordWrap/>
        <w:overflowPunct/>
        <w:topLinePunct w:val="0"/>
        <w:autoSpaceDE/>
        <w:autoSpaceDN/>
        <w:bidi w:val="0"/>
        <w:adjustRightInd w:val="0"/>
        <w:snapToGrid w:val="0"/>
        <w:spacing w:before="0" w:beforeLines="0" w:beforeAutospacing="0" w:afterAutospacing="0" w:line="560" w:lineRule="exact"/>
        <w:ind w:firstLine="672" w:firstLineChars="210"/>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本次公开数据包括所有下属二级单位数据。</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　　</w:t>
      </w:r>
      <w:r>
        <w:rPr>
          <w:rFonts w:hint="eastAsia" w:ascii="黑体" w:hAnsi="黑体" w:eastAsia="黑体" w:cs="黑体"/>
          <w:kern w:val="2"/>
          <w:sz w:val="32"/>
          <w:szCs w:val="32"/>
          <w:lang w:val="en-US" w:eastAsia="zh-CN" w:bidi="ar-SA"/>
        </w:rPr>
        <w:t>三、收支预算增减变化情况说明</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仿宋" w:hAnsi="仿宋" w:eastAsia="仿宋" w:cs="仿宋"/>
          <w:sz w:val="32"/>
          <w:szCs w:val="32"/>
        </w:rPr>
      </w:pPr>
      <w:r>
        <w:rPr>
          <w:rFonts w:hint="eastAsia" w:ascii="仿宋_GB2312" w:hAnsi="仿宋_GB2312" w:eastAsia="仿宋_GB2312" w:cs="Times New Roman"/>
          <w:kern w:val="2"/>
          <w:sz w:val="32"/>
          <w:szCs w:val="32"/>
          <w:lang w:val="en-US" w:eastAsia="zh-CN" w:bidi="ar-SA"/>
        </w:rPr>
        <w:t>　　按照综合预算的原则，财政局所有收支均包含下属单位数据，全部纳入部门预算管理。收入包括：财政拨款收入1726.32万元，比2023年预算数减少570.52万元，本年度主要减少项目支出经费；支出包括：基本支出908.32万元，项目支出818万元，主要是减少区级OA平台建设项目及财政信息化建设维护项目经费。</w:t>
      </w:r>
      <w:r>
        <w:rPr>
          <w:rFonts w:hint="eastAsia" w:ascii="仿宋" w:hAnsi="仿宋" w:eastAsia="仿宋" w:cs="仿宋"/>
          <w:sz w:val="32"/>
          <w:szCs w:val="32"/>
          <w:lang w:eastAsia="zh-CN"/>
        </w:rPr>
        <w:t>财政局</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年收支总预算</w:t>
      </w:r>
      <w:r>
        <w:rPr>
          <w:rFonts w:hint="eastAsia" w:ascii="仿宋" w:hAnsi="仿宋" w:eastAsia="仿宋" w:cs="仿宋"/>
          <w:sz w:val="32"/>
          <w:szCs w:val="32"/>
          <w:lang w:val="en-US" w:eastAsia="zh-CN"/>
        </w:rPr>
        <w:t>1726.32</w:t>
      </w:r>
      <w:r>
        <w:rPr>
          <w:rFonts w:hint="eastAsia" w:ascii="仿宋" w:hAnsi="仿宋" w:eastAsia="仿宋" w:cs="仿宋"/>
          <w:sz w:val="32"/>
          <w:szCs w:val="32"/>
        </w:rPr>
        <w:t>万元。</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 w:hAnsi="楷体" w:eastAsia="楷体" w:cs="楷体"/>
          <w:sz w:val="32"/>
          <w:szCs w:val="32"/>
        </w:rPr>
        <w:t>（一）收入预算情况</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xml:space="preserve">    </w:t>
      </w:r>
      <w:r>
        <w:rPr>
          <w:rFonts w:hint="eastAsia" w:ascii="仿宋_GB2312" w:hAnsi="仿宋_GB2312" w:eastAsia="仿宋_GB2312"/>
          <w:sz w:val="32"/>
          <w:szCs w:val="32"/>
          <w:lang w:eastAsia="zh-CN"/>
        </w:rPr>
        <w:t>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lang w:eastAsia="zh-CN"/>
        </w:rPr>
        <w:t>年</w:t>
      </w:r>
      <w:r>
        <w:rPr>
          <w:rFonts w:ascii="仿宋_GB2312" w:hAnsi="仿宋_GB2312" w:eastAsia="仿宋_GB2312"/>
          <w:sz w:val="32"/>
          <w:szCs w:val="32"/>
        </w:rPr>
        <w:t>收入预算</w:t>
      </w:r>
      <w:r>
        <w:rPr>
          <w:rFonts w:hint="eastAsia" w:ascii="仿宋_GB2312" w:hAnsi="仿宋_GB2312" w:eastAsia="仿宋_GB2312"/>
          <w:sz w:val="32"/>
          <w:szCs w:val="32"/>
          <w:lang w:val="en-US" w:eastAsia="zh-CN"/>
        </w:rPr>
        <w:t>1726.32</w:t>
      </w:r>
      <w:r>
        <w:rPr>
          <w:rFonts w:ascii="仿宋_GB2312" w:hAnsi="仿宋_GB2312" w:eastAsia="仿宋_GB2312"/>
          <w:sz w:val="32"/>
          <w:szCs w:val="32"/>
        </w:rPr>
        <w:t>万元，其中：上年结转</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%；一般公共预算拨款收入</w:t>
      </w:r>
      <w:r>
        <w:rPr>
          <w:rFonts w:hint="eastAsia" w:ascii="仿宋_GB2312" w:hAnsi="仿宋_GB2312" w:eastAsia="仿宋_GB2312"/>
          <w:sz w:val="32"/>
          <w:szCs w:val="32"/>
          <w:lang w:val="en-US" w:eastAsia="zh-CN"/>
        </w:rPr>
        <w:t>1726.32</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100</w:t>
      </w:r>
      <w:r>
        <w:rPr>
          <w:rFonts w:ascii="仿宋_GB2312" w:hAnsi="仿宋_GB2312" w:eastAsia="仿宋_GB2312"/>
          <w:sz w:val="32"/>
          <w:szCs w:val="32"/>
        </w:rPr>
        <w:t>%；事业收入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%；事业单位经营</w:t>
      </w:r>
      <w:r>
        <w:rPr>
          <w:rFonts w:hint="eastAsia" w:ascii="仿宋_GB2312" w:hAnsi="仿宋_GB2312" w:eastAsia="仿宋_GB2312"/>
          <w:sz w:val="32"/>
          <w:szCs w:val="32"/>
          <w:lang w:eastAsia="zh-CN"/>
        </w:rPr>
        <w:t>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%；其他收入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w:t>
      </w:r>
    </w:p>
    <w:p>
      <w:pPr>
        <w:keepNext w:val="0"/>
        <w:keepLines w:val="0"/>
        <w:pageBreakBefore w:val="0"/>
        <w:kinsoku/>
        <w:wordWrap/>
        <w:overflowPunct/>
        <w:topLinePunct w:val="0"/>
        <w:autoSpaceDE/>
        <w:autoSpaceDN/>
        <w:bidi w:val="0"/>
        <w:spacing w:beforeAutospacing="0" w:afterAutospacing="0" w:line="560" w:lineRule="exact"/>
        <w:ind w:firstLine="645"/>
        <w:textAlignment w:val="auto"/>
        <w:rPr>
          <w:rFonts w:hint="eastAsia" w:ascii="楷体" w:hAnsi="楷体" w:eastAsia="楷体" w:cs="楷体"/>
          <w:sz w:val="32"/>
          <w:szCs w:val="32"/>
        </w:rPr>
      </w:pPr>
      <w:r>
        <w:rPr>
          <w:rFonts w:hint="eastAsia" w:ascii="楷体" w:hAnsi="楷体" w:eastAsia="楷体" w:cs="楷体"/>
          <w:sz w:val="32"/>
          <w:szCs w:val="32"/>
        </w:rPr>
        <w:t>（二）支出预算情况</w:t>
      </w:r>
    </w:p>
    <w:p>
      <w:pPr>
        <w:keepNext w:val="0"/>
        <w:keepLines w:val="0"/>
        <w:pageBreakBefore w:val="0"/>
        <w:kinsoku/>
        <w:wordWrap/>
        <w:overflowPunct/>
        <w:topLinePunct w:val="0"/>
        <w:autoSpaceDE/>
        <w:autoSpaceDN/>
        <w:bidi w:val="0"/>
        <w:spacing w:beforeAutospacing="0" w:afterAutospacing="0"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lang w:eastAsia="zh-CN"/>
        </w:rPr>
        <w:t>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lang w:eastAsia="zh-CN"/>
        </w:rPr>
        <w:t>年</w:t>
      </w:r>
      <w:r>
        <w:rPr>
          <w:rFonts w:ascii="仿宋_GB2312" w:hAnsi="仿宋_GB2312" w:eastAsia="仿宋_GB2312"/>
          <w:sz w:val="32"/>
          <w:szCs w:val="32"/>
        </w:rPr>
        <w:t>支出预算</w:t>
      </w:r>
      <w:r>
        <w:rPr>
          <w:rFonts w:hint="eastAsia" w:ascii="仿宋_GB2312" w:hAnsi="仿宋_GB2312" w:eastAsia="仿宋_GB2312"/>
          <w:sz w:val="32"/>
          <w:szCs w:val="32"/>
          <w:lang w:val="en-US" w:eastAsia="zh-CN"/>
        </w:rPr>
        <w:t>1726.32</w:t>
      </w:r>
      <w:r>
        <w:rPr>
          <w:rFonts w:ascii="仿宋_GB2312" w:hAnsi="仿宋_GB2312" w:eastAsia="仿宋_GB2312"/>
          <w:sz w:val="32"/>
          <w:szCs w:val="32"/>
        </w:rPr>
        <w:t>万元，其中：基本支出</w:t>
      </w:r>
      <w:r>
        <w:rPr>
          <w:rFonts w:hint="eastAsia" w:ascii="仿宋_GB2312" w:hAnsi="仿宋_GB2312" w:eastAsia="仿宋_GB2312" w:cs="Times New Roman"/>
          <w:kern w:val="2"/>
          <w:sz w:val="32"/>
          <w:szCs w:val="32"/>
          <w:lang w:val="en-US" w:eastAsia="zh-CN" w:bidi="ar-SA"/>
        </w:rPr>
        <w:t>908.32</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52.62</w:t>
      </w:r>
      <w:r>
        <w:rPr>
          <w:rFonts w:ascii="仿宋_GB2312" w:hAnsi="仿宋_GB2312" w:eastAsia="仿宋_GB2312"/>
          <w:sz w:val="32"/>
          <w:szCs w:val="32"/>
        </w:rPr>
        <w:t>%；项目支出</w:t>
      </w:r>
      <w:r>
        <w:rPr>
          <w:rFonts w:hint="eastAsia" w:ascii="仿宋_GB2312" w:hAnsi="仿宋_GB2312" w:eastAsia="仿宋_GB2312" w:cs="Times New Roman"/>
          <w:kern w:val="2"/>
          <w:sz w:val="32"/>
          <w:szCs w:val="32"/>
          <w:lang w:val="en-US" w:eastAsia="zh-CN" w:bidi="ar-SA"/>
        </w:rPr>
        <w:t>818</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47.38</w:t>
      </w:r>
      <w:r>
        <w:rPr>
          <w:rFonts w:ascii="仿宋_GB2312" w:hAnsi="仿宋_GB2312" w:eastAsia="仿宋_GB2312"/>
          <w:sz w:val="32"/>
          <w:szCs w:val="32"/>
        </w:rPr>
        <w:t>%。</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黑体" w:hAnsi="黑体" w:eastAsia="黑体" w:cs="黑体"/>
          <w:sz w:val="32"/>
          <w:szCs w:val="32"/>
        </w:rPr>
      </w:pPr>
      <w:r>
        <w:rPr>
          <w:rFonts w:hint="eastAsia" w:ascii="仿宋_GB2312" w:hAnsi="仿宋_GB2312" w:eastAsia="仿宋_GB2312"/>
          <w:sz w:val="32"/>
          <w:szCs w:val="32"/>
        </w:rPr>
        <w:t>　</w:t>
      </w:r>
      <w:r>
        <w:rPr>
          <w:rFonts w:hint="eastAsia" w:ascii="黑体" w:hAnsi="黑体" w:eastAsia="黑体" w:cs="黑体"/>
          <w:sz w:val="32"/>
          <w:szCs w:val="32"/>
        </w:rPr>
        <w:t>　四、财政拨款收支预算情况说明</w:t>
      </w:r>
    </w:p>
    <w:p>
      <w:pPr>
        <w:keepNext w:val="0"/>
        <w:keepLines w:val="0"/>
        <w:pageBreakBefore w:val="0"/>
        <w:kinsoku/>
        <w:wordWrap/>
        <w:overflowPunct/>
        <w:topLinePunct w:val="0"/>
        <w:autoSpaceDE/>
        <w:autoSpaceDN/>
        <w:bidi w:val="0"/>
        <w:spacing w:beforeAutospacing="0" w:afterAutospacing="0" w:line="560" w:lineRule="exact"/>
        <w:ind w:firstLine="645"/>
        <w:textAlignment w:val="auto"/>
        <w:rPr>
          <w:rFonts w:hint="eastAsia" w:ascii="仿宋_GB2312" w:hAnsi="仿宋_GB2312" w:eastAsia="仿宋_GB2312" w:cs="Times New Roman"/>
          <w:kern w:val="2"/>
          <w:sz w:val="32"/>
          <w:szCs w:val="32"/>
          <w:lang w:val="en-US" w:eastAsia="zh-CN" w:bidi="ar-SA"/>
        </w:rPr>
      </w:pPr>
      <w:r>
        <w:rPr>
          <w:rFonts w:hint="eastAsia" w:ascii="仿宋" w:hAnsi="仿宋" w:eastAsia="仿宋" w:cs="仿宋"/>
          <w:sz w:val="32"/>
          <w:szCs w:val="32"/>
          <w:lang w:eastAsia="zh-CN"/>
        </w:rPr>
        <w:t>财政局202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rPr>
        <w:t>财政拨款收支总预算</w:t>
      </w:r>
      <w:r>
        <w:rPr>
          <w:rFonts w:hint="eastAsia" w:ascii="仿宋_GB2312" w:hAnsi="仿宋_GB2312" w:eastAsia="仿宋_GB2312"/>
          <w:sz w:val="32"/>
          <w:szCs w:val="32"/>
          <w:lang w:val="en-US" w:eastAsia="zh-CN"/>
        </w:rPr>
        <w:t>1726.32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_GB2312" w:hAnsi="仿宋_GB2312" w:eastAsia="仿宋_GB2312" w:cs="Times New Roman"/>
          <w:kern w:val="2"/>
          <w:sz w:val="32"/>
          <w:szCs w:val="32"/>
          <w:lang w:val="en-US" w:eastAsia="zh-CN" w:bidi="ar-SA"/>
        </w:rPr>
        <w:t>比2023年预算数减少570.52万元，主要减少区级OA平台建设项目及财政信息化建设维护等项目支出。</w:t>
      </w:r>
    </w:p>
    <w:p>
      <w:pPr>
        <w:keepNext w:val="0"/>
        <w:keepLines w:val="0"/>
        <w:pageBreakBefore w:val="0"/>
        <w:kinsoku/>
        <w:wordWrap/>
        <w:overflowPunct/>
        <w:topLinePunct w:val="0"/>
        <w:autoSpaceDE/>
        <w:autoSpaceDN/>
        <w:bidi w:val="0"/>
        <w:spacing w:beforeAutospacing="0" w:afterAutospacing="0" w:line="56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收入包括：本年一般公共预算拨款收入</w:t>
      </w:r>
      <w:r>
        <w:rPr>
          <w:rFonts w:hint="eastAsia" w:ascii="仿宋_GB2312" w:hAnsi="仿宋_GB2312" w:eastAsia="仿宋_GB2312"/>
          <w:sz w:val="32"/>
          <w:szCs w:val="32"/>
          <w:lang w:val="en-US" w:eastAsia="zh-CN"/>
        </w:rPr>
        <w:t>1726.32</w:t>
      </w:r>
      <w:r>
        <w:rPr>
          <w:rFonts w:hint="eastAsia" w:ascii="仿宋" w:hAnsi="仿宋" w:eastAsia="仿宋" w:cs="仿宋"/>
          <w:sz w:val="32"/>
          <w:szCs w:val="32"/>
        </w:rPr>
        <w:t>万元、上年结转一般公共预算拨款收入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万元；支出包括：一般公共服务支出</w:t>
      </w:r>
      <w:r>
        <w:rPr>
          <w:rFonts w:hint="eastAsia" w:ascii="仿宋" w:hAnsi="仿宋" w:eastAsia="仿宋" w:cs="仿宋"/>
          <w:sz w:val="32"/>
          <w:szCs w:val="32"/>
          <w:lang w:val="en-US" w:eastAsia="zh-CN"/>
        </w:rPr>
        <w:t>1185.71</w:t>
      </w:r>
      <w:r>
        <w:rPr>
          <w:rFonts w:hint="eastAsia" w:ascii="仿宋" w:hAnsi="仿宋" w:eastAsia="仿宋" w:cs="仿宋"/>
          <w:sz w:val="32"/>
          <w:szCs w:val="32"/>
        </w:rPr>
        <w:t>万元，</w:t>
      </w:r>
      <w:r>
        <w:rPr>
          <w:rFonts w:hint="eastAsia" w:ascii="仿宋" w:hAnsi="仿宋" w:eastAsia="仿宋" w:cs="仿宋"/>
          <w:sz w:val="32"/>
          <w:szCs w:val="32"/>
          <w:lang w:eastAsia="zh-CN"/>
        </w:rPr>
        <w:t>科学技术支出</w:t>
      </w:r>
      <w:r>
        <w:rPr>
          <w:rFonts w:hint="eastAsia" w:ascii="仿宋" w:hAnsi="仿宋" w:eastAsia="仿宋" w:cs="仿宋"/>
          <w:sz w:val="32"/>
          <w:szCs w:val="32"/>
          <w:lang w:val="en-US" w:eastAsia="zh-CN"/>
        </w:rPr>
        <w:t>323万元，</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125.88</w:t>
      </w:r>
      <w:r>
        <w:rPr>
          <w:rFonts w:hint="eastAsia" w:ascii="仿宋" w:hAnsi="仿宋" w:eastAsia="仿宋" w:cs="仿宋"/>
          <w:sz w:val="32"/>
          <w:szCs w:val="32"/>
        </w:rPr>
        <w:t>万元，</w:t>
      </w:r>
      <w:r>
        <w:rPr>
          <w:rFonts w:hint="eastAsia" w:ascii="仿宋" w:hAnsi="仿宋" w:eastAsia="仿宋" w:cs="仿宋"/>
          <w:sz w:val="32"/>
          <w:szCs w:val="32"/>
          <w:lang w:eastAsia="zh-CN"/>
        </w:rPr>
        <w:t>卫生健康支出</w:t>
      </w:r>
      <w:r>
        <w:rPr>
          <w:rFonts w:hint="eastAsia" w:ascii="仿宋" w:hAnsi="仿宋" w:eastAsia="仿宋" w:cs="仿宋"/>
          <w:sz w:val="32"/>
          <w:szCs w:val="32"/>
          <w:lang w:val="en-US" w:eastAsia="zh-CN"/>
        </w:rPr>
        <w:t>30.81</w:t>
      </w:r>
      <w:r>
        <w:rPr>
          <w:rFonts w:hint="eastAsia" w:ascii="仿宋" w:hAnsi="仿宋" w:eastAsia="仿宋" w:cs="仿宋"/>
          <w:sz w:val="32"/>
          <w:szCs w:val="32"/>
        </w:rPr>
        <w:t>万元，住房保障支出</w:t>
      </w:r>
      <w:r>
        <w:rPr>
          <w:rFonts w:hint="eastAsia" w:ascii="仿宋" w:hAnsi="仿宋" w:eastAsia="仿宋" w:cs="仿宋"/>
          <w:sz w:val="32"/>
          <w:szCs w:val="32"/>
          <w:lang w:val="en-US" w:eastAsia="zh-CN"/>
        </w:rPr>
        <w:t>60.92</w:t>
      </w:r>
      <w:r>
        <w:rPr>
          <w:rFonts w:hint="eastAsia" w:ascii="仿宋" w:hAnsi="仿宋" w:eastAsia="仿宋" w:cs="仿宋"/>
          <w:sz w:val="32"/>
          <w:szCs w:val="32"/>
        </w:rPr>
        <w:t>万元。</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　五、一般公共预算当年拨款情况说明</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（一）一般公共预算当年拨款规模变化情况</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eastAsia="zh-CN"/>
        </w:rPr>
        <w:t>财政局202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rPr>
        <w:t>一般公共预算当年拨款</w:t>
      </w:r>
      <w:r>
        <w:rPr>
          <w:rFonts w:hint="eastAsia" w:ascii="仿宋_GB2312" w:hAnsi="仿宋_GB2312" w:eastAsia="仿宋_GB2312"/>
          <w:sz w:val="32"/>
          <w:szCs w:val="32"/>
          <w:lang w:val="en-US" w:eastAsia="zh-CN"/>
        </w:rPr>
        <w:t>1726.32</w:t>
      </w:r>
      <w:r>
        <w:rPr>
          <w:rFonts w:hint="eastAsia" w:ascii="仿宋" w:hAnsi="仿宋" w:eastAsia="仿宋" w:cs="仿宋"/>
          <w:sz w:val="32"/>
          <w:szCs w:val="32"/>
        </w:rPr>
        <w:t>万元，</w:t>
      </w:r>
      <w:r>
        <w:rPr>
          <w:rFonts w:hint="eastAsia" w:ascii="仿宋_GB2312" w:hAnsi="仿宋_GB2312" w:eastAsia="仿宋_GB2312" w:cs="Times New Roman"/>
          <w:kern w:val="2"/>
          <w:sz w:val="32"/>
          <w:szCs w:val="32"/>
          <w:lang w:val="en-US" w:eastAsia="zh-CN" w:bidi="ar-SA"/>
        </w:rPr>
        <w:t>比2023年预算数减少570.52万元</w:t>
      </w:r>
      <w:r>
        <w:rPr>
          <w:rFonts w:hint="eastAsia" w:ascii="仿宋" w:hAnsi="仿宋" w:eastAsia="仿宋" w:cs="仿宋"/>
          <w:sz w:val="32"/>
          <w:szCs w:val="32"/>
        </w:rPr>
        <w:t>，</w:t>
      </w:r>
      <w:r>
        <w:rPr>
          <w:rFonts w:hint="eastAsia" w:ascii="仿宋_GB2312" w:hAnsi="仿宋_GB2312" w:eastAsia="仿宋_GB2312" w:cs="Times New Roman"/>
          <w:kern w:val="2"/>
          <w:sz w:val="32"/>
          <w:szCs w:val="32"/>
          <w:lang w:val="en-US" w:eastAsia="zh-CN" w:bidi="ar-SA"/>
        </w:rPr>
        <w:t>主要减少区级OA平台建设项目及财政信息化建设维护项目等项目支出</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楷体" w:hAnsi="楷体" w:eastAsia="楷体" w:cs="楷体"/>
          <w:sz w:val="32"/>
          <w:szCs w:val="32"/>
        </w:rPr>
      </w:pPr>
      <w:r>
        <w:rPr>
          <w:rFonts w:hint="eastAsia" w:ascii="仿宋" w:hAnsi="仿宋" w:eastAsia="仿宋" w:cs="仿宋"/>
          <w:sz w:val="32"/>
          <w:szCs w:val="32"/>
        </w:rPr>
        <w:t>　　</w:t>
      </w:r>
      <w:r>
        <w:rPr>
          <w:rFonts w:hint="eastAsia" w:ascii="楷体" w:hAnsi="楷体" w:eastAsia="楷体" w:cs="楷体"/>
          <w:sz w:val="32"/>
          <w:szCs w:val="32"/>
        </w:rPr>
        <w:t>（二）一般公共预算当年拨款结构情况</w:t>
      </w:r>
    </w:p>
    <w:p>
      <w:pPr>
        <w:keepNext w:val="0"/>
        <w:keepLines w:val="0"/>
        <w:pageBreakBefore w:val="0"/>
        <w:kinsoku/>
        <w:wordWrap/>
        <w:overflowPunct/>
        <w:topLinePunct w:val="0"/>
        <w:autoSpaceDE/>
        <w:autoSpaceDN/>
        <w:bidi w:val="0"/>
        <w:spacing w:beforeAutospacing="0" w:afterAutospacing="0" w:line="56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rPr>
        <w:t>一般公共服务支出</w:t>
      </w:r>
      <w:r>
        <w:rPr>
          <w:rFonts w:hint="eastAsia" w:ascii="仿宋" w:hAnsi="仿宋" w:eastAsia="仿宋" w:cs="仿宋"/>
          <w:sz w:val="32"/>
          <w:szCs w:val="32"/>
          <w:lang w:val="en-US" w:eastAsia="zh-CN"/>
        </w:rPr>
        <w:t>1185.71</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68.68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；科学技术支出323万元，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18.71</w:t>
      </w:r>
      <w:r>
        <w:rPr>
          <w:rFonts w:hint="eastAsia" w:ascii="仿宋" w:hAnsi="仿宋" w:eastAsia="仿宋" w:cs="仿宋"/>
          <w:sz w:val="32"/>
          <w:szCs w:val="32"/>
          <w:lang w:eastAsia="zh-CN"/>
        </w:rPr>
        <w:t>%；</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125.88</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7.29</w:t>
      </w:r>
      <w:r>
        <w:rPr>
          <w:rFonts w:hint="eastAsia" w:ascii="仿宋" w:hAnsi="仿宋" w:eastAsia="仿宋" w:cs="仿宋"/>
          <w:sz w:val="32"/>
          <w:szCs w:val="32"/>
        </w:rPr>
        <w:t>%</w:t>
      </w:r>
      <w:r>
        <w:rPr>
          <w:rFonts w:hint="eastAsia" w:ascii="仿宋" w:hAnsi="仿宋" w:eastAsia="仿宋" w:cs="仿宋"/>
          <w:sz w:val="32"/>
          <w:szCs w:val="32"/>
          <w:lang w:eastAsia="zh-CN"/>
        </w:rPr>
        <w:t>；卫生健康支出</w:t>
      </w:r>
      <w:r>
        <w:rPr>
          <w:rFonts w:hint="eastAsia" w:ascii="仿宋" w:hAnsi="仿宋" w:eastAsia="仿宋" w:cs="仿宋"/>
          <w:sz w:val="32"/>
          <w:szCs w:val="32"/>
          <w:lang w:val="en-US" w:eastAsia="zh-CN"/>
        </w:rPr>
        <w:t>30.81</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1.78</w:t>
      </w:r>
      <w:r>
        <w:rPr>
          <w:rFonts w:hint="eastAsia" w:ascii="仿宋" w:hAnsi="仿宋" w:eastAsia="仿宋" w:cs="仿宋"/>
          <w:sz w:val="32"/>
          <w:szCs w:val="32"/>
          <w:lang w:eastAsia="zh-CN"/>
        </w:rPr>
        <w:t>%；</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60.92</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3.53</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楷体" w:hAnsi="楷体" w:eastAsia="楷体" w:cs="楷体"/>
          <w:sz w:val="32"/>
          <w:szCs w:val="32"/>
        </w:rPr>
        <w:t>（三）一般公共预算当年拨款具体使用情况</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1.一般公共服务-财政事务-行政运行：</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387.31</w:t>
      </w:r>
      <w:r>
        <w:rPr>
          <w:rFonts w:hint="eastAsia" w:ascii="仿宋" w:hAnsi="仿宋" w:eastAsia="仿宋" w:cs="仿宋"/>
          <w:sz w:val="32"/>
          <w:szCs w:val="32"/>
        </w:rPr>
        <w:t>万元，主要用于保障财政局机关机构正常运转的日常支出，包括基本工资、津贴补贴等人员经费以及办公费、印刷费、水电费、办公设备购置等日常公用经费。</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2、一般公共服务-财政事务-预算改革业务：</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40</w:t>
      </w:r>
      <w:r>
        <w:rPr>
          <w:rFonts w:hint="eastAsia" w:ascii="仿宋" w:hAnsi="仿宋" w:eastAsia="仿宋" w:cs="仿宋"/>
          <w:sz w:val="32"/>
          <w:szCs w:val="32"/>
        </w:rPr>
        <w:t>万元，主要用于财政局</w:t>
      </w:r>
      <w:bookmarkStart w:id="0" w:name="_GoBack"/>
      <w:bookmarkEnd w:id="0"/>
      <w:r>
        <w:rPr>
          <w:rFonts w:hint="eastAsia" w:ascii="仿宋" w:hAnsi="仿宋" w:eastAsia="仿宋" w:cs="仿宋"/>
          <w:sz w:val="32"/>
          <w:szCs w:val="32"/>
        </w:rPr>
        <w:t>预算改革方面的支出。</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3、一般公共服务-财政事务-财政国库业务：</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40</w:t>
      </w:r>
      <w:r>
        <w:rPr>
          <w:rFonts w:hint="eastAsia" w:ascii="仿宋" w:hAnsi="仿宋" w:eastAsia="仿宋" w:cs="仿宋"/>
          <w:sz w:val="32"/>
          <w:szCs w:val="32"/>
        </w:rPr>
        <w:t>万元，主要用于财政局国库业务支出。</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4、一般公共服务-财政事务-财政监察：</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65</w:t>
      </w:r>
      <w:r>
        <w:rPr>
          <w:rFonts w:hint="eastAsia" w:ascii="仿宋" w:hAnsi="仿宋" w:eastAsia="仿宋" w:cs="仿宋"/>
          <w:sz w:val="32"/>
          <w:szCs w:val="32"/>
        </w:rPr>
        <w:t>万元，主要用于财政监察专项业务支出。</w:t>
      </w:r>
    </w:p>
    <w:p>
      <w:pPr>
        <w:pStyle w:val="2"/>
        <w:ind w:left="0" w:leftChars="0" w:firstLine="640" w:firstLineChars="200"/>
        <w:rPr>
          <w:rFonts w:hint="eastAsia"/>
        </w:rPr>
      </w:pPr>
      <w:r>
        <w:rPr>
          <w:rFonts w:hint="eastAsia" w:ascii="仿宋" w:hAnsi="仿宋" w:eastAsia="仿宋" w:cs="仿宋"/>
          <w:sz w:val="32"/>
          <w:szCs w:val="32"/>
        </w:rPr>
        <w:t>5、一般公共服务-财政事务-</w:t>
      </w:r>
      <w:r>
        <w:rPr>
          <w:rFonts w:hint="eastAsia" w:ascii="仿宋" w:hAnsi="仿宋" w:eastAsia="仿宋" w:cs="仿宋"/>
          <w:sz w:val="32"/>
          <w:szCs w:val="32"/>
          <w:lang w:eastAsia="zh-CN"/>
        </w:rPr>
        <w:t>信息化建设</w:t>
      </w:r>
      <w:r>
        <w:rPr>
          <w:rFonts w:hint="eastAsia" w:ascii="仿宋" w:hAnsi="仿宋" w:eastAsia="仿宋" w:cs="仿宋"/>
          <w:sz w:val="32"/>
          <w:szCs w:val="32"/>
        </w:rPr>
        <w:t>：</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50</w:t>
      </w:r>
      <w:r>
        <w:rPr>
          <w:rFonts w:hint="eastAsia" w:ascii="仿宋" w:hAnsi="仿宋" w:eastAsia="仿宋" w:cs="仿宋"/>
          <w:sz w:val="32"/>
          <w:szCs w:val="32"/>
        </w:rPr>
        <w:t>万元，主要用于财政</w:t>
      </w:r>
      <w:r>
        <w:rPr>
          <w:rFonts w:hint="eastAsia" w:ascii="仿宋" w:hAnsi="仿宋" w:eastAsia="仿宋" w:cs="仿宋"/>
          <w:sz w:val="32"/>
          <w:szCs w:val="32"/>
          <w:lang w:eastAsia="zh-CN"/>
        </w:rPr>
        <w:t>信息化建设及维护业务</w:t>
      </w:r>
      <w:r>
        <w:rPr>
          <w:rFonts w:hint="eastAsia" w:ascii="仿宋" w:hAnsi="仿宋" w:eastAsia="仿宋" w:cs="仿宋"/>
          <w:sz w:val="32"/>
          <w:szCs w:val="32"/>
        </w:rPr>
        <w:t>支出。</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、一般公共服务-财政事务-财政委托业务支出：</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150</w:t>
      </w:r>
      <w:r>
        <w:rPr>
          <w:rFonts w:hint="eastAsia" w:ascii="仿宋" w:hAnsi="仿宋" w:eastAsia="仿宋" w:cs="仿宋"/>
          <w:sz w:val="32"/>
          <w:szCs w:val="32"/>
        </w:rPr>
        <w:t>万元，主要用于财政局委托评审机构进行财政投资评审业务支出。</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、一般公共服务-财政事务-事业运行：</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303.40</w:t>
      </w:r>
      <w:r>
        <w:rPr>
          <w:rFonts w:hint="eastAsia" w:ascii="仿宋" w:hAnsi="仿宋" w:eastAsia="仿宋" w:cs="仿宋"/>
          <w:sz w:val="32"/>
          <w:szCs w:val="32"/>
        </w:rPr>
        <w:t>万元，主要用于保障财政局机关</w:t>
      </w:r>
      <w:r>
        <w:rPr>
          <w:rFonts w:hint="eastAsia" w:ascii="仿宋" w:hAnsi="仿宋" w:eastAsia="仿宋" w:cs="仿宋"/>
          <w:sz w:val="32"/>
          <w:szCs w:val="32"/>
          <w:lang w:eastAsia="zh-CN"/>
        </w:rPr>
        <w:t>附属事业</w:t>
      </w:r>
      <w:r>
        <w:rPr>
          <w:rFonts w:hint="eastAsia" w:ascii="仿宋" w:hAnsi="仿宋" w:eastAsia="仿宋" w:cs="仿宋"/>
          <w:sz w:val="32"/>
          <w:szCs w:val="32"/>
        </w:rPr>
        <w:t>机构正常运转的日常支出，包括基本工资、津贴补贴等人员经费以及办公费、印刷费、水电费、办公设备购置等日常公用经费。</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、一般公共服务-财政事务-其他财政事务支出：</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150</w:t>
      </w:r>
      <w:r>
        <w:rPr>
          <w:rFonts w:hint="eastAsia" w:ascii="仿宋" w:hAnsi="仿宋" w:eastAsia="仿宋" w:cs="仿宋"/>
          <w:sz w:val="32"/>
          <w:szCs w:val="32"/>
        </w:rPr>
        <w:t>万元，主要用于财政局其他业务工作支出。</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、社会保障和就业支出-行政事业单位离退休-机关事业单位基本养老保险缴费支出：</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72.07</w:t>
      </w:r>
      <w:r>
        <w:rPr>
          <w:rFonts w:hint="eastAsia" w:ascii="仿宋" w:hAnsi="仿宋" w:eastAsia="仿宋" w:cs="仿宋"/>
          <w:sz w:val="32"/>
          <w:szCs w:val="32"/>
        </w:rPr>
        <w:t>万元，主要用于缴纳机关及下属事业单位职工基本养老保险费。</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、社会保障和就业支出-行政事业单位离退休-机关事业单位职业年金缴费支出：</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36.04</w:t>
      </w:r>
      <w:r>
        <w:rPr>
          <w:rFonts w:hint="eastAsia" w:ascii="仿宋" w:hAnsi="仿宋" w:eastAsia="仿宋" w:cs="仿宋"/>
          <w:sz w:val="32"/>
          <w:szCs w:val="32"/>
        </w:rPr>
        <w:t>万元，主要用于缴纳机关及下属事业单位职工职业年金。</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rPr>
      </w:pPr>
      <w:r>
        <w:rPr>
          <w:rFonts w:hint="eastAsia" w:ascii="仿宋" w:hAnsi="仿宋" w:eastAsia="仿宋" w:cs="仿宋"/>
          <w:sz w:val="32"/>
          <w:szCs w:val="32"/>
          <w:lang w:val="en-US" w:eastAsia="zh-CN"/>
        </w:rPr>
        <w:t>11</w:t>
      </w:r>
      <w:r>
        <w:rPr>
          <w:rFonts w:hint="eastAsia" w:ascii="仿宋" w:hAnsi="仿宋" w:eastAsia="仿宋" w:cs="仿宋"/>
          <w:sz w:val="32"/>
          <w:szCs w:val="32"/>
        </w:rPr>
        <w:t>、社会保障和就业支出-行政事业单位离退休-</w:t>
      </w:r>
      <w:r>
        <w:rPr>
          <w:rFonts w:hint="eastAsia" w:ascii="仿宋" w:hAnsi="仿宋" w:eastAsia="仿宋" w:cs="仿宋"/>
          <w:sz w:val="32"/>
          <w:szCs w:val="32"/>
          <w:lang w:eastAsia="zh-CN"/>
        </w:rPr>
        <w:t>其他行政事业单位养老</w:t>
      </w:r>
      <w:r>
        <w:rPr>
          <w:rFonts w:hint="eastAsia" w:ascii="仿宋" w:hAnsi="仿宋" w:eastAsia="仿宋" w:cs="仿宋"/>
          <w:sz w:val="32"/>
          <w:szCs w:val="32"/>
        </w:rPr>
        <w:t>支出：</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16</w:t>
      </w:r>
      <w:r>
        <w:rPr>
          <w:rFonts w:hint="eastAsia" w:ascii="仿宋" w:hAnsi="仿宋" w:eastAsia="仿宋" w:cs="仿宋"/>
          <w:sz w:val="32"/>
          <w:szCs w:val="32"/>
        </w:rPr>
        <w:t>万元，主要用于</w:t>
      </w:r>
      <w:r>
        <w:rPr>
          <w:rFonts w:hint="eastAsia" w:ascii="仿宋" w:hAnsi="仿宋" w:eastAsia="仿宋" w:cs="仿宋"/>
          <w:sz w:val="32"/>
          <w:szCs w:val="32"/>
          <w:lang w:eastAsia="zh-CN"/>
        </w:rPr>
        <w:t>离退休人员经费保障支出</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w:t>
      </w:r>
      <w:r>
        <w:rPr>
          <w:rFonts w:hint="eastAsia" w:ascii="仿宋" w:hAnsi="仿宋" w:eastAsia="仿宋" w:cs="仿宋"/>
          <w:sz w:val="32"/>
          <w:szCs w:val="32"/>
        </w:rPr>
        <w:t>社会保障和就业支出-行政事业单位离退休-</w:t>
      </w:r>
      <w:r>
        <w:rPr>
          <w:rFonts w:hint="eastAsia" w:ascii="仿宋" w:hAnsi="仿宋" w:eastAsia="仿宋" w:cs="仿宋"/>
          <w:sz w:val="32"/>
          <w:szCs w:val="32"/>
          <w:lang w:val="en-US" w:eastAsia="zh-CN"/>
        </w:rPr>
        <w:t>其他社会保障和就业支出：</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1.77</w:t>
      </w:r>
      <w:r>
        <w:rPr>
          <w:rFonts w:hint="eastAsia" w:ascii="仿宋" w:hAnsi="仿宋" w:eastAsia="仿宋" w:cs="仿宋"/>
          <w:sz w:val="32"/>
          <w:szCs w:val="32"/>
        </w:rPr>
        <w:t>万元，主要</w:t>
      </w:r>
      <w:r>
        <w:rPr>
          <w:rFonts w:hint="eastAsia" w:ascii="仿宋" w:hAnsi="仿宋" w:eastAsia="仿宋" w:cs="仿宋"/>
          <w:sz w:val="32"/>
          <w:szCs w:val="32"/>
          <w:lang w:eastAsia="zh-CN"/>
        </w:rPr>
        <w:t>用于在编人员失业和工伤保险。</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eastAsia="zh-CN"/>
        </w:rPr>
        <w:t>卫生健康</w:t>
      </w:r>
      <w:r>
        <w:rPr>
          <w:rFonts w:hint="eastAsia" w:ascii="仿宋" w:hAnsi="仿宋" w:eastAsia="仿宋" w:cs="仿宋"/>
          <w:sz w:val="32"/>
          <w:szCs w:val="32"/>
        </w:rPr>
        <w:t>支出-行政事业单位医疗-行政单位医疗：</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17.96</w:t>
      </w:r>
      <w:r>
        <w:rPr>
          <w:rFonts w:hint="eastAsia" w:ascii="仿宋" w:hAnsi="仿宋" w:eastAsia="仿宋" w:cs="仿宋"/>
          <w:sz w:val="32"/>
          <w:szCs w:val="32"/>
        </w:rPr>
        <w:t>万元，主要用于职工基本医疗保险费用。</w:t>
      </w:r>
    </w:p>
    <w:p>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eastAsia="zh-CN"/>
        </w:rPr>
        <w:t>卫生健康</w:t>
      </w:r>
      <w:r>
        <w:rPr>
          <w:rFonts w:hint="eastAsia" w:ascii="仿宋" w:hAnsi="仿宋" w:eastAsia="仿宋" w:cs="仿宋"/>
          <w:sz w:val="32"/>
          <w:szCs w:val="32"/>
        </w:rPr>
        <w:t>支出-行政事业单位医疗-事业单位医疗：</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年</w:t>
      </w:r>
      <w:r>
        <w:rPr>
          <w:rFonts w:hint="eastAsia" w:ascii="仿宋" w:hAnsi="仿宋" w:eastAsia="仿宋" w:cs="仿宋"/>
          <w:sz w:val="32"/>
          <w:szCs w:val="32"/>
        </w:rPr>
        <w:t>预算数为</w:t>
      </w:r>
      <w:r>
        <w:rPr>
          <w:rFonts w:hint="eastAsia" w:ascii="仿宋" w:hAnsi="仿宋" w:eastAsia="仿宋" w:cs="仿宋"/>
          <w:sz w:val="32"/>
          <w:szCs w:val="32"/>
          <w:lang w:val="en-US" w:eastAsia="zh-CN"/>
        </w:rPr>
        <w:t>12.85</w:t>
      </w:r>
      <w:r>
        <w:rPr>
          <w:rFonts w:hint="eastAsia" w:ascii="仿宋" w:hAnsi="仿宋" w:eastAsia="仿宋" w:cs="仿宋"/>
          <w:sz w:val="32"/>
          <w:szCs w:val="32"/>
        </w:rPr>
        <w:t>万元，主要用于</w:t>
      </w:r>
      <w:r>
        <w:rPr>
          <w:rFonts w:hint="eastAsia" w:ascii="仿宋" w:hAnsi="仿宋" w:eastAsia="仿宋" w:cs="仿宋"/>
          <w:sz w:val="32"/>
          <w:szCs w:val="32"/>
          <w:lang w:eastAsia="zh-CN"/>
        </w:rPr>
        <w:t>财政局下属事业单位</w:t>
      </w:r>
      <w:r>
        <w:rPr>
          <w:rFonts w:hint="eastAsia" w:ascii="仿宋" w:hAnsi="仿宋" w:eastAsia="仿宋" w:cs="仿宋"/>
          <w:sz w:val="32"/>
          <w:szCs w:val="32"/>
        </w:rPr>
        <w:t>职工基本医疗保险费用。</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 w:hAnsi="仿宋" w:eastAsia="仿宋" w:cs="仿宋"/>
          <w:sz w:val="32"/>
          <w:szCs w:val="32"/>
        </w:rPr>
        <w:t>、住房保障支出-住房改革支出-住房公积金：20</w:t>
      </w:r>
      <w:r>
        <w:rPr>
          <w:rFonts w:hint="eastAsia" w:ascii="仿宋" w:hAnsi="仿宋" w:eastAsia="仿宋" w:cs="仿宋"/>
          <w:sz w:val="32"/>
          <w:szCs w:val="32"/>
          <w:lang w:val="en-US" w:eastAsia="zh-CN"/>
        </w:rPr>
        <w:t>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60.92</w:t>
      </w:r>
      <w:r>
        <w:rPr>
          <w:rFonts w:hint="eastAsia" w:ascii="仿宋" w:hAnsi="仿宋" w:eastAsia="仿宋" w:cs="仿宋"/>
          <w:sz w:val="32"/>
          <w:szCs w:val="32"/>
        </w:rPr>
        <w:t>万元，主要用于机关及下属事业单位按照规定标准为职工缴纳住房公积金等支出。　</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16、科学技术支出-其他科学技术支出-其他科学技术支出：</w:t>
      </w:r>
      <w:r>
        <w:rPr>
          <w:rFonts w:hint="eastAsia" w:ascii="仿宋" w:hAnsi="仿宋" w:eastAsia="仿宋" w:cs="仿宋"/>
          <w:sz w:val="32"/>
          <w:szCs w:val="32"/>
        </w:rPr>
        <w:t>20</w:t>
      </w:r>
      <w:r>
        <w:rPr>
          <w:rFonts w:hint="eastAsia" w:ascii="仿宋" w:hAnsi="仿宋" w:eastAsia="仿宋" w:cs="仿宋"/>
          <w:sz w:val="32"/>
          <w:szCs w:val="32"/>
          <w:lang w:val="en-US" w:eastAsia="zh-CN"/>
        </w:rPr>
        <w:t>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323</w:t>
      </w:r>
      <w:r>
        <w:rPr>
          <w:rFonts w:hint="eastAsia" w:ascii="仿宋" w:hAnsi="仿宋" w:eastAsia="仿宋" w:cs="仿宋"/>
          <w:sz w:val="32"/>
          <w:szCs w:val="32"/>
        </w:rPr>
        <w:t>万元，主要用于</w:t>
      </w:r>
      <w:r>
        <w:rPr>
          <w:rFonts w:hint="eastAsia" w:ascii="仿宋_GB2312" w:hAnsi="仿宋_GB2312" w:eastAsia="仿宋_GB2312" w:cs="Times New Roman"/>
          <w:kern w:val="2"/>
          <w:sz w:val="32"/>
          <w:szCs w:val="32"/>
          <w:lang w:val="en-US" w:eastAsia="zh-CN" w:bidi="ar-SA"/>
        </w:rPr>
        <w:t>区级OA平台维护项目支出。</w:t>
      </w:r>
      <w:r>
        <w:rPr>
          <w:rFonts w:hint="eastAsia" w:ascii="仿宋" w:hAnsi="仿宋" w:eastAsia="仿宋" w:cs="仿宋"/>
          <w:sz w:val="32"/>
          <w:szCs w:val="32"/>
        </w:rPr>
        <w:t>　</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六、一般公共预算基本支出情况说明</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财政局202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lang w:eastAsia="zh-CN"/>
        </w:rPr>
        <w:t>年</w:t>
      </w:r>
      <w:r>
        <w:rPr>
          <w:rFonts w:hint="eastAsia" w:ascii="仿宋_GB2312" w:hAnsi="仿宋_GB2312" w:eastAsia="仿宋_GB2312"/>
          <w:sz w:val="32"/>
          <w:szCs w:val="32"/>
        </w:rPr>
        <w:t>一般公共预算基本支出</w:t>
      </w:r>
      <w:r>
        <w:rPr>
          <w:rFonts w:hint="eastAsia" w:ascii="仿宋_GB2312" w:hAnsi="仿宋_GB2312" w:eastAsia="仿宋_GB2312"/>
          <w:sz w:val="32"/>
          <w:szCs w:val="32"/>
          <w:lang w:val="en-US" w:eastAsia="zh-CN"/>
        </w:rPr>
        <w:t>908.32</w:t>
      </w:r>
      <w:r>
        <w:rPr>
          <w:rFonts w:hint="eastAsia" w:ascii="仿宋_GB2312" w:hAnsi="仿宋_GB2312" w:eastAsia="仿宋_GB2312"/>
          <w:sz w:val="32"/>
          <w:szCs w:val="32"/>
        </w:rPr>
        <w:t>万元，其中：</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人员经费</w:t>
      </w:r>
      <w:r>
        <w:rPr>
          <w:rFonts w:hint="eastAsia" w:ascii="仿宋_GB2312" w:hAnsi="仿宋_GB2312" w:eastAsia="仿宋_GB2312"/>
          <w:sz w:val="32"/>
          <w:szCs w:val="32"/>
          <w:lang w:val="en-US" w:eastAsia="zh-CN"/>
        </w:rPr>
        <w:t>781.57</w:t>
      </w:r>
      <w:r>
        <w:rPr>
          <w:rFonts w:hint="eastAsia" w:ascii="仿宋_GB2312" w:hAnsi="仿宋_GB2312" w:eastAsia="仿宋_GB2312"/>
          <w:sz w:val="32"/>
          <w:szCs w:val="32"/>
        </w:rPr>
        <w:t>万元，主要包括：基本工资、津贴补贴、奖金、社会保险缴费、绩效工资、机关事业单位基本养老保险缴费、职业年金缴费、</w:t>
      </w:r>
      <w:r>
        <w:rPr>
          <w:rFonts w:hint="eastAsia" w:ascii="仿宋_GB2312" w:hAnsi="仿宋_GB2312" w:eastAsia="仿宋_GB2312"/>
          <w:sz w:val="32"/>
          <w:szCs w:val="32"/>
          <w:lang w:eastAsia="zh-CN"/>
        </w:rPr>
        <w:t>住房公积金、</w:t>
      </w:r>
      <w:r>
        <w:rPr>
          <w:rFonts w:hint="eastAsia" w:ascii="仿宋_GB2312" w:hAnsi="仿宋_GB2312" w:eastAsia="仿宋_GB2312"/>
          <w:sz w:val="32"/>
          <w:szCs w:val="32"/>
        </w:rPr>
        <w:t>其他工资福利支出。</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公用经费</w:t>
      </w:r>
      <w:r>
        <w:rPr>
          <w:rFonts w:hint="eastAsia" w:ascii="仿宋_GB2312" w:hAnsi="仿宋_GB2312" w:eastAsia="仿宋_GB2312"/>
          <w:sz w:val="32"/>
          <w:szCs w:val="32"/>
          <w:lang w:val="en-US" w:eastAsia="zh-CN"/>
        </w:rPr>
        <w:t>126.75</w:t>
      </w:r>
      <w:r>
        <w:rPr>
          <w:rFonts w:hint="eastAsia" w:ascii="仿宋_GB2312" w:hAnsi="仿宋_GB2312" w:eastAsia="仿宋_GB2312"/>
          <w:sz w:val="32"/>
          <w:szCs w:val="32"/>
        </w:rPr>
        <w:t>万元，主要包括：办公费、印刷费、咨询费、手续费、水电费、邮电费、差旅费、维修（护）费、租赁费、会议费、培训费、劳务费、工会经费、福利费、其他交通工具运行维护费、其他商品和服务支出。</w:t>
      </w:r>
    </w:p>
    <w:p>
      <w:pPr>
        <w:keepNext w:val="0"/>
        <w:keepLines w:val="0"/>
        <w:pageBreakBefore w:val="0"/>
        <w:kinsoku/>
        <w:wordWrap/>
        <w:overflowPunct/>
        <w:topLinePunct w:val="0"/>
        <w:autoSpaceDE/>
        <w:autoSpaceDN/>
        <w:bidi w:val="0"/>
        <w:spacing w:beforeAutospacing="0" w:afterAutospacing="0" w:line="560" w:lineRule="exact"/>
        <w:ind w:firstLine="480" w:firstLineChars="150"/>
        <w:textAlignment w:val="auto"/>
        <w:rPr>
          <w:rFonts w:ascii="仿宋_GB2312" w:hAnsi="仿宋_GB2312" w:eastAsia="仿宋_GB2312"/>
          <w:sz w:val="32"/>
          <w:szCs w:val="32"/>
        </w:rPr>
      </w:pPr>
      <w:r>
        <w:rPr>
          <w:rFonts w:hint="eastAsia" w:ascii="黑体" w:hAnsi="黑体" w:eastAsia="黑体" w:cs="黑体"/>
          <w:sz w:val="32"/>
          <w:szCs w:val="32"/>
        </w:rPr>
        <w:t>七、“三公”经费财政拨款预算安排情况说明</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财政局202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lang w:eastAsia="zh-CN"/>
        </w:rPr>
        <w:t>年</w:t>
      </w:r>
      <w:r>
        <w:rPr>
          <w:rFonts w:hint="eastAsia" w:ascii="仿宋_GB2312" w:hAnsi="仿宋_GB2312" w:eastAsia="仿宋_GB2312"/>
          <w:sz w:val="32"/>
          <w:szCs w:val="32"/>
        </w:rPr>
        <w:t>“三公”经费财政拨款预算数</w:t>
      </w:r>
      <w:r>
        <w:rPr>
          <w:rFonts w:hint="eastAsia" w:ascii="仿宋_GB2312" w:hAnsi="仿宋_GB2312" w:eastAsia="仿宋_GB2312"/>
          <w:sz w:val="32"/>
          <w:szCs w:val="32"/>
          <w:lang w:val="en-US" w:eastAsia="zh-CN"/>
        </w:rPr>
        <w:t>1.10</w:t>
      </w:r>
      <w:r>
        <w:rPr>
          <w:rFonts w:hint="eastAsia" w:ascii="仿宋_GB2312" w:hAnsi="仿宋_GB2312" w:eastAsia="仿宋_GB2312"/>
          <w:sz w:val="32"/>
          <w:szCs w:val="32"/>
        </w:rPr>
        <w:t>万元，其中：因公出国（境）经费</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万元，公务接待费</w:t>
      </w:r>
      <w:r>
        <w:rPr>
          <w:rFonts w:hint="eastAsia" w:ascii="仿宋_GB2312" w:hAnsi="仿宋_GB2312" w:eastAsia="仿宋_GB2312"/>
          <w:sz w:val="32"/>
          <w:szCs w:val="32"/>
          <w:lang w:val="en-US" w:eastAsia="zh-CN"/>
        </w:rPr>
        <w:t>1.10</w:t>
      </w:r>
      <w:r>
        <w:rPr>
          <w:rFonts w:hint="eastAsia" w:ascii="仿宋_GB2312" w:hAnsi="仿宋_GB2312" w:eastAsia="仿宋_GB2312"/>
          <w:sz w:val="32"/>
          <w:szCs w:val="32"/>
        </w:rPr>
        <w:t>万元，公务用车购置</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万元，公务用车运行维护费</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（一）因公出国（境）经费与20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年预算持平。</w:t>
      </w:r>
      <w:r>
        <w:rPr>
          <w:rFonts w:hint="eastAsia" w:ascii="仿宋_GB2312" w:hAnsi="仿宋_GB2312" w:eastAsia="仿宋_GB2312"/>
          <w:sz w:val="32"/>
          <w:szCs w:val="32"/>
          <w:lang w:eastAsia="zh-CN"/>
        </w:rPr>
        <w:t>未安排因公出国（境）经费。</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（二）公务接待费较20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年预算下降</w:t>
      </w:r>
      <w:r>
        <w:rPr>
          <w:rFonts w:hint="eastAsia" w:ascii="仿宋_GB2312" w:hAnsi="仿宋_GB2312" w:eastAsia="仿宋_GB2312"/>
          <w:sz w:val="32"/>
          <w:szCs w:val="32"/>
          <w:lang w:val="en-US" w:eastAsia="zh-CN"/>
        </w:rPr>
        <w:t>4.35</w:t>
      </w:r>
      <w:r>
        <w:rPr>
          <w:rFonts w:hint="eastAsia" w:ascii="仿宋_GB2312" w:hAnsi="仿宋_GB2312" w:eastAsia="仿宋_GB2312"/>
          <w:sz w:val="32"/>
          <w:szCs w:val="32"/>
        </w:rPr>
        <w:t>%。主要原因是认真落实中央八项规定</w:t>
      </w:r>
      <w:r>
        <w:rPr>
          <w:rFonts w:hint="eastAsia" w:ascii="仿宋_GB2312" w:hAnsi="仿宋_GB2312" w:eastAsia="仿宋_GB2312"/>
          <w:sz w:val="32"/>
          <w:szCs w:val="32"/>
          <w:lang w:eastAsia="zh-CN"/>
        </w:rPr>
        <w:t>精神</w:t>
      </w:r>
      <w:r>
        <w:rPr>
          <w:rFonts w:hint="eastAsia" w:ascii="仿宋_GB2312" w:hAnsi="仿宋_GB2312" w:eastAsia="仿宋_GB2312"/>
          <w:sz w:val="32"/>
          <w:szCs w:val="32"/>
        </w:rPr>
        <w:t>，严格控制公务接待费支出</w:t>
      </w:r>
      <w:r>
        <w:rPr>
          <w:rFonts w:hint="eastAsia" w:ascii="仿宋_GB2312" w:hAnsi="仿宋_GB2312" w:eastAsia="仿宋_GB2312"/>
          <w:sz w:val="32"/>
          <w:szCs w:val="32"/>
          <w:lang w:eastAsia="zh-CN"/>
        </w:rPr>
        <w:t>，公务接待次数长期控制在低水平</w:t>
      </w:r>
      <w:r>
        <w:rPr>
          <w:rFonts w:hint="eastAsia" w:ascii="仿宋_GB2312" w:hAnsi="仿宋_GB2312" w:eastAsia="仿宋_GB2312"/>
          <w:sz w:val="32"/>
          <w:szCs w:val="32"/>
        </w:rPr>
        <w:t>。</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（三）公务用车购置及运行维护费与20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年预算持平。因2016年实行公务用车制度改革，</w:t>
      </w:r>
      <w:r>
        <w:rPr>
          <w:rFonts w:hint="eastAsia" w:ascii="仿宋_GB2312" w:hAnsi="仿宋_GB2312" w:eastAsia="仿宋_GB2312"/>
          <w:sz w:val="32"/>
          <w:szCs w:val="32"/>
          <w:lang w:eastAsia="zh-CN"/>
        </w:rPr>
        <w:t>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lang w:eastAsia="zh-CN"/>
        </w:rPr>
        <w:t>年</w:t>
      </w:r>
      <w:r>
        <w:rPr>
          <w:rFonts w:hint="eastAsia" w:ascii="仿宋_GB2312" w:hAnsi="仿宋_GB2312" w:eastAsia="仿宋_GB2312"/>
          <w:sz w:val="32"/>
          <w:szCs w:val="32"/>
        </w:rPr>
        <w:t>未安排公务用车运行维护费，与20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年预算持平。</w:t>
      </w:r>
    </w:p>
    <w:p>
      <w:pPr>
        <w:keepNext w:val="0"/>
        <w:keepLines w:val="0"/>
        <w:pageBreakBefore w:val="0"/>
        <w:kinsoku/>
        <w:wordWrap/>
        <w:overflowPunct/>
        <w:topLinePunct w:val="0"/>
        <w:autoSpaceDE/>
        <w:autoSpaceDN/>
        <w:bidi w:val="0"/>
        <w:spacing w:beforeAutospacing="0" w:afterAutospacing="0" w:line="560" w:lineRule="exact"/>
        <w:ind w:firstLine="480" w:firstLineChars="150"/>
        <w:textAlignment w:val="auto"/>
        <w:rPr>
          <w:rFonts w:hint="eastAsia" w:ascii="仿宋_GB2312" w:hAnsi="仿宋_GB2312" w:eastAsia="仿宋_GB2312"/>
          <w:sz w:val="32"/>
          <w:szCs w:val="32"/>
        </w:rPr>
      </w:pPr>
      <w:r>
        <w:rPr>
          <w:rFonts w:hint="eastAsia" w:ascii="黑体" w:hAnsi="黑体" w:eastAsia="黑体" w:cs="黑体"/>
          <w:sz w:val="32"/>
          <w:szCs w:val="32"/>
        </w:rPr>
        <w:t>八、政府性基金预算收支情况说明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2024年未安排政府性基金预算。</w:t>
      </w:r>
    </w:p>
    <w:p>
      <w:pPr>
        <w:keepNext w:val="0"/>
        <w:keepLines w:val="0"/>
        <w:pageBreakBefore w:val="0"/>
        <w:kinsoku/>
        <w:wordWrap/>
        <w:overflowPunct/>
        <w:topLinePunct w:val="0"/>
        <w:autoSpaceDE/>
        <w:autoSpaceDN/>
        <w:bidi w:val="0"/>
        <w:spacing w:beforeAutospacing="0" w:afterAutospacing="0" w:line="560" w:lineRule="exact"/>
        <w:ind w:firstLine="480" w:firstLineChars="150"/>
        <w:textAlignment w:val="auto"/>
        <w:rPr>
          <w:rFonts w:hint="eastAsia" w:ascii="黑体" w:hAnsi="黑体" w:eastAsia="黑体" w:cs="黑体"/>
          <w:sz w:val="32"/>
          <w:szCs w:val="32"/>
        </w:rPr>
      </w:pPr>
      <w:r>
        <w:rPr>
          <w:rFonts w:hint="eastAsia" w:ascii="黑体" w:hAnsi="黑体" w:eastAsia="黑体" w:cs="黑体"/>
          <w:sz w:val="32"/>
          <w:szCs w:val="32"/>
        </w:rPr>
        <w:t>九、国有资本经营预算支出情况说明</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eastAsia="zh-CN"/>
        </w:rPr>
        <w:t>财政局202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lang w:eastAsia="zh-CN"/>
        </w:rPr>
        <w:t>年</w:t>
      </w:r>
      <w:r>
        <w:rPr>
          <w:rFonts w:hint="eastAsia" w:ascii="仿宋_GB2312" w:hAnsi="仿宋_GB2312" w:eastAsia="仿宋_GB2312"/>
          <w:sz w:val="32"/>
          <w:szCs w:val="32"/>
        </w:rPr>
        <w:t>使用国有资本经营预算拨款安排</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万元，其中：基本支出</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万元，项目支出</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黑体" w:hAnsi="黑体" w:eastAsia="黑体" w:cs="黑体"/>
          <w:sz w:val="32"/>
          <w:szCs w:val="32"/>
        </w:rPr>
      </w:pPr>
      <w:r>
        <w:rPr>
          <w:rFonts w:hint="eastAsia" w:ascii="仿宋_GB2312" w:hAnsi="仿宋_GB2312" w:eastAsia="仿宋_GB2312"/>
          <w:sz w:val="32"/>
          <w:szCs w:val="32"/>
        </w:rPr>
        <w:t>　　</w:t>
      </w:r>
      <w:r>
        <w:rPr>
          <w:rFonts w:hint="eastAsia" w:ascii="黑体" w:hAnsi="黑体" w:eastAsia="黑体" w:cs="黑体"/>
          <w:sz w:val="32"/>
          <w:szCs w:val="32"/>
        </w:rPr>
        <w:t>十、其他重要事项的情况说明</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楷体" w:hAnsi="楷体" w:eastAsia="楷体" w:cs="楷体"/>
          <w:sz w:val="32"/>
          <w:szCs w:val="32"/>
        </w:rPr>
      </w:pPr>
      <w:r>
        <w:rPr>
          <w:rFonts w:hint="eastAsia" w:ascii="仿宋_GB2312" w:hAnsi="仿宋_GB2312" w:eastAsia="仿宋_GB2312"/>
          <w:sz w:val="32"/>
          <w:szCs w:val="32"/>
        </w:rPr>
        <w:t>　　</w:t>
      </w:r>
      <w:r>
        <w:rPr>
          <w:rFonts w:hint="eastAsia" w:ascii="楷体" w:hAnsi="楷体" w:eastAsia="楷体" w:cs="楷体"/>
          <w:sz w:val="32"/>
          <w:szCs w:val="32"/>
        </w:rPr>
        <w:t>（一）机关运行经费</w:t>
      </w:r>
    </w:p>
    <w:p>
      <w:pPr>
        <w:keepNext w:val="0"/>
        <w:keepLines w:val="0"/>
        <w:pageBreakBefore w:val="0"/>
        <w:kinsoku/>
        <w:wordWrap/>
        <w:overflowPunct/>
        <w:topLinePunct w:val="0"/>
        <w:autoSpaceDE/>
        <w:autoSpaceDN/>
        <w:bidi w:val="0"/>
        <w:spacing w:beforeAutospacing="0" w:afterAutospacing="0" w:line="560" w:lineRule="exact"/>
        <w:ind w:firstLine="640"/>
        <w:textAlignment w:val="auto"/>
        <w:rPr>
          <w:rFonts w:ascii="仿宋_GB2312" w:hAnsi="仿宋_GB2312" w:eastAsia="仿宋_GB2312"/>
          <w:color w:val="auto"/>
          <w:sz w:val="32"/>
          <w:szCs w:val="32"/>
        </w:rPr>
      </w:pPr>
      <w:r>
        <w:rPr>
          <w:rFonts w:hint="eastAsia" w:ascii="仿宋_GB2312" w:hAnsi="仿宋_GB2312" w:eastAsia="仿宋_GB2312"/>
          <w:color w:val="auto"/>
          <w:sz w:val="32"/>
          <w:szCs w:val="32"/>
          <w:lang w:eastAsia="zh-CN"/>
        </w:rPr>
        <w:t>202</w:t>
      </w:r>
      <w:r>
        <w:rPr>
          <w:rFonts w:hint="eastAsia" w:ascii="仿宋_GB2312" w:hAnsi="仿宋_GB2312" w:eastAsia="仿宋_GB2312"/>
          <w:color w:val="auto"/>
          <w:sz w:val="32"/>
          <w:szCs w:val="32"/>
          <w:lang w:val="en-US" w:eastAsia="zh-CN"/>
        </w:rPr>
        <w:t>4</w:t>
      </w:r>
      <w:r>
        <w:rPr>
          <w:rFonts w:hint="eastAsia" w:ascii="仿宋_GB2312" w:hAnsi="仿宋_GB2312" w:eastAsia="仿宋_GB2312"/>
          <w:color w:val="auto"/>
          <w:sz w:val="32"/>
          <w:szCs w:val="32"/>
          <w:lang w:eastAsia="zh-CN"/>
        </w:rPr>
        <w:t>年</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财政局机关及下属单位</w:t>
      </w:r>
      <w:r>
        <w:rPr>
          <w:rFonts w:hint="eastAsia" w:ascii="仿宋_GB2312" w:hAnsi="仿宋_GB2312" w:eastAsia="仿宋_GB2312"/>
          <w:color w:val="auto"/>
          <w:sz w:val="32"/>
          <w:szCs w:val="32"/>
        </w:rPr>
        <w:t>机关运行经费财政拨款预算为</w:t>
      </w:r>
      <w:r>
        <w:rPr>
          <w:rFonts w:hint="eastAsia" w:ascii="仿宋_GB2312" w:hAnsi="仿宋_GB2312" w:eastAsia="仿宋_GB2312"/>
          <w:color w:val="auto"/>
          <w:sz w:val="32"/>
          <w:szCs w:val="32"/>
          <w:lang w:val="en-US" w:eastAsia="zh-CN"/>
        </w:rPr>
        <w:t>89.90</w:t>
      </w:r>
      <w:r>
        <w:rPr>
          <w:rFonts w:hint="eastAsia" w:ascii="仿宋_GB2312" w:hAnsi="仿宋_GB2312" w:eastAsia="仿宋_GB2312"/>
          <w:color w:val="auto"/>
          <w:sz w:val="32"/>
          <w:szCs w:val="32"/>
        </w:rPr>
        <w:t>万元，比20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年预算</w:t>
      </w:r>
      <w:r>
        <w:rPr>
          <w:rFonts w:hint="eastAsia" w:ascii="仿宋_GB2312" w:hAnsi="仿宋_GB2312" w:eastAsia="仿宋_GB2312"/>
          <w:color w:val="auto"/>
          <w:sz w:val="32"/>
          <w:szCs w:val="32"/>
          <w:lang w:eastAsia="zh-CN"/>
        </w:rPr>
        <w:t>减少</w:t>
      </w:r>
      <w:r>
        <w:rPr>
          <w:rFonts w:hint="eastAsia" w:ascii="仿宋_GB2312" w:hAnsi="仿宋_GB2312" w:eastAsia="仿宋_GB2312"/>
          <w:color w:val="auto"/>
          <w:sz w:val="32"/>
          <w:szCs w:val="32"/>
          <w:lang w:val="en-US" w:eastAsia="zh-CN"/>
        </w:rPr>
        <w:t>2.99</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降低</w:t>
      </w:r>
      <w:r>
        <w:rPr>
          <w:rFonts w:hint="eastAsia" w:ascii="仿宋_GB2312" w:hAnsi="仿宋_GB2312" w:eastAsia="仿宋_GB2312"/>
          <w:color w:val="auto"/>
          <w:sz w:val="32"/>
          <w:szCs w:val="32"/>
          <w:lang w:val="en-US" w:eastAsia="zh-CN"/>
        </w:rPr>
        <w:t>3.22</w:t>
      </w:r>
      <w:r>
        <w:rPr>
          <w:rFonts w:hint="eastAsia" w:ascii="仿宋_GB2312" w:hAnsi="仿宋_GB2312" w:eastAsia="仿宋_GB2312"/>
          <w:color w:val="auto"/>
          <w:sz w:val="32"/>
          <w:szCs w:val="32"/>
        </w:rPr>
        <w:t>%。</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楷体" w:hAnsi="楷体" w:eastAsia="楷体" w:cs="楷体"/>
          <w:sz w:val="32"/>
          <w:szCs w:val="32"/>
        </w:rPr>
      </w:pPr>
      <w:r>
        <w:rPr>
          <w:rFonts w:hint="eastAsia" w:ascii="仿宋_GB2312" w:hAnsi="仿宋_GB2312" w:eastAsia="仿宋_GB2312"/>
          <w:sz w:val="32"/>
          <w:szCs w:val="32"/>
        </w:rPr>
        <w:t>　　</w:t>
      </w:r>
      <w:r>
        <w:rPr>
          <w:rFonts w:hint="eastAsia" w:ascii="楷体" w:hAnsi="楷体" w:eastAsia="楷体" w:cs="楷体"/>
          <w:sz w:val="32"/>
          <w:szCs w:val="32"/>
        </w:rPr>
        <w:t>（二）政府采购情况</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lang w:eastAsia="zh-CN"/>
        </w:rPr>
        <w:t>年</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财政局</w:t>
      </w:r>
      <w:r>
        <w:rPr>
          <w:rFonts w:hint="eastAsia" w:ascii="仿宋_GB2312" w:hAnsi="仿宋_GB2312" w:eastAsia="仿宋_GB2312"/>
          <w:sz w:val="32"/>
          <w:szCs w:val="32"/>
        </w:rPr>
        <w:t>政府采购预算安排</w:t>
      </w:r>
      <w:r>
        <w:rPr>
          <w:rFonts w:hint="eastAsia" w:ascii="仿宋_GB2312" w:hAnsi="仿宋_GB2312" w:eastAsia="仿宋_GB2312"/>
          <w:sz w:val="32"/>
          <w:szCs w:val="32"/>
          <w:lang w:val="en-US" w:eastAsia="zh-CN"/>
        </w:rPr>
        <w:t>323万元，用于支付区级OA平台运维支出</w:t>
      </w:r>
      <w:r>
        <w:rPr>
          <w:rFonts w:hint="eastAsia" w:ascii="仿宋_GB2312" w:hAnsi="仿宋_GB2312" w:eastAsia="仿宋_GB2312"/>
          <w:sz w:val="32"/>
          <w:szCs w:val="32"/>
        </w:rPr>
        <w:t>。</w:t>
      </w:r>
    </w:p>
    <w:p>
      <w:pPr>
        <w:keepNext w:val="0"/>
        <w:keepLines w:val="0"/>
        <w:pageBreakBefore w:val="0"/>
        <w:kinsoku/>
        <w:wordWrap/>
        <w:overflowPunct/>
        <w:topLinePunct w:val="0"/>
        <w:autoSpaceDE/>
        <w:autoSpaceDN/>
        <w:bidi w:val="0"/>
        <w:spacing w:beforeAutospacing="0" w:afterAutospacing="0" w:line="560" w:lineRule="exact"/>
        <w:textAlignment w:val="auto"/>
        <w:rPr>
          <w:rFonts w:hint="eastAsia" w:ascii="楷体" w:hAnsi="楷体" w:eastAsia="楷体" w:cs="楷体"/>
          <w:sz w:val="32"/>
          <w:szCs w:val="32"/>
        </w:rPr>
      </w:pPr>
      <w:r>
        <w:rPr>
          <w:rFonts w:hint="eastAsia" w:ascii="仿宋_GB2312" w:hAnsi="仿宋_GB2312" w:eastAsia="仿宋_GB2312"/>
          <w:sz w:val="32"/>
          <w:szCs w:val="32"/>
        </w:rPr>
        <w:t>　　</w:t>
      </w:r>
      <w:r>
        <w:rPr>
          <w:rFonts w:hint="eastAsia" w:ascii="楷体" w:hAnsi="楷体" w:eastAsia="楷体" w:cs="楷体"/>
          <w:sz w:val="32"/>
          <w:szCs w:val="32"/>
        </w:rPr>
        <w:t>（三）国有资产占有使用情况</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截至20</w:t>
      </w:r>
      <w:r>
        <w:rPr>
          <w:rFonts w:hint="eastAsia" w:ascii="仿宋_GB2312" w:hAnsi="仿宋_GB2312" w:eastAsia="仿宋_GB2312"/>
          <w:color w:val="auto"/>
          <w:sz w:val="32"/>
          <w:szCs w:val="32"/>
          <w:lang w:val="en-US" w:eastAsia="zh-CN"/>
        </w:rPr>
        <w:t>23</w:t>
      </w:r>
      <w:r>
        <w:rPr>
          <w:rFonts w:hint="eastAsia" w:ascii="仿宋_GB2312" w:hAnsi="仿宋_GB2312" w:eastAsia="仿宋_GB2312"/>
          <w:color w:val="auto"/>
          <w:sz w:val="32"/>
          <w:szCs w:val="32"/>
        </w:rPr>
        <w:t>年底，</w:t>
      </w:r>
      <w:r>
        <w:rPr>
          <w:rFonts w:hint="eastAsia" w:ascii="仿宋_GB2312" w:hAnsi="仿宋_GB2312" w:eastAsia="仿宋_GB2312"/>
          <w:color w:val="auto"/>
          <w:sz w:val="32"/>
          <w:szCs w:val="32"/>
          <w:lang w:eastAsia="zh-CN"/>
        </w:rPr>
        <w:t>财政局</w:t>
      </w:r>
      <w:r>
        <w:rPr>
          <w:rFonts w:hint="eastAsia" w:ascii="仿宋_GB2312" w:hAnsi="仿宋_GB2312" w:eastAsia="仿宋_GB2312"/>
          <w:color w:val="auto"/>
          <w:sz w:val="32"/>
          <w:szCs w:val="32"/>
        </w:rPr>
        <w:t>所属各预算单位共有固定资产总额</w:t>
      </w:r>
      <w:r>
        <w:rPr>
          <w:rFonts w:hint="eastAsia" w:ascii="仿宋_GB2312" w:hAnsi="仿宋_GB2312" w:eastAsia="仿宋_GB2312"/>
          <w:color w:val="auto"/>
          <w:sz w:val="32"/>
          <w:szCs w:val="32"/>
          <w:lang w:val="en-US" w:eastAsia="zh-CN"/>
        </w:rPr>
        <w:t>198.81</w:t>
      </w:r>
      <w:r>
        <w:rPr>
          <w:rFonts w:hint="eastAsia" w:ascii="仿宋_GB2312" w:hAnsi="仿宋_GB2312" w:eastAsia="仿宋_GB2312"/>
          <w:color w:val="auto"/>
          <w:sz w:val="32"/>
          <w:szCs w:val="32"/>
        </w:rPr>
        <w:t>万元，其中公务用车</w:t>
      </w:r>
      <w:r>
        <w:rPr>
          <w:rFonts w:hint="eastAsia" w:ascii="仿宋_GB2312" w:hAnsi="仿宋_GB2312" w:eastAsia="仿宋_GB2312"/>
          <w:color w:val="auto"/>
          <w:sz w:val="32"/>
          <w:szCs w:val="32"/>
          <w:lang w:val="en-US" w:eastAsia="zh-CN"/>
        </w:rPr>
        <w:t>0</w:t>
      </w:r>
      <w:r>
        <w:rPr>
          <w:rFonts w:hint="eastAsia" w:ascii="仿宋_GB2312" w:hAnsi="仿宋_GB2312" w:eastAsia="仿宋_GB2312"/>
          <w:color w:val="auto"/>
          <w:sz w:val="32"/>
          <w:szCs w:val="32"/>
        </w:rPr>
        <w:t>辆。其中</w:t>
      </w:r>
      <w:r>
        <w:rPr>
          <w:rFonts w:hint="eastAsia" w:ascii="仿宋_GB2312" w:hAnsi="仿宋_GB2312" w:eastAsia="仿宋_GB2312"/>
          <w:color w:val="auto"/>
          <w:sz w:val="32"/>
          <w:szCs w:val="32"/>
          <w:lang w:val="en-US" w:eastAsia="zh-CN"/>
        </w:rPr>
        <w:t>，通用设备143.20万元，专用设备3.69万元，家具、用具等51.92万元</w:t>
      </w:r>
      <w:r>
        <w:rPr>
          <w:rFonts w:hint="eastAsia" w:ascii="仿宋_GB2312" w:hAnsi="仿宋_GB2312" w:eastAsia="仿宋_GB2312"/>
          <w:color w:val="auto"/>
          <w:sz w:val="32"/>
          <w:szCs w:val="32"/>
        </w:rPr>
        <w:t>。</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lang w:eastAsia="zh-CN"/>
        </w:rPr>
        <w:t>年</w:t>
      </w:r>
      <w:r>
        <w:rPr>
          <w:rFonts w:hint="eastAsia" w:ascii="仿宋_GB2312" w:hAnsi="仿宋_GB2312" w:eastAsia="仿宋_GB2312"/>
          <w:sz w:val="32"/>
          <w:szCs w:val="32"/>
        </w:rPr>
        <w:t>部门预算未安排购置车辆及单位价值200万元以上大型设备。</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 w:hAnsi="楷体" w:eastAsia="楷体" w:cs="楷体"/>
          <w:sz w:val="32"/>
          <w:szCs w:val="32"/>
        </w:rPr>
        <w:t>（四）绩效目标设置情况</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lang w:eastAsia="zh-CN"/>
        </w:rPr>
        <w:t>年财政局</w:t>
      </w:r>
      <w:r>
        <w:rPr>
          <w:rFonts w:hint="eastAsia" w:ascii="仿宋_GB2312" w:hAnsi="仿宋_GB2312" w:eastAsia="仿宋_GB2312"/>
          <w:sz w:val="32"/>
          <w:szCs w:val="32"/>
        </w:rPr>
        <w:t>部门通用项目和专用项目均按要求实行绩效目标管理，涉及一般公共预算当年拨款</w:t>
      </w:r>
      <w:r>
        <w:rPr>
          <w:rFonts w:hint="eastAsia" w:ascii="仿宋_GB2312" w:hAnsi="仿宋_GB2312" w:eastAsia="仿宋_GB2312"/>
          <w:sz w:val="32"/>
          <w:szCs w:val="32"/>
          <w:lang w:val="en-US" w:eastAsia="zh-CN"/>
        </w:rPr>
        <w:t>818</w:t>
      </w:r>
      <w:r>
        <w:rPr>
          <w:rFonts w:hint="eastAsia" w:ascii="仿宋_GB2312" w:hAnsi="仿宋_GB2312" w:eastAsia="仿宋_GB2312"/>
          <w:sz w:val="32"/>
          <w:szCs w:val="32"/>
        </w:rPr>
        <w:t>万元。</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、名词解释</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（一）一般公共预算拨款收入：指区级财政当年拨付的资金。</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（二）上年结转：指以前年度尚未完成、结转到本年仍按原规定用途继续使用的资金。</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（三）基本支出：指为保障机构正常运转、完成日常工作任务所必需的人员经费和日常公用经费。</w:t>
      </w:r>
    </w:p>
    <w:p>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（四）项目支出：指在基本支出之外，为完成特定的行政工作任务或事业发展目标所发生的支出。</w:t>
      </w:r>
    </w:p>
    <w:p>
      <w:pPr>
        <w:keepNext w:val="0"/>
        <w:keepLines w:val="0"/>
        <w:pageBreakBefore w:val="0"/>
        <w:kinsoku/>
        <w:wordWrap/>
        <w:overflowPunct/>
        <w:topLinePunct w:val="0"/>
        <w:autoSpaceDE/>
        <w:autoSpaceDN/>
        <w:bidi w:val="0"/>
        <w:spacing w:beforeAutospacing="0" w:afterAutospacing="0"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kinsoku/>
        <w:wordWrap/>
        <w:overflowPunct/>
        <w:topLinePunct w:val="0"/>
        <w:autoSpaceDE/>
        <w:autoSpaceDN/>
        <w:bidi w:val="0"/>
        <w:spacing w:beforeAutospacing="0" w:afterAutospacing="0" w:line="560" w:lineRule="exact"/>
        <w:ind w:firstLine="645"/>
        <w:textAlignment w:val="auto"/>
        <w:rPr>
          <w:rFonts w:ascii="仿宋_GB2312" w:hAnsi="仿宋_GB2312" w:eastAsia="仿宋_GB2312"/>
          <w:sz w:val="32"/>
          <w:szCs w:val="32"/>
        </w:rPr>
      </w:pPr>
      <w:r>
        <w:rPr>
          <w:rFonts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eastAsia" w:ascii="仿宋_GB2312" w:hAnsi="仿宋_GB2312" w:eastAsia="仿宋_GB2312"/>
          <w:sz w:val="32"/>
          <w:szCs w:val="32"/>
        </w:rPr>
      </w:pPr>
      <w:r>
        <w:rPr>
          <w:rFonts w:hint="eastAsia" w:ascii="仿宋_GB2312" w:hAnsi="仿宋_GB2312" w:eastAsia="仿宋_GB2312"/>
          <w:sz w:val="32"/>
          <w:szCs w:val="32"/>
        </w:rPr>
        <w:t>附件：</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 xml:space="preserve"> 罗江区</w:t>
      </w:r>
      <w:r>
        <w:rPr>
          <w:rFonts w:hint="eastAsia" w:ascii="仿宋_GB2312" w:hAnsi="仿宋_GB2312" w:eastAsia="仿宋_GB2312"/>
          <w:sz w:val="32"/>
          <w:szCs w:val="32"/>
          <w:lang w:eastAsia="zh-CN"/>
        </w:rPr>
        <w:t>财政局</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（见附件目录）</w:t>
      </w: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914" w:leftChars="132" w:hanging="1280" w:hangingChars="4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 xml:space="preserve">      2.部门整体支出绩效目标公开表</w:t>
      </w:r>
    </w:p>
    <w:p>
      <w:pPr>
        <w:keepNext w:val="0"/>
        <w:keepLines w:val="0"/>
        <w:pageBreakBefore w:val="0"/>
        <w:widowControl w:val="0"/>
        <w:kinsoku/>
        <w:wordWrap/>
        <w:overflowPunct/>
        <w:topLinePunct w:val="0"/>
        <w:autoSpaceDE/>
        <w:autoSpaceDN/>
        <w:bidi w:val="0"/>
        <w:adjustRightInd/>
        <w:snapToGrid/>
        <w:spacing w:line="560" w:lineRule="exact"/>
        <w:ind w:left="1904" w:leftChars="330" w:hanging="320" w:hangingChars="100"/>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3.部门预算项目支出绩效目标公开表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sz w:val="32"/>
          <w:szCs w:val="32"/>
        </w:rPr>
      </w:pPr>
    </w:p>
    <w:p>
      <w:pPr>
        <w:pStyle w:val="2"/>
        <w:rPr>
          <w:rFonts w:hint="eastAsia" w:ascii="仿宋_GB2312" w:hAnsi="仿宋_GB2312" w:eastAsia="仿宋_GB2312"/>
          <w:sz w:val="32"/>
          <w:szCs w:val="32"/>
        </w:rPr>
      </w:pPr>
    </w:p>
    <w:p>
      <w:pPr>
        <w:rPr>
          <w:rFonts w:hint="eastAsia" w:ascii="仿宋_GB2312" w:hAnsi="仿宋_GB2312" w:eastAsia="仿宋_GB2312"/>
          <w:sz w:val="32"/>
          <w:szCs w:val="32"/>
        </w:rPr>
      </w:pPr>
    </w:p>
    <w:p>
      <w:pPr>
        <w:pStyle w:val="2"/>
        <w:rPr>
          <w:rFonts w:hint="eastAsia" w:ascii="仿宋_GB2312" w:hAnsi="仿宋_GB2312" w:eastAsia="仿宋_GB2312"/>
          <w:sz w:val="32"/>
          <w:szCs w:val="32"/>
        </w:rPr>
      </w:pPr>
    </w:p>
    <w:p>
      <w:pPr>
        <w:rPr>
          <w:rFonts w:hint="eastAsia" w:ascii="仿宋_GB2312" w:hAnsi="仿宋_GB2312" w:eastAsia="仿宋_GB2312"/>
          <w:sz w:val="32"/>
          <w:szCs w:val="32"/>
        </w:rPr>
      </w:pP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目录</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部门收支总表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部门收入总表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部门支出总表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财政拨款收支预算总表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财政拨款支出预算表（政府经济分类科目）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一般公共预算支出预算表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一般公共预算基本支出预算表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一般公共预算项目支出预算表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一般公共预算“三公”经费支出预算表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政府性基金支出预算表</w:t>
      </w:r>
    </w:p>
    <w:p>
      <w:pPr>
        <w:keepNext w:val="0"/>
        <w:keepLines w:val="0"/>
        <w:pageBreakBefore w:val="0"/>
        <w:widowControl w:val="0"/>
        <w:numPr>
          <w:ilvl w:val="1"/>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政府性基金预算“三公”经费支出预算表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国有资本经营预算支出预算表</w:t>
      </w:r>
    </w:p>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C0A586-BB4E-49FD-8F89-E266A7F2114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embedRegular r:id="rId2" w:fontKey="{2D46B81C-5EEA-4C70-A826-5DBA271422E4}"/>
  </w:font>
  <w:font w:name="仿宋_GB2312">
    <w:altName w:val="仿宋"/>
    <w:panose1 w:val="00000000000000000000"/>
    <w:charset w:val="86"/>
    <w:family w:val="modern"/>
    <w:pitch w:val="default"/>
    <w:sig w:usb0="00000000" w:usb1="00000000" w:usb2="00000010" w:usb3="00000000" w:csb0="00040000" w:csb1="00000000"/>
    <w:embedRegular r:id="rId3" w:fontKey="{4306CB9B-0898-4467-9395-9607F4523F3B}"/>
  </w:font>
  <w:font w:name="ˎ̥">
    <w:altName w:val="Times New Roman"/>
    <w:panose1 w:val="00000000000000000000"/>
    <w:charset w:val="00"/>
    <w:family w:val="roman"/>
    <w:pitch w:val="default"/>
    <w:sig w:usb0="00000000" w:usb1="00000000" w:usb2="00000000" w:usb3="00000000" w:csb0="00000000" w:csb1="00000000"/>
    <w:embedRegular r:id="rId4" w:fontKey="{75934094-CE15-4D86-A338-FC8645537FB8}"/>
  </w:font>
  <w:font w:name="楷体">
    <w:panose1 w:val="02010609060101010101"/>
    <w:charset w:val="86"/>
    <w:family w:val="auto"/>
    <w:pitch w:val="default"/>
    <w:sig w:usb0="800002BF" w:usb1="38CF7CFA" w:usb2="00000016" w:usb3="00000000" w:csb0="00040001" w:csb1="00000000"/>
    <w:embedRegular r:id="rId5" w:fontKey="{6DBB480C-C895-43B3-9E53-A30FD041E865}"/>
  </w:font>
  <w:font w:name="仿宋">
    <w:panose1 w:val="02010609060101010101"/>
    <w:charset w:val="86"/>
    <w:family w:val="auto"/>
    <w:pitch w:val="default"/>
    <w:sig w:usb0="800002BF" w:usb1="38CF7CFA" w:usb2="00000016" w:usb3="00000000" w:csb0="00040001" w:csb1="00000000"/>
    <w:embedRegular r:id="rId6" w:fontKey="{3DA7339A-F7BB-4550-B7A9-ECAAF12C0B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4878705</wp:posOffset>
              </wp:positionH>
              <wp:positionV relativeFrom="paragraph">
                <wp:posOffset>-10160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4.15pt;margin-top:-0.8pt;height:144pt;width:144pt;mso-position-horizontal-relative:margin;mso-wrap-style:none;z-index:251659264;mso-width-relative:page;mso-height-relative:page;" filled="f" stroked="f" coordsize="21600,21600" o:gfxdata="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h9vK9gAAAAL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202E0015"/>
    <w:multiLevelType w:val="singleLevel"/>
    <w:tmpl w:val="202E0015"/>
    <w:lvl w:ilvl="0" w:tentative="0">
      <w:start w:val="2"/>
      <w:numFmt w:val="chineseCounting"/>
      <w:suff w:val="nothing"/>
      <w:lvlText w:val="（%1）"/>
      <w:lvlJc w:val="left"/>
      <w:rPr>
        <w:rFonts w:hint="eastAsia"/>
      </w:rPr>
    </w:lvl>
  </w:abstractNum>
  <w:abstractNum w:abstractNumId="2">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MjBjNTJlMTdlZmJhOTA4YWFmZmI5ZDJmMmNkZTUifQ=="/>
  </w:docVars>
  <w:rsids>
    <w:rsidRoot w:val="004E4A63"/>
    <w:rsid w:val="00107AF7"/>
    <w:rsid w:val="001A5E61"/>
    <w:rsid w:val="001F59C4"/>
    <w:rsid w:val="00202A4E"/>
    <w:rsid w:val="00245794"/>
    <w:rsid w:val="002D17ED"/>
    <w:rsid w:val="002F6687"/>
    <w:rsid w:val="00325291"/>
    <w:rsid w:val="00336B03"/>
    <w:rsid w:val="00363AC0"/>
    <w:rsid w:val="003B021E"/>
    <w:rsid w:val="00404CF9"/>
    <w:rsid w:val="004B52FA"/>
    <w:rsid w:val="004D53A9"/>
    <w:rsid w:val="004E4A63"/>
    <w:rsid w:val="00504316"/>
    <w:rsid w:val="00563314"/>
    <w:rsid w:val="005A0F05"/>
    <w:rsid w:val="005C088A"/>
    <w:rsid w:val="00640CC1"/>
    <w:rsid w:val="007225E2"/>
    <w:rsid w:val="007365C4"/>
    <w:rsid w:val="007803E6"/>
    <w:rsid w:val="008F70DC"/>
    <w:rsid w:val="009049CB"/>
    <w:rsid w:val="00933755"/>
    <w:rsid w:val="009D554C"/>
    <w:rsid w:val="00A35F1B"/>
    <w:rsid w:val="00A46B69"/>
    <w:rsid w:val="00A5551E"/>
    <w:rsid w:val="00A60A56"/>
    <w:rsid w:val="00BD7C8D"/>
    <w:rsid w:val="00BF39E5"/>
    <w:rsid w:val="00C9544C"/>
    <w:rsid w:val="00C96FDA"/>
    <w:rsid w:val="00CB1033"/>
    <w:rsid w:val="00D14665"/>
    <w:rsid w:val="00DC34F5"/>
    <w:rsid w:val="00E04EC0"/>
    <w:rsid w:val="00ED043F"/>
    <w:rsid w:val="00EE23D3"/>
    <w:rsid w:val="00FD2791"/>
    <w:rsid w:val="00FD2F29"/>
    <w:rsid w:val="01211D68"/>
    <w:rsid w:val="016E2CB1"/>
    <w:rsid w:val="0185617D"/>
    <w:rsid w:val="01931A7A"/>
    <w:rsid w:val="01CE7B1A"/>
    <w:rsid w:val="02296E92"/>
    <w:rsid w:val="022B2C0A"/>
    <w:rsid w:val="02B861A2"/>
    <w:rsid w:val="03252389"/>
    <w:rsid w:val="033847DE"/>
    <w:rsid w:val="035F44C3"/>
    <w:rsid w:val="03953C38"/>
    <w:rsid w:val="03B804CE"/>
    <w:rsid w:val="03ED31C9"/>
    <w:rsid w:val="03EE068E"/>
    <w:rsid w:val="03F51722"/>
    <w:rsid w:val="0414147C"/>
    <w:rsid w:val="04221DEB"/>
    <w:rsid w:val="04703D76"/>
    <w:rsid w:val="048E122E"/>
    <w:rsid w:val="05276DBE"/>
    <w:rsid w:val="05393CFD"/>
    <w:rsid w:val="054E09BE"/>
    <w:rsid w:val="059D2BEA"/>
    <w:rsid w:val="05EC37DD"/>
    <w:rsid w:val="05ED04FF"/>
    <w:rsid w:val="06051BEA"/>
    <w:rsid w:val="061C2C3E"/>
    <w:rsid w:val="062C205B"/>
    <w:rsid w:val="068E658D"/>
    <w:rsid w:val="06935222"/>
    <w:rsid w:val="07283BBC"/>
    <w:rsid w:val="076A6BA3"/>
    <w:rsid w:val="079310E7"/>
    <w:rsid w:val="07950B26"/>
    <w:rsid w:val="07955EF7"/>
    <w:rsid w:val="07E8334B"/>
    <w:rsid w:val="08A260D3"/>
    <w:rsid w:val="08BF5E5A"/>
    <w:rsid w:val="092D54BA"/>
    <w:rsid w:val="09F34C48"/>
    <w:rsid w:val="0A94024D"/>
    <w:rsid w:val="0AB9167E"/>
    <w:rsid w:val="0AD61BE2"/>
    <w:rsid w:val="0B021699"/>
    <w:rsid w:val="0B094194"/>
    <w:rsid w:val="0B0B4542"/>
    <w:rsid w:val="0B2A32AB"/>
    <w:rsid w:val="0B6340A3"/>
    <w:rsid w:val="0BAD0A5E"/>
    <w:rsid w:val="0C1741FF"/>
    <w:rsid w:val="0C272694"/>
    <w:rsid w:val="0C5F2009"/>
    <w:rsid w:val="0C725FD8"/>
    <w:rsid w:val="0C9E57C4"/>
    <w:rsid w:val="0CBC3A4D"/>
    <w:rsid w:val="0CE40A2C"/>
    <w:rsid w:val="0DD64033"/>
    <w:rsid w:val="0E391A33"/>
    <w:rsid w:val="0E3E791A"/>
    <w:rsid w:val="0EDE2DB2"/>
    <w:rsid w:val="0F06043E"/>
    <w:rsid w:val="0F623239"/>
    <w:rsid w:val="0F636DA8"/>
    <w:rsid w:val="0F676AF8"/>
    <w:rsid w:val="0F6A317C"/>
    <w:rsid w:val="10D40911"/>
    <w:rsid w:val="10FE5858"/>
    <w:rsid w:val="117835F1"/>
    <w:rsid w:val="1182036D"/>
    <w:rsid w:val="11B46022"/>
    <w:rsid w:val="11D526E8"/>
    <w:rsid w:val="126E232D"/>
    <w:rsid w:val="12D708DE"/>
    <w:rsid w:val="133F1324"/>
    <w:rsid w:val="13522181"/>
    <w:rsid w:val="138F28CD"/>
    <w:rsid w:val="13F65389"/>
    <w:rsid w:val="143F56F3"/>
    <w:rsid w:val="14B22D17"/>
    <w:rsid w:val="154C590A"/>
    <w:rsid w:val="163B29BB"/>
    <w:rsid w:val="16C95E83"/>
    <w:rsid w:val="170F2E3F"/>
    <w:rsid w:val="1758217D"/>
    <w:rsid w:val="1815203C"/>
    <w:rsid w:val="190B50EC"/>
    <w:rsid w:val="19244AEE"/>
    <w:rsid w:val="19515AF8"/>
    <w:rsid w:val="19B36A5D"/>
    <w:rsid w:val="19CC73AA"/>
    <w:rsid w:val="19DB686C"/>
    <w:rsid w:val="19E70E79"/>
    <w:rsid w:val="1A1119CA"/>
    <w:rsid w:val="1A273346"/>
    <w:rsid w:val="1A840CB2"/>
    <w:rsid w:val="1A8B57AF"/>
    <w:rsid w:val="1B342F46"/>
    <w:rsid w:val="1B6428F0"/>
    <w:rsid w:val="1B7875A3"/>
    <w:rsid w:val="1C2775DA"/>
    <w:rsid w:val="1C8A2D0A"/>
    <w:rsid w:val="1CB80351"/>
    <w:rsid w:val="1CD3752B"/>
    <w:rsid w:val="1CE949A7"/>
    <w:rsid w:val="1D6B08F9"/>
    <w:rsid w:val="1DDD7788"/>
    <w:rsid w:val="1E3A1093"/>
    <w:rsid w:val="1E707ECB"/>
    <w:rsid w:val="1EB35E6D"/>
    <w:rsid w:val="1EB52C70"/>
    <w:rsid w:val="1EE14925"/>
    <w:rsid w:val="1F3B62FE"/>
    <w:rsid w:val="1F423957"/>
    <w:rsid w:val="1FB358DA"/>
    <w:rsid w:val="1FCE268A"/>
    <w:rsid w:val="1FD55B0C"/>
    <w:rsid w:val="1FDB5753"/>
    <w:rsid w:val="205D4142"/>
    <w:rsid w:val="20A63CBF"/>
    <w:rsid w:val="20B87907"/>
    <w:rsid w:val="20BD6CCC"/>
    <w:rsid w:val="21B300CF"/>
    <w:rsid w:val="22030FEF"/>
    <w:rsid w:val="22325497"/>
    <w:rsid w:val="2286666C"/>
    <w:rsid w:val="228B45EF"/>
    <w:rsid w:val="22E63803"/>
    <w:rsid w:val="233D3A3C"/>
    <w:rsid w:val="236A76A9"/>
    <w:rsid w:val="23875B98"/>
    <w:rsid w:val="23C2284B"/>
    <w:rsid w:val="23C42122"/>
    <w:rsid w:val="23D17DCC"/>
    <w:rsid w:val="241753BF"/>
    <w:rsid w:val="242F7EE0"/>
    <w:rsid w:val="243A5F0B"/>
    <w:rsid w:val="243B19B4"/>
    <w:rsid w:val="24417C14"/>
    <w:rsid w:val="246552D8"/>
    <w:rsid w:val="246C6B6F"/>
    <w:rsid w:val="24FB1E7C"/>
    <w:rsid w:val="251F000F"/>
    <w:rsid w:val="254815CB"/>
    <w:rsid w:val="25627E42"/>
    <w:rsid w:val="259132D3"/>
    <w:rsid w:val="25B9678B"/>
    <w:rsid w:val="25C81058"/>
    <w:rsid w:val="26651A88"/>
    <w:rsid w:val="26CC183E"/>
    <w:rsid w:val="26D42336"/>
    <w:rsid w:val="26FA1580"/>
    <w:rsid w:val="27C5250D"/>
    <w:rsid w:val="28101DD7"/>
    <w:rsid w:val="284B290E"/>
    <w:rsid w:val="285F733C"/>
    <w:rsid w:val="28B17E59"/>
    <w:rsid w:val="28E03E9F"/>
    <w:rsid w:val="28EF40E2"/>
    <w:rsid w:val="29331208"/>
    <w:rsid w:val="299C589F"/>
    <w:rsid w:val="29B3451A"/>
    <w:rsid w:val="2A8B1BE9"/>
    <w:rsid w:val="2AA35184"/>
    <w:rsid w:val="2B3967A2"/>
    <w:rsid w:val="2B7253BD"/>
    <w:rsid w:val="2BA54891"/>
    <w:rsid w:val="2C0B560D"/>
    <w:rsid w:val="2C534C4D"/>
    <w:rsid w:val="2C775033"/>
    <w:rsid w:val="2C7766E4"/>
    <w:rsid w:val="2C7F54F0"/>
    <w:rsid w:val="2CBD72B2"/>
    <w:rsid w:val="2CC34095"/>
    <w:rsid w:val="2CCE23BA"/>
    <w:rsid w:val="2CD96F26"/>
    <w:rsid w:val="2CF576E4"/>
    <w:rsid w:val="2D2A5719"/>
    <w:rsid w:val="2D802A42"/>
    <w:rsid w:val="2DE148AA"/>
    <w:rsid w:val="2DF17374"/>
    <w:rsid w:val="2E104F0C"/>
    <w:rsid w:val="2E166CE2"/>
    <w:rsid w:val="2E624648"/>
    <w:rsid w:val="2EB925F3"/>
    <w:rsid w:val="2FC30980"/>
    <w:rsid w:val="2FD44032"/>
    <w:rsid w:val="2FE65981"/>
    <w:rsid w:val="301F5E12"/>
    <w:rsid w:val="302C229C"/>
    <w:rsid w:val="305B72F5"/>
    <w:rsid w:val="309317F7"/>
    <w:rsid w:val="30B538A0"/>
    <w:rsid w:val="31101099"/>
    <w:rsid w:val="31FD6C1F"/>
    <w:rsid w:val="325B4596"/>
    <w:rsid w:val="32F21FA5"/>
    <w:rsid w:val="33616668"/>
    <w:rsid w:val="3367026D"/>
    <w:rsid w:val="33876D23"/>
    <w:rsid w:val="356E2877"/>
    <w:rsid w:val="35E530C9"/>
    <w:rsid w:val="36107446"/>
    <w:rsid w:val="3688054C"/>
    <w:rsid w:val="36C11BC5"/>
    <w:rsid w:val="36F4179E"/>
    <w:rsid w:val="371974ED"/>
    <w:rsid w:val="373E6A0B"/>
    <w:rsid w:val="37405B09"/>
    <w:rsid w:val="3789493A"/>
    <w:rsid w:val="384C6E5B"/>
    <w:rsid w:val="38DF798C"/>
    <w:rsid w:val="38E3444F"/>
    <w:rsid w:val="38F60B75"/>
    <w:rsid w:val="3A440808"/>
    <w:rsid w:val="3A7F6FFD"/>
    <w:rsid w:val="3AA25518"/>
    <w:rsid w:val="3B7E59F1"/>
    <w:rsid w:val="3C5825FA"/>
    <w:rsid w:val="3C655B6F"/>
    <w:rsid w:val="3C957E5E"/>
    <w:rsid w:val="3DA51EE7"/>
    <w:rsid w:val="3DCC41B0"/>
    <w:rsid w:val="3DCE515C"/>
    <w:rsid w:val="3DD86410"/>
    <w:rsid w:val="3E2076F5"/>
    <w:rsid w:val="3E417A52"/>
    <w:rsid w:val="3E827E96"/>
    <w:rsid w:val="3E9F1EEC"/>
    <w:rsid w:val="3EB63280"/>
    <w:rsid w:val="3EE85404"/>
    <w:rsid w:val="3F28649D"/>
    <w:rsid w:val="3F53381A"/>
    <w:rsid w:val="3F573B76"/>
    <w:rsid w:val="3F6E45CF"/>
    <w:rsid w:val="3F9335C1"/>
    <w:rsid w:val="3FF2304E"/>
    <w:rsid w:val="409C1E2F"/>
    <w:rsid w:val="40A62E81"/>
    <w:rsid w:val="41DD7334"/>
    <w:rsid w:val="423409CE"/>
    <w:rsid w:val="42671849"/>
    <w:rsid w:val="42991D01"/>
    <w:rsid w:val="42B926DE"/>
    <w:rsid w:val="42BE0416"/>
    <w:rsid w:val="42BF46CD"/>
    <w:rsid w:val="43675F1F"/>
    <w:rsid w:val="43B60644"/>
    <w:rsid w:val="43C8225C"/>
    <w:rsid w:val="43E50E0A"/>
    <w:rsid w:val="43F32187"/>
    <w:rsid w:val="44154286"/>
    <w:rsid w:val="44871102"/>
    <w:rsid w:val="44BA339E"/>
    <w:rsid w:val="44E1584B"/>
    <w:rsid w:val="44FA7C3F"/>
    <w:rsid w:val="452775CE"/>
    <w:rsid w:val="45380D2D"/>
    <w:rsid w:val="46B824EF"/>
    <w:rsid w:val="47721D0E"/>
    <w:rsid w:val="47826590"/>
    <w:rsid w:val="479355B7"/>
    <w:rsid w:val="47B77A85"/>
    <w:rsid w:val="482A4397"/>
    <w:rsid w:val="482F2C2C"/>
    <w:rsid w:val="48531B40"/>
    <w:rsid w:val="49154C37"/>
    <w:rsid w:val="4974281F"/>
    <w:rsid w:val="49746212"/>
    <w:rsid w:val="49D132FE"/>
    <w:rsid w:val="49EF0C5B"/>
    <w:rsid w:val="4A310918"/>
    <w:rsid w:val="4A3B3AA5"/>
    <w:rsid w:val="4A9E529C"/>
    <w:rsid w:val="4AB42871"/>
    <w:rsid w:val="4ACE5893"/>
    <w:rsid w:val="4AEF3676"/>
    <w:rsid w:val="4B70626E"/>
    <w:rsid w:val="4C1C4F79"/>
    <w:rsid w:val="4C774335"/>
    <w:rsid w:val="4C810B3A"/>
    <w:rsid w:val="4C8E75EA"/>
    <w:rsid w:val="4CDD75CB"/>
    <w:rsid w:val="4D3D691B"/>
    <w:rsid w:val="4DF23BA9"/>
    <w:rsid w:val="4E342FCD"/>
    <w:rsid w:val="4E5D670B"/>
    <w:rsid w:val="4E787D0B"/>
    <w:rsid w:val="4E944C60"/>
    <w:rsid w:val="4E985240"/>
    <w:rsid w:val="4EB55A5D"/>
    <w:rsid w:val="4EF94AC3"/>
    <w:rsid w:val="4F172730"/>
    <w:rsid w:val="4F2E0E0B"/>
    <w:rsid w:val="4FA10DA3"/>
    <w:rsid w:val="50131EB0"/>
    <w:rsid w:val="50777264"/>
    <w:rsid w:val="507F5188"/>
    <w:rsid w:val="51463598"/>
    <w:rsid w:val="521C7446"/>
    <w:rsid w:val="52445A21"/>
    <w:rsid w:val="525508DB"/>
    <w:rsid w:val="52553484"/>
    <w:rsid w:val="52567836"/>
    <w:rsid w:val="53057A4B"/>
    <w:rsid w:val="530A2434"/>
    <w:rsid w:val="53A66155"/>
    <w:rsid w:val="53CF7726"/>
    <w:rsid w:val="53EC3E46"/>
    <w:rsid w:val="55406D91"/>
    <w:rsid w:val="5685677B"/>
    <w:rsid w:val="568C7EC6"/>
    <w:rsid w:val="56DE116E"/>
    <w:rsid w:val="56FE46EC"/>
    <w:rsid w:val="572D7A00"/>
    <w:rsid w:val="573E0EC3"/>
    <w:rsid w:val="57BD4DAE"/>
    <w:rsid w:val="57EA769F"/>
    <w:rsid w:val="57FC6AA9"/>
    <w:rsid w:val="58134E48"/>
    <w:rsid w:val="59072CBB"/>
    <w:rsid w:val="598C3104"/>
    <w:rsid w:val="5A183090"/>
    <w:rsid w:val="5A405BD0"/>
    <w:rsid w:val="5A543D87"/>
    <w:rsid w:val="5A75792E"/>
    <w:rsid w:val="5A9270FC"/>
    <w:rsid w:val="5AD24824"/>
    <w:rsid w:val="5AE83352"/>
    <w:rsid w:val="5B160022"/>
    <w:rsid w:val="5B2C4F48"/>
    <w:rsid w:val="5B793DBB"/>
    <w:rsid w:val="5B7C5DBE"/>
    <w:rsid w:val="5C6C2D3F"/>
    <w:rsid w:val="5CB5727A"/>
    <w:rsid w:val="5CD26612"/>
    <w:rsid w:val="5CFD7E74"/>
    <w:rsid w:val="5D0A0FB8"/>
    <w:rsid w:val="5D5C5DA3"/>
    <w:rsid w:val="5D63730C"/>
    <w:rsid w:val="5EC30111"/>
    <w:rsid w:val="5EC63E26"/>
    <w:rsid w:val="5EE74938"/>
    <w:rsid w:val="5F112EFE"/>
    <w:rsid w:val="5F225970"/>
    <w:rsid w:val="5F590EA4"/>
    <w:rsid w:val="5F5D0D5A"/>
    <w:rsid w:val="5F7B0786"/>
    <w:rsid w:val="5FB40CBE"/>
    <w:rsid w:val="5FBE0C82"/>
    <w:rsid w:val="60D73FC6"/>
    <w:rsid w:val="61001CE1"/>
    <w:rsid w:val="6113168F"/>
    <w:rsid w:val="611F3ADC"/>
    <w:rsid w:val="612647D8"/>
    <w:rsid w:val="617526CF"/>
    <w:rsid w:val="61B03707"/>
    <w:rsid w:val="61D13AD4"/>
    <w:rsid w:val="62453D96"/>
    <w:rsid w:val="62797F9D"/>
    <w:rsid w:val="63221EC2"/>
    <w:rsid w:val="63420DBF"/>
    <w:rsid w:val="63A536DC"/>
    <w:rsid w:val="645F7CFC"/>
    <w:rsid w:val="647629E6"/>
    <w:rsid w:val="6486778A"/>
    <w:rsid w:val="64913F30"/>
    <w:rsid w:val="64952FCF"/>
    <w:rsid w:val="64A47B3C"/>
    <w:rsid w:val="64C00105"/>
    <w:rsid w:val="64FF0534"/>
    <w:rsid w:val="65A1303E"/>
    <w:rsid w:val="65C43C25"/>
    <w:rsid w:val="664D6009"/>
    <w:rsid w:val="66503CA2"/>
    <w:rsid w:val="66D32372"/>
    <w:rsid w:val="676236F6"/>
    <w:rsid w:val="67950295"/>
    <w:rsid w:val="67E67E83"/>
    <w:rsid w:val="681A2D01"/>
    <w:rsid w:val="684730C9"/>
    <w:rsid w:val="68BB5DD7"/>
    <w:rsid w:val="68C3057A"/>
    <w:rsid w:val="69175381"/>
    <w:rsid w:val="69B064E2"/>
    <w:rsid w:val="6A8D4DEE"/>
    <w:rsid w:val="6B012250"/>
    <w:rsid w:val="6B280273"/>
    <w:rsid w:val="6B2E0D56"/>
    <w:rsid w:val="6B864409"/>
    <w:rsid w:val="6BD2519B"/>
    <w:rsid w:val="6BF113ED"/>
    <w:rsid w:val="6D163627"/>
    <w:rsid w:val="6D3A2BEE"/>
    <w:rsid w:val="6D4D4500"/>
    <w:rsid w:val="6DCF2EA8"/>
    <w:rsid w:val="6DF0440F"/>
    <w:rsid w:val="6E276AFF"/>
    <w:rsid w:val="6E4A623E"/>
    <w:rsid w:val="6F203183"/>
    <w:rsid w:val="6F7C117C"/>
    <w:rsid w:val="6F9D54EF"/>
    <w:rsid w:val="6FC8190E"/>
    <w:rsid w:val="6FCD1928"/>
    <w:rsid w:val="6FF04FA3"/>
    <w:rsid w:val="70FA674D"/>
    <w:rsid w:val="71175083"/>
    <w:rsid w:val="71671C7B"/>
    <w:rsid w:val="718F3339"/>
    <w:rsid w:val="721750DD"/>
    <w:rsid w:val="726B48F4"/>
    <w:rsid w:val="729E563A"/>
    <w:rsid w:val="72D43F1C"/>
    <w:rsid w:val="73130C0D"/>
    <w:rsid w:val="73576078"/>
    <w:rsid w:val="73977E65"/>
    <w:rsid w:val="73C53042"/>
    <w:rsid w:val="73DF2604"/>
    <w:rsid w:val="73F4627E"/>
    <w:rsid w:val="7452639A"/>
    <w:rsid w:val="74681C20"/>
    <w:rsid w:val="74834C11"/>
    <w:rsid w:val="74A81AEF"/>
    <w:rsid w:val="756215E3"/>
    <w:rsid w:val="75BA7168"/>
    <w:rsid w:val="75BB7C43"/>
    <w:rsid w:val="762B5777"/>
    <w:rsid w:val="766A2451"/>
    <w:rsid w:val="7709568A"/>
    <w:rsid w:val="770F1406"/>
    <w:rsid w:val="77103EEA"/>
    <w:rsid w:val="77422BFC"/>
    <w:rsid w:val="77536BB7"/>
    <w:rsid w:val="776E39F1"/>
    <w:rsid w:val="77B84C6C"/>
    <w:rsid w:val="77DC7DF3"/>
    <w:rsid w:val="78564BB1"/>
    <w:rsid w:val="78E048F5"/>
    <w:rsid w:val="79836945"/>
    <w:rsid w:val="79A95A77"/>
    <w:rsid w:val="79AE6327"/>
    <w:rsid w:val="79E45504"/>
    <w:rsid w:val="79F1629A"/>
    <w:rsid w:val="7A150154"/>
    <w:rsid w:val="7A5769BE"/>
    <w:rsid w:val="7A8572A2"/>
    <w:rsid w:val="7A990D85"/>
    <w:rsid w:val="7AE61346"/>
    <w:rsid w:val="7BA22BFF"/>
    <w:rsid w:val="7BB93F81"/>
    <w:rsid w:val="7BC3482E"/>
    <w:rsid w:val="7C085D34"/>
    <w:rsid w:val="7C105A5F"/>
    <w:rsid w:val="7C273524"/>
    <w:rsid w:val="7C652DC5"/>
    <w:rsid w:val="7C6E5D4A"/>
    <w:rsid w:val="7CE11BCC"/>
    <w:rsid w:val="7D3923AB"/>
    <w:rsid w:val="7D3D00ED"/>
    <w:rsid w:val="7D513B99"/>
    <w:rsid w:val="7E01736D"/>
    <w:rsid w:val="7E1B205B"/>
    <w:rsid w:val="7E6F2988"/>
    <w:rsid w:val="7F675441"/>
    <w:rsid w:val="7F7D47B2"/>
    <w:rsid w:val="7F801A68"/>
    <w:rsid w:val="7FB26A31"/>
    <w:rsid w:val="7FF05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kern w:val="2"/>
      <w:sz w:val="48"/>
      <w:szCs w:val="24"/>
      <w:lang w:val="en-US" w:eastAsia="zh-CN" w:bidi="ar-SA"/>
    </w:rPr>
  </w:style>
  <w:style w:type="paragraph" w:styleId="4">
    <w:name w:val="heading 2"/>
    <w:basedOn w:val="1"/>
    <w:next w:val="1"/>
    <w:autoRedefine/>
    <w:qFormat/>
    <w:uiPriority w:val="99"/>
    <w:pPr>
      <w:keepNext/>
      <w:keepLines/>
      <w:spacing w:line="360" w:lineRule="auto"/>
      <w:jc w:val="center"/>
      <w:outlineLvl w:val="1"/>
    </w:pPr>
    <w:rPr>
      <w:rFonts w:ascii="Cambria" w:hAnsi="Cambria" w:eastAsia="楷体_GB2312"/>
      <w:sz w:val="32"/>
      <w:szCs w:val="32"/>
    </w:rPr>
  </w:style>
  <w:style w:type="paragraph" w:styleId="5">
    <w:name w:val="heading 4"/>
    <w:basedOn w:val="4"/>
    <w:next w:val="1"/>
    <w:autoRedefine/>
    <w:qFormat/>
    <w:uiPriority w:val="99"/>
    <w:pPr>
      <w:outlineLvl w:val="3"/>
    </w:pPr>
    <w:rPr>
      <w:rFonts w:eastAsia="仿宋_GB2312"/>
      <w:b/>
      <w:bCs/>
      <w:sz w:val="28"/>
      <w:szCs w:val="2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99"/>
    <w:pPr>
      <w:spacing w:after="0"/>
      <w:ind w:firstLine="420" w:firstLineChars="200"/>
    </w:pPr>
    <w:rPr>
      <w:rFonts w:ascii="Times New Roman" w:hAnsi="Times New Roman"/>
    </w:rPr>
  </w:style>
  <w:style w:type="paragraph" w:styleId="3">
    <w:name w:val="Body Text Indent"/>
    <w:basedOn w:val="1"/>
    <w:next w:val="1"/>
    <w:autoRedefine/>
    <w:unhideWhenUsed/>
    <w:qFormat/>
    <w:uiPriority w:val="99"/>
    <w:pPr>
      <w:spacing w:after="120"/>
      <w:ind w:left="420" w:leftChars="200"/>
    </w:pPr>
  </w:style>
  <w:style w:type="paragraph" w:styleId="6">
    <w:name w:val="Body Text"/>
    <w:basedOn w:val="1"/>
    <w:link w:val="16"/>
    <w:autoRedefine/>
    <w:qFormat/>
    <w:uiPriority w:val="0"/>
    <w:pPr>
      <w:spacing w:before="93" w:beforeLines="30"/>
    </w:pPr>
    <w:rPr>
      <w:rFonts w:ascii="仿宋_GB2312" w:eastAsia="仿宋_GB2312"/>
      <w:sz w:val="30"/>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12">
    <w:name w:val="Emphasis"/>
    <w:basedOn w:val="11"/>
    <w:autoRedefine/>
    <w:qFormat/>
    <w:uiPriority w:val="20"/>
  </w:style>
  <w:style w:type="paragraph" w:styleId="13">
    <w:name w:val="List Paragraph"/>
    <w:basedOn w:val="1"/>
    <w:qFormat/>
    <w:uiPriority w:val="34"/>
    <w:pPr>
      <w:ind w:firstLine="420" w:firstLineChars="200"/>
    </w:pPr>
  </w:style>
  <w:style w:type="character" w:customStyle="1" w:styleId="14">
    <w:name w:val="页眉 Char"/>
    <w:basedOn w:val="11"/>
    <w:link w:val="8"/>
    <w:qFormat/>
    <w:uiPriority w:val="99"/>
    <w:rPr>
      <w:rFonts w:ascii="宋体" w:hAnsi="Times New Roman" w:eastAsia="宋体" w:cs="Times New Roman"/>
      <w:sz w:val="18"/>
      <w:szCs w:val="18"/>
    </w:rPr>
  </w:style>
  <w:style w:type="character" w:customStyle="1" w:styleId="15">
    <w:name w:val="页脚 Char"/>
    <w:basedOn w:val="11"/>
    <w:link w:val="7"/>
    <w:autoRedefine/>
    <w:qFormat/>
    <w:uiPriority w:val="99"/>
    <w:rPr>
      <w:rFonts w:ascii="宋体" w:hAnsi="Times New Roman" w:eastAsia="宋体" w:cs="Times New Roman"/>
      <w:sz w:val="18"/>
      <w:szCs w:val="18"/>
    </w:rPr>
  </w:style>
  <w:style w:type="character" w:customStyle="1" w:styleId="16">
    <w:name w:val="正文文本 Char"/>
    <w:basedOn w:val="11"/>
    <w:link w:val="6"/>
    <w:autoRedefine/>
    <w:qFormat/>
    <w:uiPriority w:val="0"/>
    <w:rPr>
      <w:rFonts w:ascii="仿宋_GB2312" w:hAnsi="Times New Roman" w:eastAsia="仿宋_GB2312" w:cs="Times New Roman"/>
      <w:kern w:val="2"/>
      <w:sz w:val="30"/>
      <w:szCs w:val="24"/>
    </w:rPr>
  </w:style>
  <w:style w:type="character" w:customStyle="1" w:styleId="17">
    <w:name w:val="ca-2"/>
    <w:basedOn w:val="11"/>
    <w:autoRedefine/>
    <w:qFormat/>
    <w:uiPriority w:val="99"/>
    <w:rPr>
      <w:rFonts w:cs="Times New Roman"/>
    </w:rPr>
  </w:style>
  <w:style w:type="paragraph" w:customStyle="1" w:styleId="18">
    <w:name w:val="pa-3"/>
    <w:basedOn w:val="1"/>
    <w:autoRedefine/>
    <w:qFormat/>
    <w:uiPriority w:val="99"/>
    <w:pPr>
      <w:widowControl/>
      <w:spacing w:before="150" w:after="150"/>
      <w:jc w:val="left"/>
    </w:pPr>
    <w:rPr>
      <w:rFonts w:hAnsi="宋体" w:cs="宋体"/>
      <w:kern w:val="0"/>
      <w:sz w:val="24"/>
    </w:rPr>
  </w:style>
  <w:style w:type="paragraph" w:customStyle="1" w:styleId="19">
    <w:name w:val="WPSOffice手动目录 1"/>
    <w:autoRedefine/>
    <w:qFormat/>
    <w:uiPriority w:val="0"/>
    <w:pPr>
      <w:ind w:leftChars="0"/>
    </w:pPr>
    <w:rPr>
      <w:rFonts w:ascii="Calibri" w:hAnsi="Calibri" w:eastAsia="宋体" w:cs="Times New Roman"/>
      <w:sz w:val="20"/>
      <w:szCs w:val="20"/>
    </w:rPr>
  </w:style>
  <w:style w:type="paragraph" w:customStyle="1" w:styleId="20">
    <w:name w:val="WPSOffice手动目录 2"/>
    <w:autoRedefine/>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16</Pages>
  <Words>7058</Words>
  <Characters>7512</Characters>
  <Lines>17</Lines>
  <Paragraphs>4</Paragraphs>
  <TotalTime>20</TotalTime>
  <ScaleCrop>false</ScaleCrop>
  <LinksUpToDate>false</LinksUpToDate>
  <CharactersWithSpaces>7691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Administrator</cp:lastModifiedBy>
  <dcterms:modified xsi:type="dcterms:W3CDTF">2024-02-18T03:42:39Z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A09E6825BEB34043B589FDB98E286EA0</vt:lpwstr>
  </property>
</Properties>
</file>