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  <w:r>
        <w:rPr>
          <w:rStyle w:val="7"/>
          <w:rFonts w:hint="eastAsia" w:ascii="ˎ̥" w:hAnsi="ˎ̥"/>
          <w:b/>
          <w:bCs/>
          <w:color w:val="000000"/>
          <w:sz w:val="41"/>
          <w:szCs w:val="41"/>
        </w:rPr>
        <w:t>德阳市罗江区司法局</w:t>
      </w:r>
      <w:r>
        <w:rPr>
          <w:rStyle w:val="7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  <w:t>2024</w:t>
      </w:r>
      <w:r>
        <w:rPr>
          <w:rStyle w:val="7"/>
          <w:rFonts w:ascii="ˎ̥" w:hAnsi="ˎ̥"/>
          <w:b/>
          <w:bCs/>
          <w:color w:val="000000"/>
          <w:sz w:val="41"/>
          <w:szCs w:val="41"/>
        </w:rPr>
        <w:t>年部门预算编制说明</w:t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"_Toc28770"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一、基本职能及主要工作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"_Toc21884"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（一）机构设置及主要职责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"_Toc818"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（二）20</w:t>
      </w:r>
      <w:r>
        <w:rPr>
          <w:rFonts w:hint="eastAsia" w:ascii="楷体_GB2312" w:hAnsi="楷体_GB2312" w:eastAsia="楷体_GB2312" w:cs="楷体_GB2312"/>
          <w:bCs/>
          <w:sz w:val="28"/>
          <w:szCs w:val="48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年重点工作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"_Toc27442"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二、部门预算单位构成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"_Toc1848"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三、收支预算增减变化情况说明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"_Toc193"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（一）收入预算情况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"_Toc3651"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（二）支出预算情况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"_Toc3738"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四、财政拨款收支预算情况说明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"_Toc3440"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五、一般公共预算当年拨款情况说明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"_Toc25098"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（一）一般公共预算当年拨款规模变化情况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"_Toc16092" </w:instrText>
      </w:r>
      <w:r>
        <w:fldChar w:fldCharType="separate"/>
      </w:r>
      <w:r>
        <w:rPr>
          <w:rFonts w:hint="eastAsia" w:ascii="仿宋_GB2312" w:hAnsi="仿宋_GB2312" w:eastAsia="仿宋_GB2312"/>
          <w:bCs/>
          <w:sz w:val="28"/>
          <w:szCs w:val="48"/>
        </w:rPr>
        <w:t>（二）一般公共预算当年拨款结构情况(按照功能科目类写)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"_Toc28341"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（三）一般公共预算当年拨款具体使用情况（按功能科目类款项写）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"_Toc18858"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六、一般公共预算基本支出情况说明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"_Toc256"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七、“三公”经费财政拨款预算安排情况说明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"_Toc29771"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八、其他重要事项的情况说明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rFonts w:hint="eastAsia" w:ascii="ˎ̥" w:hAnsi="ˎ̥"/>
          <w:bCs/>
          <w:color w:val="000000"/>
          <w:sz w:val="28"/>
          <w:szCs w:val="5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fldChar w:fldCharType="begin"/>
      </w:r>
      <w:r>
        <w:instrText xml:space="preserve"> HYPERLINK \l "_Toc11525"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（一）机关运行经费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"_Toc15299"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（二）政府采购情况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"_Toc18679"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（三）国有资产占有使用情况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"_Toc2176"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（四）绩效目标设置情况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"_Toc6693" </w:instrText>
      </w:r>
      <w:r>
        <w:fldChar w:fldCharType="separate"/>
      </w:r>
      <w:r>
        <w:rPr>
          <w:rFonts w:hint="eastAsia" w:ascii="仿宋_GB2312" w:hAnsi="仿宋_GB2312" w:eastAsia="仿宋_GB2312"/>
          <w:b/>
          <w:sz w:val="28"/>
          <w:szCs w:val="48"/>
        </w:rPr>
        <w:t>九、名词解释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一、基本职能及主要工作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　　（一）司法局机构设置及主要职责。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贯彻执行国家、省、市关于司法行政工作的方针、政策和法律、法规、规章，编制司法行政工作中长期规划、年度工作计划并组织实施。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2.拟订全区法制宣传教育、普法和依法治理规划并组织实施，指导、监督、检查全区普法及依法治理工作。 </w:t>
      </w:r>
      <w:r>
        <w:rPr>
          <w:rFonts w:hint="eastAsia" w:hAnsi="宋体"/>
          <w:sz w:val="32"/>
          <w:szCs w:val="32"/>
        </w:rPr>
        <w:br w:type="textWrapping"/>
      </w:r>
      <w:r>
        <w:rPr>
          <w:rFonts w:hint="eastAsia" w:hAnsi="宋体"/>
          <w:sz w:val="32"/>
          <w:szCs w:val="32"/>
        </w:rPr>
        <w:t xml:space="preserve">    3.承担监督管理公证、律师、法律援助和社会法律服务机构的职责。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4.指导司法所和人民调解组织对民间纠纷的排查、预防、调处和刑满释放人员、解除劳动教养人员的安置帮教工作；负责社区矫正、安置帮教执行等工作，参与社会治安综合治理。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5.指导管理基层司法行政工作。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6.负责全区司法行政系统干警的培训、干警队伍建设、思想政治工作和精神文明建设；负责警务管理和警务督察工作。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7.承办全区法治审查工作，对政府签订的重大合同、全区性重要文件进行合法性审查；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8.开展对全区行政执法活动进行监督，对全区执法人员组织考试和资格审查。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8.下属事业单位罗江区公证处作为事业单位挂牌运行，</w:t>
      </w:r>
    </w:p>
    <w:p>
      <w:pPr>
        <w:ind w:firstLine="645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（二）司法局20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b/>
          <w:sz w:val="32"/>
          <w:szCs w:val="32"/>
        </w:rPr>
        <w:t>年重点工作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1.普法宣传和推进依法治区工作；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2.人民调解工作；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3.社区矫正、刑释帮教工作；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4.公共法律服务工作（包含法律援助）；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5.法制审查工作；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6.行政执法监督工作；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7.行政复议与应诉工作。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二、部门预算单位构成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司法局下属二级预算单位0个，其中行政单位0个，其他事业单位0个,参照公务员法管理的事业单位0个，其他事业单位0个。主要包括：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sz w:val="32"/>
          <w:szCs w:val="32"/>
        </w:rPr>
      </w:pPr>
      <w:r>
        <w:rPr>
          <w:rFonts w:hint="eastAsia" w:hAnsi="仿宋_GB2312"/>
          <w:sz w:val="32"/>
          <w:szCs w:val="32"/>
        </w:rPr>
        <w:t>截至20</w:t>
      </w:r>
      <w:r>
        <w:rPr>
          <w:rFonts w:hint="eastAsia" w:hAnsi="仿宋_GB2312"/>
          <w:sz w:val="32"/>
          <w:szCs w:val="32"/>
          <w:lang w:val="en-US" w:eastAsia="zh-CN"/>
        </w:rPr>
        <w:t>23</w:t>
      </w:r>
      <w:r>
        <w:rPr>
          <w:rFonts w:hint="eastAsia" w:hAnsi="仿宋_GB2312"/>
          <w:sz w:val="32"/>
          <w:szCs w:val="32"/>
        </w:rPr>
        <w:t>年底区司法局</w:t>
      </w:r>
      <w:r>
        <w:rPr>
          <w:rFonts w:hint="eastAsia"/>
          <w:sz w:val="32"/>
          <w:szCs w:val="32"/>
        </w:rPr>
        <w:t>总编制25名，其中行政编制21名，事业编制3名，工勤编制1名。在职人员总数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人，其中：行政人员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人，事业人员2人，工勤人员0人。本次公开数据包括所有下属二级单位数据。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三、收支预算增减变化情况说明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按照综合预算的原则，司法局所有收支均包含下属单位数据，全部纳入部门预算管理。收入包括：</w:t>
      </w:r>
      <w:r>
        <w:rPr>
          <w:rFonts w:hint="eastAsia" w:ascii="仿宋_GB2312" w:eastAsia="仿宋_GB2312"/>
          <w:sz w:val="32"/>
          <w:szCs w:val="32"/>
        </w:rPr>
        <w:t>收入预算总额为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620.67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27.29</w:t>
      </w:r>
      <w:r>
        <w:rPr>
          <w:rFonts w:hint="eastAsia" w:ascii="仿宋_GB2312" w:hAnsi="仿宋_GB2312" w:eastAsia="仿宋_GB2312"/>
          <w:sz w:val="32"/>
          <w:szCs w:val="32"/>
        </w:rPr>
        <w:t>万元，主要是在职人员增加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人，人员经费有所增加；支出包括：</w:t>
      </w:r>
      <w:r>
        <w:rPr>
          <w:rFonts w:hint="eastAsia" w:ascii="仿宋_GB2312" w:eastAsia="仿宋_GB2312"/>
          <w:sz w:val="32"/>
          <w:szCs w:val="32"/>
        </w:rPr>
        <w:t>相应安排支出预算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620.67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27.29</w:t>
      </w:r>
      <w:r>
        <w:rPr>
          <w:rFonts w:hint="eastAsia" w:ascii="仿宋_GB2312" w:hAnsi="仿宋_GB2312" w:eastAsia="仿宋_GB2312"/>
          <w:sz w:val="32"/>
          <w:szCs w:val="32"/>
        </w:rPr>
        <w:t>万元，主要是人员经费有所增加。司法局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/>
          <w:sz w:val="32"/>
          <w:szCs w:val="32"/>
        </w:rPr>
        <w:t>年收支总预算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（一）收入预算情况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ascii="仿宋_GB2312" w:hAnsi="仿宋_GB2312" w:eastAsia="仿宋_GB2312"/>
          <w:sz w:val="32"/>
          <w:szCs w:val="32"/>
        </w:rPr>
        <w:t>万元，其中：上年结转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100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ind w:firstLine="645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（二）支出预算情况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541.67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87.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79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12.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73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四、财政拨款收支预算情况说明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司法局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年财政拨款收支总预算增加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27.29</w:t>
      </w:r>
      <w:r>
        <w:rPr>
          <w:rFonts w:hint="eastAsia" w:ascii="仿宋_GB2312" w:eastAsia="仿宋_GB2312"/>
          <w:sz w:val="32"/>
          <w:szCs w:val="32"/>
        </w:rPr>
        <w:t>元，主要是因为20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年度内共计增加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人，人员经费增加。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eastAsia="仿宋_GB2312"/>
          <w:sz w:val="32"/>
          <w:szCs w:val="32"/>
        </w:rPr>
        <w:t>公共安全支出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483.05</w:t>
      </w:r>
      <w:r>
        <w:rPr>
          <w:rFonts w:hint="eastAsia" w:ascii="仿宋_GB2312" w:eastAsia="仿宋_GB2312"/>
          <w:sz w:val="32"/>
          <w:szCs w:val="32"/>
        </w:rPr>
        <w:t>万元，社会保障和就业支出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80.37</w:t>
      </w:r>
      <w:r>
        <w:rPr>
          <w:rFonts w:hint="eastAsia" w:ascii="仿宋_GB2312" w:eastAsia="仿宋_GB2312"/>
          <w:sz w:val="32"/>
          <w:szCs w:val="32"/>
        </w:rPr>
        <w:t>万元，卫生健康支出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19.87</w:t>
      </w:r>
      <w:r>
        <w:rPr>
          <w:rFonts w:hint="eastAsia" w:ascii="仿宋_GB2312" w:eastAsia="仿宋_GB2312"/>
          <w:sz w:val="32"/>
          <w:szCs w:val="32"/>
        </w:rPr>
        <w:t>万元，住房保障支出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五、一般公共预算当年拨款情况说明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　　（一）一般公共预算当年拨款规模变化情况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司法局20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hint="eastAsia" w:ascii="仿宋_GB2312" w:hAnsi="仿宋_GB2312" w:eastAsia="仿宋_GB2312"/>
          <w:sz w:val="32"/>
          <w:szCs w:val="32"/>
        </w:rPr>
        <w:t>元，比20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27.29</w:t>
      </w:r>
      <w:r>
        <w:rPr>
          <w:rFonts w:hint="eastAsia" w:ascii="仿宋_GB2312" w:hAnsi="仿宋_GB2312" w:eastAsia="仿宋_GB2312"/>
          <w:sz w:val="32"/>
          <w:szCs w:val="32"/>
        </w:rPr>
        <w:t>万元，主要是人员经费有所增加。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（二）一般公共预算当年拨款结构情况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483.05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77.83</w:t>
      </w:r>
      <w:r>
        <w:rPr>
          <w:rFonts w:hint="eastAsia"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80.37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12.95</w:t>
      </w:r>
      <w:r>
        <w:rPr>
          <w:rFonts w:hint="eastAsia"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19.87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占3.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住房保障支出3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，占6.0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/>
          <w:b/>
          <w:sz w:val="32"/>
          <w:szCs w:val="32"/>
        </w:rPr>
        <w:t>　（三）一般公共预算当年拨款具体使用情况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1.公共安全（类）司法（款）行政运行（项）20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483.05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宋体" w:eastAsia="仿宋_GB2312"/>
          <w:sz w:val="32"/>
          <w:szCs w:val="32"/>
        </w:rPr>
        <w:t>机关人员工资、日常运转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2.公共安全（类）司法（款）基层司法业务（项）20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宋体" w:eastAsia="仿宋_GB2312"/>
          <w:sz w:val="32"/>
          <w:szCs w:val="32"/>
        </w:rPr>
        <w:t>政府及村（社区）年度法律顾问费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3.公共安全（类）司法（款）其他司法支出（项）20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宋体" w:eastAsia="仿宋_GB2312"/>
          <w:sz w:val="32"/>
          <w:szCs w:val="32"/>
        </w:rPr>
        <w:t>法律援助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4.公共安全（类）司法（款）社区矫正（项）20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年预算数为14万元，主要用于：</w:t>
      </w:r>
      <w:r>
        <w:rPr>
          <w:rFonts w:hint="eastAsia" w:ascii="仿宋_GB2312" w:hAnsi="宋体" w:eastAsia="仿宋_GB2312"/>
          <w:sz w:val="32"/>
          <w:szCs w:val="32"/>
        </w:rPr>
        <w:t>社区矫正安置帮教工作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5.公共安全（类）司法（款）公共法律服务（项）20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万元，主要用于：行政复议出庭与应诉、法治宣传及行政执法监督工作。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 xml:space="preserve"> 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（类）行政事业单位离退休（款）机关事业单位基本养老保险缴费（项）20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45.07</w:t>
      </w:r>
      <w:r>
        <w:rPr>
          <w:rFonts w:hint="eastAsia" w:ascii="仿宋_GB2312" w:hAnsi="仿宋_GB2312" w:eastAsia="仿宋_GB2312"/>
          <w:sz w:val="32"/>
          <w:szCs w:val="32"/>
        </w:rPr>
        <w:t>万元，主要用于：基本养老保险缴费。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（类）行政事业单位离退休（款）机关事业单位职业年金缴费（项）20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22.53</w:t>
      </w:r>
      <w:r>
        <w:rPr>
          <w:rFonts w:hint="eastAsia" w:ascii="仿宋_GB2312" w:hAnsi="仿宋_GB2312" w:eastAsia="仿宋_GB2312"/>
          <w:sz w:val="32"/>
          <w:szCs w:val="32"/>
        </w:rPr>
        <w:t>万元，主要用于：职业年金缴费。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（类）行政事业单位离退休（款）其他行政事业单位养老支出（项）20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年预算数12.07元，主要用于：发放</w:t>
      </w:r>
      <w:r>
        <w:rPr>
          <w:rFonts w:hint="eastAsia" w:ascii="仿宋_GB2312" w:hAnsi="宋体" w:eastAsia="仿宋_GB2312"/>
          <w:sz w:val="32"/>
          <w:szCs w:val="32"/>
        </w:rPr>
        <w:t>退休人员待遇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（类）行政事业单位离退休（款）其他社会保障和就业支出（项）2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/>
          <w:sz w:val="32"/>
          <w:szCs w:val="32"/>
        </w:rPr>
        <w:t>元，主要用于：事业人员工伤及事业保险缴费。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（类）行政事业单位医疗（款）行政单位医疗（项）202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18.62</w:t>
      </w:r>
      <w:r>
        <w:rPr>
          <w:rFonts w:hint="eastAsia" w:ascii="仿宋_GB2312" w:hAnsi="仿宋_GB2312" w:eastAsia="仿宋_GB2312"/>
          <w:sz w:val="32"/>
          <w:szCs w:val="32"/>
        </w:rPr>
        <w:t>万元，主要用于：医疗保险缴费。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（类）行政事业单位医疗（款）事业单位医疗（项）202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年预算数为1.2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万元，主要用于：事业单位医疗缴费。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12.</w:t>
      </w:r>
      <w:r>
        <w:rPr>
          <w:rFonts w:hint="eastAsia" w:ascii="仿宋_GB2312" w:eastAsia="仿宋_GB2312"/>
          <w:sz w:val="32"/>
          <w:szCs w:val="32"/>
        </w:rPr>
        <w:t>住房保障</w:t>
      </w:r>
      <w:r>
        <w:rPr>
          <w:rFonts w:hint="eastAsia" w:ascii="仿宋_GB2312" w:hAnsi="仿宋_GB2312" w:eastAsia="仿宋_GB2312"/>
          <w:sz w:val="32"/>
          <w:szCs w:val="32"/>
        </w:rPr>
        <w:t>（类）住房改革（款）住房公积金（项）202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年预算数为3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7.39</w:t>
      </w:r>
      <w:r>
        <w:rPr>
          <w:rFonts w:hint="eastAsia" w:ascii="仿宋_GB2312" w:hAnsi="仿宋_GB2312" w:eastAsia="仿宋_GB2312"/>
          <w:sz w:val="32"/>
          <w:szCs w:val="32"/>
        </w:rPr>
        <w:t>万元，主要用于：住房公积金缴费。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六、一般公共预算基本支出情况说明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司法局202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620.67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464.88</w:t>
      </w:r>
      <w:r>
        <w:rPr>
          <w:rFonts w:hint="eastAsia" w:ascii="仿宋_GB2312" w:hAnsi="仿宋_GB2312" w:eastAsia="仿宋_GB2312"/>
          <w:sz w:val="32"/>
          <w:szCs w:val="32"/>
        </w:rPr>
        <w:t>万元，主要包括：基本工资、津贴补贴、奖金、社会保险缴费、机关事业单位基本养老保险缴费、职业年金缴费、住房公积金、其他工资福利支出、对个人和家庭的补助支出。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76.79</w:t>
      </w:r>
      <w:r>
        <w:rPr>
          <w:rFonts w:hint="eastAsia" w:ascii="仿宋_GB2312" w:hAnsi="仿宋_GB2312" w:eastAsia="仿宋_GB2312"/>
          <w:sz w:val="32"/>
          <w:szCs w:val="32"/>
        </w:rPr>
        <w:t>万元，主要包括：办公费、印刷费、水电费、邮电费、差旅费、维修（护）费、会议费、培训费、公务接待费、劳务费、工会经费、公务用车运行维护费、其他交通费用、其他商品和服务支出。</w:t>
      </w: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七、“三公”经费财政拨款预算安排情况说明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司法局20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年“三公”经费财政拨款预算数3.8万元，其中：因公出国（境）经费0万元，公务接待费0.9万元，公务用车购置0万元，公务用车运行维护费2.9万元。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（一）因公出国（境）经费与20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年预算持平。主要原因是</w:t>
      </w:r>
      <w:r>
        <w:rPr>
          <w:rFonts w:hint="eastAsia" w:ascii="仿宋_GB2312" w:eastAsia="仿宋_GB2312"/>
          <w:sz w:val="32"/>
          <w:szCs w:val="32"/>
        </w:rPr>
        <w:t>没有因公出国（境）计划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仿宋_GB2312" w:eastAsia="仿宋_GB2312"/>
          <w:sz w:val="32"/>
          <w:szCs w:val="32"/>
        </w:rPr>
        <w:t>司法局</w:t>
      </w:r>
      <w:r>
        <w:rPr>
          <w:rFonts w:hint="eastAsia" w:ascii="仿宋_GB2312" w:eastAsia="仿宋_GB2312"/>
          <w:sz w:val="32"/>
          <w:szCs w:val="32"/>
        </w:rPr>
        <w:t>安排的出国计划，拟安排出国（境）团组0次，出国（境）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bCs/>
          <w:sz w:val="32"/>
          <w:szCs w:val="32"/>
        </w:rPr>
        <w:t>公务接待费</w:t>
      </w:r>
      <w:r>
        <w:rPr>
          <w:rFonts w:hint="eastAsia" w:ascii="仿宋_GB2312" w:hAnsi="仿宋_GB2312" w:eastAsia="仿宋_GB2312"/>
          <w:sz w:val="32"/>
          <w:szCs w:val="32"/>
        </w:rPr>
        <w:t>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年预算持平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主要原因是坚决贯彻执行中央八项规定，并且结合了我局上年度公务接待费支出情况而定。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bCs/>
          <w:sz w:val="32"/>
          <w:szCs w:val="32"/>
        </w:rPr>
        <w:t>公务用车购置及运行维护费</w:t>
      </w:r>
      <w:r>
        <w:rPr>
          <w:rFonts w:hint="eastAsia" w:ascii="仿宋_GB2312" w:hAnsi="仿宋_GB2312" w:eastAsia="仿宋_GB2312"/>
          <w:sz w:val="32"/>
          <w:szCs w:val="32"/>
        </w:rPr>
        <w:t>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单位现有公务用车1辆。其中：（警车）轿车1辆。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年安排公务用车运行维护费2.9万元，用于1辆公务用车燃油、维修、保险等方面支出。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八、其他重要事项的情况说明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（一）机关运行经费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/>
          <w:sz w:val="32"/>
          <w:szCs w:val="32"/>
        </w:rPr>
        <w:t>年，司法局的机关运行经费财政拨款预算为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435.81</w:t>
      </w:r>
      <w:r>
        <w:rPr>
          <w:rFonts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20.41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增加4.9</w:t>
      </w:r>
      <w:r>
        <w:rPr>
          <w:rFonts w:hint="eastAsia" w:ascii="仿宋_GB2312" w:hAnsi="仿宋_GB2312" w:eastAsia="仿宋_GB2312"/>
          <w:sz w:val="32"/>
          <w:szCs w:val="32"/>
        </w:rPr>
        <w:t xml:space="preserve"> %。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（二）政府采购情况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年，司法局安排政府采购预算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（三）国有资产占有使用情况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截至20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年底，司法局所属各预算单位共有</w:t>
      </w:r>
      <w:r>
        <w:rPr>
          <w:rFonts w:hint="eastAsia" w:ascii="仿宋_GB2312" w:eastAsia="仿宋_GB2312"/>
          <w:sz w:val="32"/>
          <w:szCs w:val="32"/>
        </w:rPr>
        <w:t>固定资产净值总额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314.74</w:t>
      </w:r>
      <w:r>
        <w:rPr>
          <w:rFonts w:hint="eastAsia" w:ascii="仿宋_GB2312" w:eastAsia="仿宋_GB2312"/>
          <w:sz w:val="32"/>
          <w:szCs w:val="32"/>
        </w:rPr>
        <w:t>万元，其中公务用车1辆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无形资产净值总额37.96万元。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年部门预算未安排购置车辆及单位价值200万元以上大型设备。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（四）绩效目标设置情况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年司法局部门通用项目和专用项目均按要求实行绩效目标管理，涉及一般公共预算当年拨款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九、名词解释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（三）基本支出：指为保障机构正常运转、完成日常工作任务所必需的人员经费和日常公用经费。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560" w:lineRule="exact"/>
        <w:ind w:left="1914" w:leftChars="132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附件：1. 罗江区财政局20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 xml:space="preserve">年部门预算公开表（见附件目录） </w:t>
      </w:r>
    </w:p>
    <w:p>
      <w:pPr>
        <w:spacing w:line="560" w:lineRule="exact"/>
        <w:ind w:left="1914" w:leftChars="132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2.部门整体支出绩效目标公开表</w:t>
      </w:r>
    </w:p>
    <w:p>
      <w:pPr>
        <w:spacing w:line="560" w:lineRule="exact"/>
        <w:ind w:left="1904" w:leftChars="330" w:hanging="320" w:hangingChars="1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3.部门预算项目支出绩效目标公开表</w:t>
      </w:r>
    </w:p>
    <w:p/>
    <w:p>
      <w:pPr>
        <w:ind w:firstLine="645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德阳市罗江区司法局</w:t>
      </w:r>
    </w:p>
    <w:p>
      <w:pPr>
        <w:wordWrap w:val="0"/>
        <w:ind w:firstLine="645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2112098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WUyMDdmNjM0NWJiZGM2ZGQ2ODAxYjgzYzU5MDQifQ=="/>
  </w:docVars>
  <w:rsids>
    <w:rsidRoot w:val="004E4A63"/>
    <w:rsid w:val="000550E6"/>
    <w:rsid w:val="000E47BB"/>
    <w:rsid w:val="00107AF7"/>
    <w:rsid w:val="00166CD8"/>
    <w:rsid w:val="001702BC"/>
    <w:rsid w:val="00185225"/>
    <w:rsid w:val="001A5E61"/>
    <w:rsid w:val="001C7CBE"/>
    <w:rsid w:val="001D5DC7"/>
    <w:rsid w:val="001F59C4"/>
    <w:rsid w:val="00202A4E"/>
    <w:rsid w:val="00245794"/>
    <w:rsid w:val="00282943"/>
    <w:rsid w:val="002D17ED"/>
    <w:rsid w:val="002F6687"/>
    <w:rsid w:val="00325291"/>
    <w:rsid w:val="00335010"/>
    <w:rsid w:val="00336B03"/>
    <w:rsid w:val="00357CC6"/>
    <w:rsid w:val="00363AC0"/>
    <w:rsid w:val="003B021E"/>
    <w:rsid w:val="003C191A"/>
    <w:rsid w:val="00405C72"/>
    <w:rsid w:val="00493A20"/>
    <w:rsid w:val="004A29F7"/>
    <w:rsid w:val="004A79A0"/>
    <w:rsid w:val="004B52FA"/>
    <w:rsid w:val="004D43BB"/>
    <w:rsid w:val="004D53A9"/>
    <w:rsid w:val="004E4A63"/>
    <w:rsid w:val="00504316"/>
    <w:rsid w:val="00505FFD"/>
    <w:rsid w:val="00533C1B"/>
    <w:rsid w:val="0054504C"/>
    <w:rsid w:val="00556120"/>
    <w:rsid w:val="00557520"/>
    <w:rsid w:val="00563314"/>
    <w:rsid w:val="005A0F05"/>
    <w:rsid w:val="00614BC0"/>
    <w:rsid w:val="00636A7A"/>
    <w:rsid w:val="00640CC1"/>
    <w:rsid w:val="00667288"/>
    <w:rsid w:val="006979CA"/>
    <w:rsid w:val="006A162E"/>
    <w:rsid w:val="006B7FAA"/>
    <w:rsid w:val="006E3D83"/>
    <w:rsid w:val="007225E2"/>
    <w:rsid w:val="007365C4"/>
    <w:rsid w:val="00754460"/>
    <w:rsid w:val="00787A49"/>
    <w:rsid w:val="007D79A8"/>
    <w:rsid w:val="008678AA"/>
    <w:rsid w:val="008B3E5E"/>
    <w:rsid w:val="008C78A9"/>
    <w:rsid w:val="008E39E4"/>
    <w:rsid w:val="008F70DC"/>
    <w:rsid w:val="009049CB"/>
    <w:rsid w:val="0093252F"/>
    <w:rsid w:val="00933755"/>
    <w:rsid w:val="00942ECD"/>
    <w:rsid w:val="00980170"/>
    <w:rsid w:val="009C4C35"/>
    <w:rsid w:val="009D554C"/>
    <w:rsid w:val="00A33ACE"/>
    <w:rsid w:val="00A35F1B"/>
    <w:rsid w:val="00A46B69"/>
    <w:rsid w:val="00A5551E"/>
    <w:rsid w:val="00A60A56"/>
    <w:rsid w:val="00A6735F"/>
    <w:rsid w:val="00A816B0"/>
    <w:rsid w:val="00AB0D53"/>
    <w:rsid w:val="00B12B84"/>
    <w:rsid w:val="00B61DF9"/>
    <w:rsid w:val="00B71988"/>
    <w:rsid w:val="00B8271E"/>
    <w:rsid w:val="00B83729"/>
    <w:rsid w:val="00BB0AEB"/>
    <w:rsid w:val="00BC4B90"/>
    <w:rsid w:val="00BD7C8D"/>
    <w:rsid w:val="00C033E0"/>
    <w:rsid w:val="00C160E9"/>
    <w:rsid w:val="00C231B9"/>
    <w:rsid w:val="00C305C1"/>
    <w:rsid w:val="00C37823"/>
    <w:rsid w:val="00C56238"/>
    <w:rsid w:val="00C859D8"/>
    <w:rsid w:val="00C96FDA"/>
    <w:rsid w:val="00C976F8"/>
    <w:rsid w:val="00CD49F9"/>
    <w:rsid w:val="00CF7D87"/>
    <w:rsid w:val="00D14665"/>
    <w:rsid w:val="00D411C0"/>
    <w:rsid w:val="00D574ED"/>
    <w:rsid w:val="00D677AF"/>
    <w:rsid w:val="00D93A8E"/>
    <w:rsid w:val="00DA7D87"/>
    <w:rsid w:val="00DC34F5"/>
    <w:rsid w:val="00E16A62"/>
    <w:rsid w:val="00E221D1"/>
    <w:rsid w:val="00E26263"/>
    <w:rsid w:val="00E811BC"/>
    <w:rsid w:val="00EE23D3"/>
    <w:rsid w:val="00EF4482"/>
    <w:rsid w:val="00EF65D3"/>
    <w:rsid w:val="00F506B3"/>
    <w:rsid w:val="00F61D3C"/>
    <w:rsid w:val="00FD2791"/>
    <w:rsid w:val="00FD2F29"/>
    <w:rsid w:val="01931A7A"/>
    <w:rsid w:val="03AF2D01"/>
    <w:rsid w:val="052868FD"/>
    <w:rsid w:val="0CBC3A4D"/>
    <w:rsid w:val="13522181"/>
    <w:rsid w:val="137B714F"/>
    <w:rsid w:val="14820768"/>
    <w:rsid w:val="1A8B57AF"/>
    <w:rsid w:val="1B8F3DB2"/>
    <w:rsid w:val="1FCE268A"/>
    <w:rsid w:val="26487037"/>
    <w:rsid w:val="298674BB"/>
    <w:rsid w:val="2C703689"/>
    <w:rsid w:val="2CBD72B2"/>
    <w:rsid w:val="2D1265F1"/>
    <w:rsid w:val="3087759A"/>
    <w:rsid w:val="37044E4A"/>
    <w:rsid w:val="390A2872"/>
    <w:rsid w:val="3AE3482A"/>
    <w:rsid w:val="3E1F0B6E"/>
    <w:rsid w:val="42991D01"/>
    <w:rsid w:val="44E1584B"/>
    <w:rsid w:val="52F61A46"/>
    <w:rsid w:val="576D69FD"/>
    <w:rsid w:val="6C4D6722"/>
    <w:rsid w:val="6F9D54EF"/>
    <w:rsid w:val="77103EEA"/>
    <w:rsid w:val="7DAB6D0B"/>
    <w:rsid w:val="7F7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2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正文文本 Char"/>
    <w:basedOn w:val="6"/>
    <w:link w:val="2"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2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3">
    <w:name w:val="WPSOffice手动目录 2"/>
    <w:autoRedefine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3373</Words>
  <Characters>3744</Characters>
  <Lines>31</Lines>
  <Paragraphs>8</Paragraphs>
  <TotalTime>1</TotalTime>
  <ScaleCrop>false</ScaleCrop>
  <LinksUpToDate>false</LinksUpToDate>
  <CharactersWithSpaces>3855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2023-02-13T06:45:00Z</dcterms:created>
  <dc:creator>null,null,总收发</dc:creator>
  <cp:lastModifiedBy>Administrator</cp:lastModifiedBy>
  <cp:lastPrinted>2024-02-07T01:54:24Z</cp:lastPrinted>
  <dcterms:modified xsi:type="dcterms:W3CDTF">2024-02-07T02:46:24Z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12C82034B95E41669FB9BCB77EAF0D15_13</vt:lpwstr>
  </property>
</Properties>
</file>