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Style w:val="11"/>
          <w:rFonts w:ascii="方正小标宋简体" w:hAnsi="??" w:eastAsia="方正小标宋简体"/>
          <w:b w:val="0"/>
          <w:bCs w:val="0"/>
          <w:color w:val="000000"/>
          <w:sz w:val="44"/>
          <w:szCs w:val="44"/>
          <w:highlight w:val="none"/>
        </w:rPr>
      </w:pPr>
      <w:r>
        <w:rPr>
          <w:rStyle w:val="11"/>
          <w:rFonts w:hint="eastAsia" w:ascii="方正小标宋简体" w:hAnsi="??" w:eastAsia="方正小标宋简体"/>
          <w:b w:val="0"/>
          <w:bCs w:val="0"/>
          <w:color w:val="000000"/>
          <w:sz w:val="44"/>
          <w:szCs w:val="44"/>
          <w:highlight w:val="none"/>
        </w:rPr>
        <w:t>德阳市罗江区市场监督管理局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Style w:val="11"/>
          <w:rFonts w:ascii="方正小标宋简体" w:hAnsi="??" w:eastAsia="方正小标宋简体"/>
          <w:b w:val="0"/>
          <w:bCs w:val="0"/>
          <w:color w:val="000000"/>
          <w:sz w:val="44"/>
          <w:szCs w:val="44"/>
          <w:highlight w:val="none"/>
        </w:rPr>
      </w:pPr>
      <w:r>
        <w:rPr>
          <w:rStyle w:val="11"/>
          <w:rFonts w:ascii="方正小标宋简体" w:hAnsi="??" w:eastAsia="方正小标宋简体"/>
          <w:b w:val="0"/>
          <w:bCs w:val="0"/>
          <w:color w:val="000000"/>
          <w:sz w:val="44"/>
          <w:szCs w:val="44"/>
          <w:highlight w:val="none"/>
        </w:rPr>
        <w:t>20</w:t>
      </w:r>
      <w:r>
        <w:rPr>
          <w:rStyle w:val="11"/>
          <w:rFonts w:hint="eastAsia" w:ascii="方正小标宋简体" w:hAnsi="??" w:eastAsia="方正小标宋简体"/>
          <w:b w:val="0"/>
          <w:bCs w:val="0"/>
          <w:color w:val="000000"/>
          <w:sz w:val="44"/>
          <w:szCs w:val="44"/>
          <w:highlight w:val="none"/>
        </w:rPr>
        <w:t>2</w:t>
      </w:r>
      <w:r>
        <w:rPr>
          <w:rStyle w:val="11"/>
          <w:rFonts w:hint="eastAsia" w:ascii="方正小标宋简体" w:hAnsi="??" w:eastAsia="方正小标宋简体"/>
          <w:b w:val="0"/>
          <w:bCs w:val="0"/>
          <w:color w:val="000000"/>
          <w:sz w:val="44"/>
          <w:szCs w:val="44"/>
          <w:highlight w:val="none"/>
          <w:lang w:val="en-US" w:eastAsia="zh-CN"/>
        </w:rPr>
        <w:t>3</w:t>
      </w:r>
      <w:r>
        <w:rPr>
          <w:rStyle w:val="11"/>
          <w:rFonts w:hint="eastAsia" w:ascii="方正小标宋简体" w:hAnsi="??" w:eastAsia="方正小标宋简体"/>
          <w:b w:val="0"/>
          <w:bCs w:val="0"/>
          <w:color w:val="000000"/>
          <w:sz w:val="44"/>
          <w:szCs w:val="44"/>
          <w:highlight w:val="none"/>
        </w:rPr>
        <w:t>年部门预算编制说明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rPr>
          <w:rStyle w:val="11"/>
          <w:rFonts w:ascii="方正小标宋简体" w:hAnsi="??" w:eastAsia="方正小标宋简体"/>
          <w:b w:val="0"/>
          <w:bCs w:val="0"/>
          <w:color w:val="000000"/>
          <w:sz w:val="44"/>
          <w:szCs w:val="44"/>
          <w:highlight w:val="none"/>
        </w:rPr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一、基本职能及主要工作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德阳市罗江区市场监督管理局（以下简称市场监管局）行政职能为贯彻执行国家、省、市有关工商行政管理、质量技术监督、食品药品及医疗器械监管等方面的法律法规和方针政策。制定和实施提高全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区</w:t>
      </w:r>
      <w:r>
        <w:rPr>
          <w:rFonts w:hint="eastAsia" w:ascii="仿宋_GB2312" w:eastAsia="仿宋_GB2312"/>
          <w:sz w:val="32"/>
          <w:szCs w:val="32"/>
          <w:highlight w:val="none"/>
        </w:rPr>
        <w:t>质量整体水平、标准化和计量事业发展规划，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监督实施国家药品标准、食品安全标准、国家和行业医疗器械、化妆品产品标准</w:t>
      </w:r>
      <w:r>
        <w:rPr>
          <w:rFonts w:hint="eastAsia" w:ascii="仿宋_GB2312" w:eastAsia="仿宋_GB2312"/>
          <w:sz w:val="32"/>
          <w:szCs w:val="32"/>
          <w:highlight w:val="none"/>
        </w:rPr>
        <w:t>。按规定指导查处违反工商行政管理、质量技术监督、食品药品及医疗器械监管等方面法律、法规、规章的行为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。</w:t>
      </w:r>
      <w:r>
        <w:rPr>
          <w:rFonts w:ascii="仿宋_GB2312" w:eastAsia="仿宋_GB2312"/>
          <w:sz w:val="32"/>
          <w:szCs w:val="32"/>
          <w:highlight w:val="none"/>
        </w:rPr>
        <w:t>20</w:t>
      </w:r>
      <w:r>
        <w:rPr>
          <w:rFonts w:hint="eastAsia" w:ascii="仿宋_GB2312" w:eastAsia="仿宋_GB2312"/>
          <w:sz w:val="32"/>
          <w:szCs w:val="32"/>
          <w:highlight w:val="none"/>
        </w:rPr>
        <w:t>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年重点工作如下：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0"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狠抓思想“主基调”，实现新作为。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持续深入贯彻落实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kern w:val="2"/>
          <w:sz w:val="32"/>
          <w:szCs w:val="32"/>
          <w:highlight w:val="none"/>
          <w:lang w:val="en-US" w:eastAsia="zh-CN" w:bidi="ar-SA"/>
        </w:rPr>
        <w:t>党的二十大精神，深化作风纪律建设，以良好作风确保市场监管工作提质增效。推广基层所标准化规范化建设，探索标准化规范化示范局建设。坚持底线思维，强化问题导向，针对监管中的薄弱环节和症结所在，对症下药、重点突破。通过轮岗锻炼、鼓励充电等形式，不断提升队伍综合素质。加强党风廉政建设与日常执法工作相结合，不断把市场监管工作做得更实、更细。</w:t>
      </w:r>
    </w:p>
    <w:p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afterLines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（二）狠抓发展“硬任务”，实现新突破。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推进拼经济搞建设工作，持续优化营商环境，开展涉企收费专项整治。</w:t>
      </w:r>
      <w:r>
        <w:rPr>
          <w:rFonts w:hint="eastAsia" w:ascii="仿宋_GB2312" w:eastAsia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用好民营工作机制，打通企业发展堵点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highlight w:val="none"/>
          <w:lang w:val="en-US" w:eastAsia="zh-CN" w:bidi="ar-SA"/>
        </w:rPr>
        <w:t>。深入探索包容审慎监管，全面推广行政处罚“三张清单”制度。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充分发挥标准化助力质量提升作用，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</w:rPr>
        <w:t>力争我区1家企业在国家质量对标达标网上对标成功</w:t>
      </w:r>
      <w:r>
        <w:rPr>
          <w:rFonts w:hint="eastAsia" w:ascii="仿宋_GB2312" w:hAnsi="仿宋" w:eastAsia="仿宋_GB2312"/>
          <w:color w:val="000000"/>
          <w:sz w:val="32"/>
          <w:szCs w:val="32"/>
          <w:highlight w:val="none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  <w:highlight w:val="none"/>
          <w:lang w:eastAsia="zh-TW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（三）狠抓监管“主阵地”，实现新提升。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highlight w:val="none"/>
          <w:lang w:val="en-US" w:eastAsia="zh-CN"/>
        </w:rPr>
        <w:t>立足市场监管职能，聚焦重点领域、重点场所，常态化抓好疫情防控工作。抓牢食品、药品、特种设备和重要工业产品质量安全四大领域安全底线，坚持问题导向，强化风险隐患排查和处置。完成600个批次的食品药品抽检，强化检监联动。</w:t>
      </w:r>
    </w:p>
    <w:p>
      <w:pPr>
        <w:spacing w:line="560" w:lineRule="exact"/>
        <w:ind w:firstLine="645"/>
        <w:rPr>
          <w:rFonts w:ascii="仿宋_GB2312" w:hAnsi="仿宋_GB2312" w:eastAsia="仿宋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二、部门预算单位构成</w:t>
      </w:r>
    </w:p>
    <w:p>
      <w:pPr>
        <w:spacing w:line="560" w:lineRule="exact"/>
        <w:ind w:firstLine="645"/>
        <w:rPr>
          <w:rFonts w:ascii="仿宋_GB2312" w:hAnsi="仿宋_GB2312" w:eastAsia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/>
          <w:sz w:val="32"/>
          <w:szCs w:val="32"/>
          <w:highlight w:val="none"/>
        </w:rPr>
        <w:t>市场监管局无二级预算单位，其中行政单位</w:t>
      </w:r>
      <w:r>
        <w:rPr>
          <w:rFonts w:ascii="仿宋_GB2312" w:hAnsi="仿宋_GB2312" w:eastAsia="仿宋_GB2312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个，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含下属事业单位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个，分别是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德阳市罗江区食品药品安全监测中心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、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德阳市罗江区知识产权服务中心、德阳市罗江区计量测试所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。</w:t>
      </w:r>
      <w:r>
        <w:rPr>
          <w:rFonts w:hint="eastAsia" w:ascii="仿宋_GB2312" w:hAnsi="仿宋" w:eastAsia="仿宋_GB2312"/>
          <w:sz w:val="32"/>
          <w:szCs w:val="32"/>
          <w:highlight w:val="none"/>
        </w:rPr>
        <w:t>含派出机构五个，分别为万安市场监督管理所、城郊市场监督管理所、经开区市场监督管理分局、略坪市场监督管理所、鄢家市场监督管理所。</w:t>
      </w:r>
    </w:p>
    <w:p>
      <w:pPr>
        <w:pStyle w:val="5"/>
        <w:adjustRightInd w:val="0"/>
        <w:snapToGrid w:val="0"/>
        <w:spacing w:beforeLines="0" w:line="560" w:lineRule="exact"/>
        <w:ind w:firstLine="672" w:firstLineChars="210"/>
        <w:rPr>
          <w:sz w:val="32"/>
          <w:szCs w:val="32"/>
          <w:highlight w:val="none"/>
        </w:rPr>
      </w:pPr>
      <w:r>
        <w:rPr>
          <w:rFonts w:hint="eastAsia" w:hAnsi="仿宋_GB2312"/>
          <w:sz w:val="32"/>
          <w:szCs w:val="32"/>
          <w:highlight w:val="none"/>
        </w:rPr>
        <w:t>市场监管局</w:t>
      </w:r>
      <w:r>
        <w:rPr>
          <w:rFonts w:hint="eastAsia"/>
          <w:sz w:val="32"/>
          <w:szCs w:val="32"/>
          <w:highlight w:val="none"/>
        </w:rPr>
        <w:t>总编制</w:t>
      </w:r>
      <w:r>
        <w:rPr>
          <w:rFonts w:hint="eastAsia"/>
          <w:sz w:val="32"/>
          <w:szCs w:val="32"/>
          <w:highlight w:val="none"/>
          <w:lang w:val="en-US" w:eastAsia="zh-CN"/>
        </w:rPr>
        <w:t>73</w:t>
      </w:r>
      <w:r>
        <w:rPr>
          <w:rFonts w:hint="eastAsia"/>
          <w:sz w:val="32"/>
          <w:szCs w:val="32"/>
          <w:highlight w:val="none"/>
        </w:rPr>
        <w:t>名，其中行政编制3</w:t>
      </w:r>
      <w:r>
        <w:rPr>
          <w:rFonts w:hint="eastAsia"/>
          <w:sz w:val="32"/>
          <w:szCs w:val="32"/>
          <w:highlight w:val="none"/>
          <w:lang w:val="en-US" w:eastAsia="zh-CN"/>
        </w:rPr>
        <w:t>0</w:t>
      </w:r>
      <w:r>
        <w:rPr>
          <w:rFonts w:hint="eastAsia"/>
          <w:sz w:val="32"/>
          <w:szCs w:val="32"/>
          <w:highlight w:val="none"/>
        </w:rPr>
        <w:t>名，工勤编制8名，事业编制</w:t>
      </w:r>
      <w:r>
        <w:rPr>
          <w:rFonts w:hint="eastAsia"/>
          <w:sz w:val="32"/>
          <w:szCs w:val="32"/>
          <w:highlight w:val="none"/>
          <w:lang w:val="en-US" w:eastAsia="zh-CN"/>
        </w:rPr>
        <w:t>35</w:t>
      </w:r>
      <w:r>
        <w:rPr>
          <w:rFonts w:hint="eastAsia"/>
          <w:sz w:val="32"/>
          <w:szCs w:val="32"/>
          <w:highlight w:val="none"/>
        </w:rPr>
        <w:t>名</w:t>
      </w:r>
      <w:r>
        <w:rPr>
          <w:rFonts w:hint="eastAsia"/>
          <w:sz w:val="32"/>
          <w:szCs w:val="32"/>
          <w:highlight w:val="none"/>
          <w:lang w:eastAsia="zh-CN"/>
        </w:rPr>
        <w:t>（其中参公事业编</w:t>
      </w:r>
      <w:r>
        <w:rPr>
          <w:rFonts w:hint="eastAsia"/>
          <w:sz w:val="32"/>
          <w:szCs w:val="32"/>
          <w:highlight w:val="none"/>
          <w:lang w:val="en-US" w:eastAsia="zh-CN"/>
        </w:rPr>
        <w:t>20名</w:t>
      </w:r>
      <w:r>
        <w:rPr>
          <w:rFonts w:hint="eastAsia"/>
          <w:sz w:val="32"/>
          <w:szCs w:val="32"/>
          <w:highlight w:val="none"/>
          <w:lang w:eastAsia="zh-CN"/>
        </w:rPr>
        <w:t>）</w:t>
      </w:r>
      <w:r>
        <w:rPr>
          <w:rFonts w:hint="eastAsia"/>
          <w:sz w:val="32"/>
          <w:szCs w:val="32"/>
          <w:highlight w:val="none"/>
        </w:rPr>
        <w:t>。在职人员总数6</w:t>
      </w:r>
      <w:r>
        <w:rPr>
          <w:rFonts w:hint="eastAsia"/>
          <w:sz w:val="32"/>
          <w:szCs w:val="32"/>
          <w:highlight w:val="none"/>
          <w:lang w:val="en-US" w:eastAsia="zh-CN"/>
        </w:rPr>
        <w:t>4</w:t>
      </w:r>
      <w:bookmarkStart w:id="0" w:name="_GoBack"/>
      <w:bookmarkEnd w:id="0"/>
      <w:r>
        <w:rPr>
          <w:rFonts w:hint="eastAsia"/>
          <w:sz w:val="32"/>
          <w:szCs w:val="32"/>
          <w:highlight w:val="none"/>
        </w:rPr>
        <w:t>人，其中：行政人员</w:t>
      </w:r>
      <w:r>
        <w:rPr>
          <w:rFonts w:hint="eastAsia"/>
          <w:sz w:val="32"/>
          <w:szCs w:val="32"/>
          <w:highlight w:val="none"/>
          <w:lang w:val="en-US" w:eastAsia="zh-CN"/>
        </w:rPr>
        <w:t>33</w:t>
      </w:r>
      <w:r>
        <w:rPr>
          <w:rFonts w:hint="eastAsia"/>
          <w:sz w:val="32"/>
          <w:szCs w:val="32"/>
          <w:highlight w:val="none"/>
        </w:rPr>
        <w:t>人，工勤人员</w:t>
      </w:r>
      <w:r>
        <w:rPr>
          <w:rFonts w:hint="eastAsia"/>
          <w:sz w:val="32"/>
          <w:szCs w:val="32"/>
          <w:highlight w:val="none"/>
          <w:lang w:val="en-US" w:eastAsia="zh-CN"/>
        </w:rPr>
        <w:t>6</w:t>
      </w:r>
      <w:r>
        <w:rPr>
          <w:rFonts w:hint="eastAsia"/>
          <w:sz w:val="32"/>
          <w:szCs w:val="32"/>
          <w:highlight w:val="none"/>
        </w:rPr>
        <w:t>人，事业人员</w:t>
      </w:r>
      <w:r>
        <w:rPr>
          <w:rFonts w:hint="eastAsia"/>
          <w:sz w:val="32"/>
          <w:szCs w:val="32"/>
          <w:highlight w:val="none"/>
          <w:lang w:val="en-US" w:eastAsia="zh-CN"/>
        </w:rPr>
        <w:t>25</w:t>
      </w:r>
      <w:r>
        <w:rPr>
          <w:rFonts w:hint="eastAsia"/>
          <w:sz w:val="32"/>
          <w:szCs w:val="32"/>
          <w:highlight w:val="none"/>
        </w:rPr>
        <w:t>人</w:t>
      </w:r>
      <w:r>
        <w:rPr>
          <w:rFonts w:hint="eastAsia"/>
          <w:sz w:val="32"/>
          <w:szCs w:val="32"/>
          <w:highlight w:val="none"/>
          <w:lang w:eastAsia="zh-CN"/>
        </w:rPr>
        <w:t>（其中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参公事业人员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hAnsi="仿宋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" w:eastAsia="仿宋_GB2312"/>
          <w:sz w:val="32"/>
          <w:szCs w:val="32"/>
          <w:highlight w:val="none"/>
          <w:lang w:val="en-US" w:eastAsia="zh-CN"/>
        </w:rPr>
        <w:t>人</w:t>
      </w:r>
      <w:r>
        <w:rPr>
          <w:rFonts w:hint="eastAsia"/>
          <w:sz w:val="32"/>
          <w:szCs w:val="32"/>
          <w:highlight w:val="none"/>
          <w:lang w:eastAsia="zh-CN"/>
        </w:rPr>
        <w:t>）</w:t>
      </w:r>
      <w:r>
        <w:rPr>
          <w:rFonts w:hint="eastAsia"/>
          <w:sz w:val="32"/>
          <w:szCs w:val="32"/>
          <w:highlight w:val="none"/>
        </w:rPr>
        <w:t>；离退休人员</w:t>
      </w:r>
      <w:r>
        <w:rPr>
          <w:sz w:val="32"/>
          <w:szCs w:val="32"/>
          <w:highlight w:val="none"/>
        </w:rPr>
        <w:t>1</w:t>
      </w:r>
      <w:r>
        <w:rPr>
          <w:rFonts w:hint="eastAsia"/>
          <w:sz w:val="32"/>
          <w:szCs w:val="32"/>
          <w:highlight w:val="none"/>
          <w:lang w:val="en-US" w:eastAsia="zh-CN"/>
        </w:rPr>
        <w:t>7</w:t>
      </w:r>
      <w:r>
        <w:rPr>
          <w:rFonts w:hint="eastAsia"/>
          <w:sz w:val="32"/>
          <w:szCs w:val="32"/>
          <w:highlight w:val="none"/>
        </w:rPr>
        <w:t>人，其中：退休人员</w:t>
      </w:r>
      <w:r>
        <w:rPr>
          <w:sz w:val="32"/>
          <w:szCs w:val="32"/>
          <w:highlight w:val="none"/>
        </w:rPr>
        <w:t>1</w:t>
      </w:r>
      <w:r>
        <w:rPr>
          <w:rFonts w:hint="eastAsia"/>
          <w:sz w:val="32"/>
          <w:szCs w:val="32"/>
          <w:highlight w:val="none"/>
          <w:lang w:val="en-US" w:eastAsia="zh-CN"/>
        </w:rPr>
        <w:t>7</w:t>
      </w:r>
      <w:r>
        <w:rPr>
          <w:rFonts w:hint="eastAsia"/>
          <w:sz w:val="32"/>
          <w:szCs w:val="32"/>
          <w:highlight w:val="none"/>
        </w:rPr>
        <w:t>人。本次公开数据包括所有下属二级单位数据。</w:t>
      </w:r>
    </w:p>
    <w:p>
      <w:pPr>
        <w:pStyle w:val="5"/>
        <w:adjustRightInd w:val="0"/>
        <w:snapToGrid w:val="0"/>
        <w:spacing w:beforeLines="0" w:line="560" w:lineRule="exact"/>
        <w:ind w:firstLine="640" w:firstLineChars="200"/>
        <w:rPr>
          <w:rFonts w:hAnsi="仿宋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三、收支预算增减变化情况说明</w:t>
      </w:r>
    </w:p>
    <w:p>
      <w:pPr>
        <w:pStyle w:val="5"/>
        <w:adjustRightInd w:val="0"/>
        <w:snapToGrid w:val="0"/>
        <w:spacing w:beforeLines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按照综合预算的原则，市场监管局所有收支均包含下属单位数据，全部纳入部门预算管理。202</w:t>
      </w:r>
      <w:r>
        <w:rPr>
          <w:rFonts w:hint="eastAsia" w:hAnsi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年市场监管局收入预算总额为</w:t>
      </w:r>
      <w:r>
        <w:rPr>
          <w:rFonts w:hint="eastAsia" w:hAnsi="仿宋_GB2312" w:cs="仿宋_GB2312"/>
          <w:sz w:val="32"/>
          <w:szCs w:val="32"/>
          <w:highlight w:val="none"/>
          <w:lang w:val="en-US" w:eastAsia="zh-CN"/>
        </w:rPr>
        <w:t>1578.96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，比20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hAnsi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年预算数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增加</w:t>
      </w:r>
      <w:r>
        <w:rPr>
          <w:rFonts w:hint="eastAsia" w:hAnsi="仿宋_GB2312" w:cs="仿宋_GB2312"/>
          <w:sz w:val="32"/>
          <w:szCs w:val="32"/>
          <w:highlight w:val="none"/>
          <w:lang w:val="en-US" w:eastAsia="zh-CN"/>
        </w:rPr>
        <w:t>144.1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万元，收入包括：一般公共预算财政拨款收入</w:t>
      </w:r>
      <w:r>
        <w:rPr>
          <w:rFonts w:hint="eastAsia" w:hAnsi="仿宋_GB2312" w:cs="仿宋_GB2312"/>
          <w:sz w:val="32"/>
          <w:szCs w:val="32"/>
          <w:highlight w:val="none"/>
          <w:lang w:val="en-US" w:eastAsia="zh-CN"/>
        </w:rPr>
        <w:t>1578.96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万元；相应安排支出预算</w:t>
      </w:r>
      <w:r>
        <w:rPr>
          <w:rFonts w:hint="eastAsia" w:hAnsi="仿宋_GB2312" w:cs="仿宋_GB2312"/>
          <w:sz w:val="32"/>
          <w:szCs w:val="32"/>
          <w:highlight w:val="none"/>
          <w:lang w:val="en-US" w:eastAsia="zh-CN"/>
        </w:rPr>
        <w:t>1578.96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</w:t>
      </w:r>
      <w:r>
        <w:rPr>
          <w:rFonts w:hint="eastAsia" w:hAnsi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比20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hAnsi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年预算数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增加</w:t>
      </w:r>
      <w:r>
        <w:rPr>
          <w:rFonts w:hint="eastAsia" w:hAnsi="仿宋_GB2312" w:cs="仿宋_GB2312"/>
          <w:sz w:val="32"/>
          <w:szCs w:val="32"/>
          <w:highlight w:val="none"/>
          <w:lang w:val="en-US" w:eastAsia="zh-CN"/>
        </w:rPr>
        <w:t>178.89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万元，支出包括：一般公共服务支出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hAnsi="仿宋_GB2312" w:cs="仿宋_GB2312"/>
          <w:sz w:val="32"/>
          <w:szCs w:val="32"/>
          <w:highlight w:val="none"/>
          <w:lang w:val="en-US" w:eastAsia="zh-CN"/>
        </w:rPr>
        <w:t>249.49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万元，社会保障和就业</w:t>
      </w:r>
      <w:r>
        <w:rPr>
          <w:rFonts w:hint="eastAsia" w:hAnsi="仿宋_GB2312" w:cs="仿宋_GB2312"/>
          <w:sz w:val="32"/>
          <w:szCs w:val="32"/>
          <w:highlight w:val="none"/>
          <w:lang w:eastAsia="zh-CN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hAnsi="仿宋_GB2312" w:cs="仿宋_GB2312"/>
          <w:sz w:val="32"/>
          <w:szCs w:val="32"/>
          <w:highlight w:val="none"/>
          <w:lang w:val="en-US" w:eastAsia="zh-CN"/>
        </w:rPr>
        <w:t>96.31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万元，卫生健康支出</w:t>
      </w:r>
      <w:r>
        <w:rPr>
          <w:rFonts w:hint="eastAsia" w:hAnsi="仿宋_GB2312" w:cs="仿宋_GB2312"/>
          <w:sz w:val="32"/>
          <w:szCs w:val="32"/>
          <w:highlight w:val="none"/>
          <w:lang w:val="en-US" w:eastAsia="zh-CN"/>
        </w:rPr>
        <w:t>44.4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万元，住房保障支出</w:t>
      </w:r>
      <w:r>
        <w:rPr>
          <w:rFonts w:hint="eastAsia" w:hAnsi="仿宋_GB2312" w:cs="仿宋_GB2312"/>
          <w:sz w:val="32"/>
          <w:szCs w:val="32"/>
          <w:highlight w:val="none"/>
          <w:lang w:val="en-US" w:eastAsia="zh-CN"/>
        </w:rPr>
        <w:t>88.75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万元。市场监管局202</w:t>
      </w:r>
      <w:r>
        <w:rPr>
          <w:rFonts w:hint="eastAsia" w:hAnsi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年收支总预算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</w:t>
      </w:r>
      <w:r>
        <w:rPr>
          <w:rFonts w:hint="eastAsia" w:hAnsi="仿宋_GB2312" w:cs="仿宋_GB2312"/>
          <w:sz w:val="32"/>
          <w:szCs w:val="32"/>
          <w:highlight w:val="none"/>
          <w:lang w:val="en-US" w:eastAsia="zh-CN"/>
        </w:rPr>
        <w:t>578.96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，比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hAnsi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年预算数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增加</w:t>
      </w:r>
      <w:r>
        <w:rPr>
          <w:rFonts w:hint="eastAsia" w:hAnsi="仿宋_GB2312" w:cs="仿宋_GB2312"/>
          <w:sz w:val="32"/>
          <w:szCs w:val="32"/>
          <w:highlight w:val="none"/>
          <w:lang w:val="en-US" w:eastAsia="zh-CN"/>
        </w:rPr>
        <w:t>144.1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，主要是人员及项目</w:t>
      </w:r>
      <w:r>
        <w:rPr>
          <w:rFonts w:hint="eastAsia" w:hAnsi="仿宋_GB2312" w:cs="仿宋_GB2312"/>
          <w:sz w:val="32"/>
          <w:szCs w:val="32"/>
          <w:highlight w:val="none"/>
          <w:lang w:eastAsia="zh-CN"/>
        </w:rPr>
        <w:t>经费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支出略有增加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>
      <w:pPr>
        <w:pStyle w:val="5"/>
        <w:numPr>
          <w:ilvl w:val="0"/>
          <w:numId w:val="2"/>
        </w:numPr>
        <w:adjustRightInd w:val="0"/>
        <w:snapToGrid w:val="0"/>
        <w:spacing w:beforeLines="0"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收入预算情况</w:t>
      </w:r>
    </w:p>
    <w:p>
      <w:pPr>
        <w:pStyle w:val="5"/>
        <w:adjustRightInd w:val="0"/>
        <w:snapToGrid w:val="0"/>
        <w:spacing w:beforeLines="0"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hAnsi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年收入预算</w:t>
      </w:r>
      <w:r>
        <w:rPr>
          <w:rFonts w:hint="eastAsia" w:hAnsi="仿宋_GB2312" w:cs="仿宋_GB2312"/>
          <w:sz w:val="32"/>
          <w:szCs w:val="32"/>
          <w:highlight w:val="none"/>
          <w:lang w:val="en-US" w:eastAsia="zh-CN"/>
        </w:rPr>
        <w:t>1578.96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万元，其中：上年结转0万元；一般公共预算拨款收入</w:t>
      </w:r>
      <w:r>
        <w:rPr>
          <w:rFonts w:hint="eastAsia" w:hAnsi="仿宋_GB2312" w:cs="仿宋_GB2312"/>
          <w:sz w:val="32"/>
          <w:szCs w:val="32"/>
          <w:highlight w:val="none"/>
          <w:lang w:val="en-US" w:eastAsia="zh-CN"/>
        </w:rPr>
        <w:t>1578.96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万元，占100%；事业收入0万元；事业单位经营收入0万元；其他收入0万元。</w:t>
      </w:r>
    </w:p>
    <w:p>
      <w:pPr>
        <w:spacing w:line="560" w:lineRule="exact"/>
        <w:ind w:firstLine="645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（二）支出预算情况</w:t>
      </w: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年支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出预算1578.96万元，其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中：基本支出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1336.22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万元，占8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4.63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%；项目支出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242.74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15.37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</w:t>
      </w:r>
    </w:p>
    <w:p>
      <w:pPr>
        <w:pStyle w:val="5"/>
        <w:adjustRightInd w:val="0"/>
        <w:snapToGrid w:val="0"/>
        <w:spacing w:beforeLines="0" w:line="56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四、财政拨款收支预算情况说明</w:t>
      </w: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市场监管局2023年财政拨款收支总预算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1578.96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万元。比2022年财政拨款收支总预算增加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144.1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万元。</w:t>
      </w: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收入包括：本年一般公共预算拨款收入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1578.96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万元、上年结转一般公共预算拨款收入0万元；支出包括：一般公共服务支出1249.49万元，社会保障和就业支出196.31万元，卫生健康支出44.4万元，住房保障支出88.75万元。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五、一般公共预算当年拨款情况说明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（一）一般公共预算当年拨款规模变化情况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市场监管局202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年一般公共预算当年拨款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1578.96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万元，比20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年预算数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增加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144.1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万元。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（二）一般公共预算当年拨款结构情况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按照功能科目类写</w:t>
      </w:r>
      <w:r>
        <w:rPr>
          <w:rFonts w:hint="eastAsia" w:ascii="楷体_GB2312" w:hAnsi="楷体_GB2312" w:eastAsia="楷体_GB2312" w:cs="楷体_GB2312"/>
          <w:sz w:val="32"/>
          <w:szCs w:val="32"/>
          <w:highlight w:val="none"/>
          <w:lang w:eastAsia="zh-CN"/>
        </w:rPr>
        <w:t>）</w:t>
      </w:r>
    </w:p>
    <w:p>
      <w:pPr>
        <w:spacing w:line="560" w:lineRule="exact"/>
        <w:ind w:firstLine="645"/>
        <w:rPr>
          <w:rFonts w:hint="eastAsia" w:ascii="仿宋_GB2312" w:hAnsi="仿宋_GB2312" w:eastAsia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/>
          <w:sz w:val="32"/>
          <w:szCs w:val="32"/>
          <w:highlight w:val="none"/>
        </w:rPr>
        <w:t>一般公共服务支出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1249.49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万元，占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79.13</w:t>
      </w:r>
      <w:r>
        <w:rPr>
          <w:rFonts w:ascii="仿宋_GB2312" w:hAnsi="仿宋_GB2312" w:eastAsia="仿宋_GB2312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；</w:t>
      </w:r>
      <w:r>
        <w:rPr>
          <w:rFonts w:hint="eastAsia" w:ascii="仿宋_GB2312" w:eastAsia="仿宋_GB2312"/>
          <w:sz w:val="32"/>
          <w:szCs w:val="32"/>
          <w:highlight w:val="none"/>
        </w:rPr>
        <w:t>社会保障和就业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196.31</w:t>
      </w:r>
      <w:r>
        <w:rPr>
          <w:rFonts w:hint="eastAsia" w:ascii="仿宋_GB2312" w:eastAsia="仿宋_GB2312"/>
          <w:sz w:val="32"/>
          <w:szCs w:val="32"/>
          <w:highlight w:val="none"/>
        </w:rPr>
        <w:t>万元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，占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12.43</w:t>
      </w:r>
      <w:r>
        <w:rPr>
          <w:rFonts w:ascii="仿宋_GB2312" w:hAnsi="仿宋_GB2312" w:eastAsia="仿宋_GB2312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；</w:t>
      </w:r>
      <w:r>
        <w:rPr>
          <w:rFonts w:hint="eastAsia" w:ascii="仿宋_GB2312" w:eastAsia="仿宋_GB2312"/>
          <w:sz w:val="32"/>
          <w:szCs w:val="32"/>
          <w:highlight w:val="none"/>
        </w:rPr>
        <w:t>卫生健康支出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44.4</w:t>
      </w:r>
      <w:r>
        <w:rPr>
          <w:rFonts w:hint="eastAsia" w:ascii="仿宋_GB2312" w:eastAsia="仿宋_GB2312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占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2.81</w:t>
      </w:r>
      <w:r>
        <w:rPr>
          <w:rFonts w:ascii="仿宋_GB2312" w:hAnsi="仿宋_GB2312" w:eastAsia="仿宋_GB2312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；</w:t>
      </w:r>
      <w:r>
        <w:rPr>
          <w:rFonts w:hint="eastAsia" w:ascii="仿宋_GB2312" w:eastAsia="仿宋_GB2312"/>
          <w:sz w:val="32"/>
          <w:szCs w:val="32"/>
          <w:highlight w:val="none"/>
        </w:rPr>
        <w:t>住房保障支出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 w:bidi="ar-SA"/>
        </w:rPr>
        <w:t>88.75</w:t>
      </w:r>
      <w:r>
        <w:rPr>
          <w:rFonts w:hint="eastAsia" w:ascii="仿宋_GB2312" w:eastAsia="仿宋_GB2312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占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5.62</w:t>
      </w:r>
      <w:r>
        <w:rPr>
          <w:rFonts w:ascii="仿宋_GB2312" w:hAnsi="仿宋_GB2312" w:eastAsia="仿宋_GB2312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（三）一般公共预算当年拨款具体使用情况（按功能科目类款项写）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ascii="仿宋_GB2312" w:hAnsi="仿宋_GB2312" w:eastAsia="仿宋_GB2312"/>
          <w:sz w:val="32"/>
          <w:szCs w:val="32"/>
          <w:highlight w:val="none"/>
        </w:rPr>
        <w:t>1.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一般公共服务（类）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eastAsia="zh-CN"/>
        </w:rPr>
        <w:t>知识产权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事务（款）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eastAsia="zh-CN"/>
        </w:rPr>
        <w:t>其他知识产权事务支出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（项）</w:t>
      </w:r>
      <w:r>
        <w:rPr>
          <w:rFonts w:ascii="仿宋_GB2312" w:hAnsi="仿宋_GB2312" w:eastAsia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年预算数为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29.24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万元，主要用于：</w:t>
      </w:r>
      <w:r>
        <w:rPr>
          <w:rFonts w:hint="eastAsia" w:ascii="仿宋_GB2312" w:hAnsi="仿宋_GB2312" w:eastAsia="仿宋_GB2312" w:cs="Times New Roman"/>
          <w:sz w:val="32"/>
          <w:szCs w:val="32"/>
          <w:highlight w:val="none"/>
          <w:lang w:val="en-US" w:eastAsia="zh-CN"/>
        </w:rPr>
        <w:t>鼓励企业和个人创新创业，强化全社会知识产权保护意识和创新能力，优化我区营商环境，不断增强我区经济创新力和竞争力。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ascii="仿宋_GB2312" w:hAnsi="仿宋_GB2312" w:eastAsia="仿宋_GB2312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一般公共服务（类）市场监督管理事务（款）行政运行（项）</w:t>
      </w:r>
      <w:r>
        <w:rPr>
          <w:rFonts w:ascii="仿宋_GB2312" w:hAnsi="仿宋_GB2312" w:eastAsia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年预算数为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854.73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万元，主要用于：</w:t>
      </w:r>
      <w:r>
        <w:rPr>
          <w:rFonts w:ascii="仿宋_GB2312" w:eastAsia="仿宋_GB2312" w:cs="仿宋_GB2312"/>
          <w:sz w:val="32"/>
          <w:szCs w:val="32"/>
          <w:highlight w:val="none"/>
        </w:rPr>
        <w:t>区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市场监管局（包括实行公务员管理的事业单位）</w:t>
      </w:r>
      <w:r>
        <w:rPr>
          <w:rFonts w:ascii="仿宋_GB2312" w:eastAsia="仿宋_GB2312" w:cs="仿宋_GB2312"/>
          <w:sz w:val="32"/>
          <w:szCs w:val="32"/>
          <w:highlight w:val="none"/>
        </w:rPr>
        <w:t>机关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的基本支出</w:t>
      </w:r>
      <w:r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保障干部</w:t>
      </w:r>
      <w:r>
        <w:rPr>
          <w:rFonts w:hint="eastAsia" w:ascii="仿宋_GB2312" w:hAnsi="仿宋_GB2312" w:eastAsia="仿宋_GB2312" w:cs="Times New Roman"/>
          <w:sz w:val="32"/>
          <w:szCs w:val="32"/>
          <w:highlight w:val="none"/>
          <w:lang w:val="en-US" w:eastAsia="zh-CN"/>
        </w:rPr>
        <w:t>职工的人员经费按时足额发放。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Times New Roman"/>
          <w:sz w:val="32"/>
          <w:szCs w:val="32"/>
          <w:highlight w:val="none"/>
          <w:lang w:val="en-US" w:eastAsia="zh-CN"/>
        </w:rPr>
        <w:t>3.一般公共服务（类）市场监督管理事务（款）市场主体管理（项）2023年预算数为2.5万元，主要用于：开展民营企业建立现代企业制度评审验收工作，推动民营经济稳步健康发展，进一步优化营商环境。</w:t>
      </w:r>
    </w:p>
    <w:p>
      <w:pPr>
        <w:spacing w:line="560" w:lineRule="exact"/>
        <w:ind w:firstLine="645"/>
        <w:rPr>
          <w:rFonts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ascii="仿宋_GB2312" w:hAnsi="仿宋_GB2312" w:eastAsia="仿宋_GB2312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一般公共服务（类）市场监督管理事务（款）市场秩序执法（项）</w:t>
      </w:r>
      <w:r>
        <w:rPr>
          <w:rFonts w:ascii="仿宋_GB2312" w:hAnsi="仿宋_GB2312" w:eastAsia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年预算数为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9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万元，主要用于：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强化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特种设备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监管，完成202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年特种设备安全监察工作。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ascii="仿宋_GB2312" w:eastAsia="仿宋_GB2312"/>
          <w:color w:val="000000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一般公共服务（类）市场监督管理事务（款）质量基础（项）</w:t>
      </w:r>
      <w:r>
        <w:rPr>
          <w:rFonts w:ascii="仿宋_GB2312" w:hAnsi="仿宋_GB2312" w:eastAsia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年预算数为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32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万元，主要用于：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eastAsia="zh-CN"/>
        </w:rPr>
        <w:t>开展计量器具的强制检定，保障民用水表、燃气表量值的准确可靠，保护广大人民群众的切身利益。落实《产品质量法》赋予本部门的监管职责，加强流通和生产领域产品质量监管，提升群众对产品质量的满意度。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6</w:t>
      </w:r>
      <w:r>
        <w:rPr>
          <w:rFonts w:ascii="仿宋_GB2312" w:hAnsi="仿宋_GB2312" w:eastAsia="仿宋_GB2312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一般公共服务（类）市场监督管理事务（款）药品事务（项）</w:t>
      </w:r>
      <w:r>
        <w:rPr>
          <w:rFonts w:ascii="仿宋_GB2312" w:hAnsi="仿宋_GB2312" w:eastAsia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年预算数为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6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万元，主要用于：</w:t>
      </w:r>
      <w:r>
        <w:rPr>
          <w:rFonts w:ascii="仿宋_GB2312" w:eastAsia="仿宋_GB2312" w:cs="仿宋_GB2312"/>
          <w:sz w:val="32"/>
          <w:szCs w:val="32"/>
          <w:highlight w:val="none"/>
        </w:rPr>
        <w:t>完成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区本级年初制定药品抽检、监督检查和专项整治等工作目标，保障全区药品安全。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Fonts w:ascii="仿宋_GB2312" w:hAnsi="仿宋_GB2312" w:eastAsia="仿宋_GB2312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一般公共服务（类）市场监督管理事务（款）食品安全监管（项）</w:t>
      </w:r>
      <w:r>
        <w:rPr>
          <w:rFonts w:ascii="仿宋_GB2312" w:hAnsi="仿宋_GB2312" w:eastAsia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年预算数为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164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万元，主要用于：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落实进口冷链食品新冠病毒核酸检测、全面消毒和溯源管理措施，对罗江区进口冷链食品进行集中监管。加强对辖区食品单位的日常监督及抽样检测，保障全区群众饮食安全。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8</w:t>
      </w:r>
      <w:r>
        <w:rPr>
          <w:rFonts w:ascii="仿宋_GB2312" w:hAnsi="仿宋_GB2312" w:eastAsia="仿宋_GB2312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一般公共服务（类）市场监督管理事务（款）事业运行（项）202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年预算数为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152.03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万元，主要用于：区市场监管局直属事业单位的基本支出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保障干部职工的人员经费按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时足额发放。</w:t>
      </w:r>
    </w:p>
    <w:p>
      <w:pPr>
        <w:spacing w:line="560" w:lineRule="exact"/>
        <w:ind w:firstLine="627" w:firstLineChars="196"/>
        <w:rPr>
          <w:rFonts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9</w:t>
      </w:r>
      <w:r>
        <w:rPr>
          <w:rFonts w:ascii="仿宋_GB2312" w:hAnsi="仿宋_GB2312" w:eastAsia="仿宋_GB2312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社会保障和就业支出（类）行政事业单位养老支出（款）机关事业单位基本养老保险缴费支出（项）</w:t>
      </w:r>
      <w:r>
        <w:rPr>
          <w:rFonts w:ascii="仿宋_GB2312" w:hAnsi="仿宋_GB2312" w:eastAsia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年预算数为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105.44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万元，主要用于：市场监管局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实施养老保险制度由单位缴纳的基本养老保险费支出。</w:t>
      </w:r>
    </w:p>
    <w:p>
      <w:pPr>
        <w:spacing w:line="560" w:lineRule="exact"/>
        <w:ind w:firstLine="627" w:firstLineChars="196"/>
        <w:rPr>
          <w:rFonts w:ascii="仿宋_GB2312" w:eastAsia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10</w:t>
      </w:r>
      <w:r>
        <w:rPr>
          <w:rFonts w:ascii="仿宋_GB2312" w:hAnsi="仿宋_GB2312" w:eastAsia="仿宋_GB2312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社会保障和就业支出（类）行政事业单位养老支出（款）机关事业单位职业年金缴费支出（项）</w:t>
      </w:r>
      <w:r>
        <w:rPr>
          <w:rFonts w:ascii="仿宋_GB2312" w:hAnsi="仿宋_GB2312" w:eastAsia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年预算数为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52.72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万元，主要用于：市场监管局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实施养老保险制度由单位实际缴纳的职业年金支出。</w:t>
      </w:r>
    </w:p>
    <w:p>
      <w:pPr>
        <w:spacing w:line="560" w:lineRule="exact"/>
        <w:ind w:firstLine="627" w:firstLineChars="196"/>
        <w:rPr>
          <w:rFonts w:ascii="仿宋_GB2312" w:eastAsia="仿宋_GB2312"/>
          <w:color w:val="000000"/>
          <w:sz w:val="32"/>
          <w:szCs w:val="32"/>
          <w:highlight w:val="none"/>
        </w:rPr>
      </w:pPr>
      <w:r>
        <w:rPr>
          <w:rFonts w:ascii="仿宋_GB2312" w:hAnsi="仿宋_GB2312" w:eastAsia="仿宋_GB2312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1</w:t>
      </w:r>
      <w:r>
        <w:rPr>
          <w:rFonts w:ascii="仿宋_GB2312" w:hAnsi="仿宋_GB2312" w:eastAsia="仿宋_GB2312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社会保障和就业支出（类）行政事业单位养老支出（款）其他行政事业单位养老支出（项）</w:t>
      </w:r>
      <w:r>
        <w:rPr>
          <w:rFonts w:ascii="仿宋_GB2312" w:hAnsi="仿宋_GB2312" w:eastAsia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年预算数为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36.3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万元，主要用于：市场监管局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实施养老保险制度由单位缴纳的其他养老保险费支出。</w:t>
      </w:r>
    </w:p>
    <w:p>
      <w:pPr>
        <w:spacing w:line="560" w:lineRule="exact"/>
        <w:ind w:firstLine="627" w:firstLineChars="196"/>
        <w:rPr>
          <w:rFonts w:ascii="仿宋_GB2312" w:eastAsia="仿宋_GB2312"/>
          <w:color w:val="000000"/>
          <w:sz w:val="32"/>
          <w:szCs w:val="32"/>
          <w:highlight w:val="none"/>
        </w:rPr>
      </w:pPr>
      <w:r>
        <w:rPr>
          <w:rFonts w:ascii="仿宋_GB2312" w:hAnsi="仿宋_GB2312" w:eastAsia="仿宋_GB2312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ascii="仿宋_GB2312" w:hAnsi="仿宋_GB2312" w:eastAsia="仿宋_GB2312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社会保障和就业支出（类）其他社会保障和就业支出（款）其他社会保障和就业支出（项）</w:t>
      </w:r>
      <w:r>
        <w:rPr>
          <w:rFonts w:ascii="仿宋_GB2312" w:hAnsi="仿宋_GB2312" w:eastAsia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年预算数为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1.86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万元，主要用于：市场监管局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</w:rPr>
        <w:t>实施养老保险制度由单位缴纳的其他社保支出。</w:t>
      </w:r>
    </w:p>
    <w:p>
      <w:pPr>
        <w:spacing w:line="560" w:lineRule="exact"/>
        <w:ind w:firstLine="640" w:firstLineChars="200"/>
        <w:rPr>
          <w:rStyle w:val="10"/>
          <w:rFonts w:ascii="仿宋_GB2312" w:eastAsia="仿宋_GB2312"/>
          <w:b w:val="0"/>
          <w:color w:val="000000"/>
          <w:sz w:val="32"/>
          <w:szCs w:val="32"/>
          <w:highlight w:val="none"/>
        </w:rPr>
      </w:pPr>
      <w:r>
        <w:rPr>
          <w:rFonts w:ascii="仿宋_GB2312" w:hAnsi="仿宋_GB2312" w:eastAsia="仿宋_GB2312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ascii="仿宋_GB2312" w:hAnsi="仿宋_GB2312" w:eastAsia="仿宋_GB2312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卫生健康支出（类）行政事业单位医疗（款）行政单位医疗（项）</w:t>
      </w:r>
      <w:r>
        <w:rPr>
          <w:rFonts w:ascii="仿宋_GB2312" w:hAnsi="仿宋_GB2312" w:eastAsia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年预算数为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38万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元，主要用于：</w:t>
      </w:r>
      <w:r>
        <w:rPr>
          <w:rStyle w:val="10"/>
          <w:rFonts w:hint="eastAsia" w:ascii="仿宋_GB2312" w:eastAsia="仿宋_GB2312"/>
          <w:b w:val="0"/>
          <w:color w:val="000000"/>
          <w:sz w:val="32"/>
          <w:szCs w:val="32"/>
          <w:highlight w:val="none"/>
        </w:rPr>
        <w:t>财政部门集中安排的行政单位基本医疗保险缴费经费，未参加医疗保险的行政单位的公费医疗经费，按国家规定享受离休人员、红军老战士待遇人员的医疗经费。</w:t>
      </w:r>
    </w:p>
    <w:p>
      <w:pPr>
        <w:spacing w:line="560" w:lineRule="exact"/>
        <w:ind w:firstLine="640" w:firstLineChars="200"/>
        <w:rPr>
          <w:rStyle w:val="10"/>
          <w:rFonts w:ascii="仿宋_GB2312" w:eastAsia="仿宋_GB2312"/>
          <w:b w:val="0"/>
          <w:color w:val="000000"/>
          <w:sz w:val="32"/>
          <w:szCs w:val="32"/>
          <w:highlight w:val="none"/>
        </w:rPr>
      </w:pPr>
      <w:r>
        <w:rPr>
          <w:rFonts w:ascii="仿宋_GB2312" w:hAnsi="仿宋_GB2312" w:eastAsia="仿宋_GB2312"/>
          <w:sz w:val="32"/>
          <w:szCs w:val="32"/>
          <w:highlight w:val="none"/>
        </w:rPr>
        <w:t>1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ascii="仿宋_GB2312" w:hAnsi="仿宋_GB2312" w:eastAsia="仿宋_GB2312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卫生健康支出（类）行政事业单位医疗（款）事业单位医疗（项）</w:t>
      </w:r>
      <w:r>
        <w:rPr>
          <w:rFonts w:ascii="仿宋_GB2312" w:hAnsi="仿宋_GB2312" w:eastAsia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年预算数为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6.4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万元，主要用于：</w:t>
      </w:r>
      <w:r>
        <w:rPr>
          <w:rStyle w:val="10"/>
          <w:rFonts w:hint="eastAsia" w:ascii="仿宋_GB2312" w:eastAsia="仿宋_GB2312"/>
          <w:b w:val="0"/>
          <w:color w:val="000000"/>
          <w:sz w:val="32"/>
          <w:szCs w:val="32"/>
          <w:highlight w:val="none"/>
        </w:rPr>
        <w:t>财政部门集中安排的事业单位基本医疗保险缴费经费，未参加医疗保险的事业单位的公费医疗经费，按国家规定享受离休人员待遇的医疗经费。</w:t>
      </w:r>
    </w:p>
    <w:p>
      <w:pPr>
        <w:spacing w:line="560" w:lineRule="exact"/>
        <w:ind w:firstLine="645"/>
        <w:rPr>
          <w:rFonts w:ascii="仿宋_GB2312" w:hAnsi="仿宋_GB2312" w:eastAsia="仿宋_GB2312"/>
          <w:sz w:val="32"/>
          <w:szCs w:val="32"/>
          <w:highlight w:val="none"/>
        </w:rPr>
      </w:pPr>
      <w:r>
        <w:rPr>
          <w:rFonts w:ascii="仿宋_GB2312" w:eastAsia="仿宋_GB2312"/>
          <w:color w:val="000000"/>
          <w:sz w:val="32"/>
          <w:szCs w:val="32"/>
          <w:highlight w:val="none"/>
        </w:rPr>
        <w:t>1</w:t>
      </w:r>
      <w:r>
        <w:rPr>
          <w:rFonts w:hint="eastAsia" w:ascii="仿宋_GB2312" w:eastAsia="仿宋_GB2312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ascii="仿宋_GB2312" w:hAnsi="仿宋_GB2312" w:eastAsia="仿宋_GB2312"/>
          <w:sz w:val="32"/>
          <w:szCs w:val="32"/>
          <w:highlight w:val="none"/>
        </w:rPr>
        <w:t>.</w:t>
      </w:r>
      <w:r>
        <w:rPr>
          <w:rFonts w:hint="eastAsia" w:ascii="仿宋_GB2312" w:eastAsia="仿宋_GB2312"/>
          <w:sz w:val="32"/>
          <w:szCs w:val="32"/>
          <w:highlight w:val="none"/>
        </w:rPr>
        <w:t>住房保障支出（类）住房改革支出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（款）</w:t>
      </w:r>
      <w:r>
        <w:rPr>
          <w:rFonts w:hint="eastAsia" w:ascii="仿宋_GB2312" w:eastAsia="仿宋_GB2312"/>
          <w:sz w:val="32"/>
          <w:szCs w:val="32"/>
          <w:highlight w:val="none"/>
        </w:rPr>
        <w:t>住房公积金（项）</w:t>
      </w:r>
      <w:r>
        <w:rPr>
          <w:rFonts w:ascii="仿宋_GB2312" w:eastAsia="仿宋_GB2312"/>
          <w:sz w:val="32"/>
          <w:szCs w:val="32"/>
          <w:highlight w:val="none"/>
        </w:rPr>
        <w:t>20</w:t>
      </w:r>
      <w:r>
        <w:rPr>
          <w:rFonts w:hint="eastAsia" w:ascii="仿宋_GB2312" w:eastAsia="仿宋_GB2312"/>
          <w:sz w:val="32"/>
          <w:szCs w:val="32"/>
          <w:highlight w:val="none"/>
        </w:rPr>
        <w:t>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年预算数为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88.75</w:t>
      </w:r>
      <w:r>
        <w:rPr>
          <w:rFonts w:hint="eastAsia" w:ascii="仿宋_GB2312" w:eastAsia="仿宋_GB2312"/>
          <w:sz w:val="32"/>
          <w:szCs w:val="32"/>
          <w:highlight w:val="none"/>
        </w:rPr>
        <w:t>万元，主要用于：职工住房公积金方面的支出。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六、一般公共预算基本支出情况说明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/>
          <w:sz w:val="32"/>
          <w:szCs w:val="32"/>
          <w:highlight w:val="none"/>
        </w:rPr>
        <w:t>市场监管局</w:t>
      </w:r>
      <w:r>
        <w:rPr>
          <w:rFonts w:ascii="仿宋_GB2312" w:hAnsi="仿宋_GB2312" w:eastAsia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年一般公共预算基本支出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1336.22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万元，其中：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/>
          <w:sz w:val="32"/>
          <w:szCs w:val="32"/>
          <w:highlight w:val="none"/>
        </w:rPr>
        <w:t>人员经费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1115.42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万元，主要包括：基本工资、津贴补贴、奖金、社会保险缴费、绩效工资、机关事业单位基本养老保险缴费、职业年金缴费、其他工资福利支出。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/>
          <w:sz w:val="32"/>
          <w:szCs w:val="32"/>
          <w:highlight w:val="none"/>
        </w:rPr>
        <w:t>公用经费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220.8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万元，主要包括：办公费、印刷费、咨询费、手续费、水电费、邮电费、差旅费、维修（护）费、租赁费、会议费、培训费、劳务费、工会经费、福利费、其他交通工具运行维护费、其他商品和服务支出。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七、“三公”经费财政拨款预算安排情况说明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/>
          <w:sz w:val="32"/>
          <w:szCs w:val="32"/>
          <w:highlight w:val="none"/>
        </w:rPr>
        <w:t>市场监管局</w:t>
      </w:r>
      <w:r>
        <w:rPr>
          <w:rFonts w:ascii="仿宋_GB2312" w:hAnsi="仿宋_GB2312" w:eastAsia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年“三公”经费财政拨款预算数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37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万元，其中：因公出国（境）经费</w:t>
      </w:r>
      <w:r>
        <w:rPr>
          <w:rFonts w:ascii="仿宋_GB2312" w:hAnsi="仿宋_GB2312" w:eastAsia="仿宋_GB2312"/>
          <w:sz w:val="32"/>
          <w:szCs w:val="32"/>
          <w:highlight w:val="none"/>
        </w:rPr>
        <w:t>0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万元，公务接待费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万元，公务用车购置</w:t>
      </w:r>
      <w:r>
        <w:rPr>
          <w:rFonts w:ascii="仿宋_GB2312" w:hAnsi="仿宋_GB2312" w:eastAsia="仿宋_GB2312"/>
          <w:sz w:val="32"/>
          <w:szCs w:val="32"/>
          <w:highlight w:val="none"/>
        </w:rPr>
        <w:t>0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万元，公务用车运行维护费3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万元。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/>
          <w:sz w:val="32"/>
          <w:szCs w:val="32"/>
          <w:highlight w:val="none"/>
        </w:rPr>
        <w:t>（一）因公出国（境）经费与</w:t>
      </w:r>
      <w:r>
        <w:rPr>
          <w:rFonts w:ascii="仿宋_GB2312" w:hAnsi="仿宋_GB2312" w:eastAsia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年预算持平。主要原因是</w:t>
      </w:r>
      <w:r>
        <w:rPr>
          <w:rFonts w:ascii="仿宋_GB2312" w:hAnsi="仿宋_GB2312" w:eastAsia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年无因公出国计划。</w:t>
      </w:r>
    </w:p>
    <w:p>
      <w:pPr>
        <w:spacing w:line="560" w:lineRule="exact"/>
        <w:ind w:firstLine="645"/>
        <w:rPr>
          <w:rFonts w:ascii="仿宋_GB2312" w:hAnsi="仿宋_GB2312" w:eastAsia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/>
          <w:sz w:val="32"/>
          <w:szCs w:val="32"/>
          <w:highlight w:val="none"/>
        </w:rPr>
        <w:t>（二）公务接待费较</w:t>
      </w:r>
      <w:r>
        <w:rPr>
          <w:rFonts w:ascii="仿宋_GB2312" w:hAnsi="仿宋_GB2312" w:eastAsia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年预算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eastAsia="zh-CN"/>
        </w:rPr>
        <w:t>减少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2万元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。</w:t>
      </w:r>
    </w:p>
    <w:p>
      <w:pPr>
        <w:spacing w:line="560" w:lineRule="exact"/>
        <w:ind w:firstLine="645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/>
          <w:sz w:val="32"/>
          <w:szCs w:val="32"/>
          <w:highlight w:val="none"/>
        </w:rPr>
        <w:t>（三）公务用车购置及运行维护费较</w:t>
      </w:r>
      <w:r>
        <w:rPr>
          <w:rFonts w:ascii="仿宋_GB2312" w:hAnsi="仿宋_GB2312" w:eastAsia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年预算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eastAsia="zh-CN"/>
        </w:rPr>
        <w:t>减少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1万元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/>
          <w:sz w:val="32"/>
          <w:szCs w:val="32"/>
          <w:highlight w:val="none"/>
        </w:rPr>
        <w:t>单位现有公务用车14辆。其中：</w:t>
      </w:r>
      <w:r>
        <w:rPr>
          <w:rFonts w:hint="eastAsia" w:ascii="仿宋_GB2312" w:eastAsia="仿宋_GB2312"/>
          <w:sz w:val="32"/>
          <w:szCs w:val="32"/>
          <w:highlight w:val="none"/>
        </w:rPr>
        <w:t>执法执勤用车11辆，特种专业技术用车3辆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ascii="仿宋_GB2312" w:hAnsi="仿宋_GB2312" w:eastAsia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年安排公务用车运行维护费3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万元，用于14辆公务用车燃油、维修、保险等方面支出，</w:t>
      </w:r>
      <w:r>
        <w:rPr>
          <w:rFonts w:hint="eastAsia" w:ascii="仿宋_GB2312" w:eastAsia="仿宋_GB2312"/>
          <w:sz w:val="32"/>
          <w:szCs w:val="32"/>
          <w:highlight w:val="none"/>
        </w:rPr>
        <w:t>主要保障执法办案、市场监管、消费维权、质量技术监督与食品药品监管等业务工作。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八、政府性基金预算收支情况说明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/>
          <w:sz w:val="32"/>
          <w:szCs w:val="32"/>
          <w:highlight w:val="none"/>
        </w:rPr>
        <w:t>市场监管局</w:t>
      </w:r>
      <w:r>
        <w:rPr>
          <w:rFonts w:ascii="仿宋_GB2312" w:hAnsi="仿宋_GB2312" w:eastAsia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eastAsia="zh-CN"/>
        </w:rPr>
        <w:t>政府性基金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收支预算</w:t>
      </w:r>
      <w:r>
        <w:rPr>
          <w:rFonts w:ascii="仿宋_GB2312" w:hAnsi="仿宋_GB2312" w:eastAsia="仿宋_GB2312"/>
          <w:sz w:val="32"/>
          <w:szCs w:val="32"/>
          <w:highlight w:val="none"/>
        </w:rPr>
        <w:t>0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万元。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九、国有资本经营预算支出情况说明</w:t>
      </w:r>
    </w:p>
    <w:p>
      <w:pPr>
        <w:spacing w:line="560" w:lineRule="exact"/>
        <w:ind w:firstLine="645"/>
        <w:rPr>
          <w:rFonts w:ascii="仿宋_GB2312" w:hAnsi="仿宋_GB2312" w:eastAsia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/>
          <w:sz w:val="32"/>
          <w:szCs w:val="32"/>
          <w:highlight w:val="none"/>
        </w:rPr>
        <w:t>市场监管局</w:t>
      </w:r>
      <w:r>
        <w:rPr>
          <w:rFonts w:ascii="仿宋_GB2312" w:hAnsi="仿宋_GB2312" w:eastAsia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年使用国有资本经营预算拨款安排</w:t>
      </w:r>
      <w:r>
        <w:rPr>
          <w:rFonts w:ascii="仿宋_GB2312" w:hAnsi="仿宋_GB2312" w:eastAsia="仿宋_GB2312"/>
          <w:sz w:val="32"/>
          <w:szCs w:val="32"/>
          <w:highlight w:val="none"/>
        </w:rPr>
        <w:t>0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万元。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十、其他重要事项的情况说明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（一）机关运行经费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  <w:highlight w:val="none"/>
        </w:rPr>
      </w:pPr>
      <w:r>
        <w:rPr>
          <w:rFonts w:ascii="仿宋_GB2312" w:hAnsi="仿宋_GB2312" w:eastAsia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年，市场监管局的机关运行经费财政拨款预算为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220.8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万元，比</w:t>
      </w:r>
      <w:r>
        <w:rPr>
          <w:rFonts w:ascii="仿宋_GB2312" w:hAnsi="仿宋_GB2312" w:eastAsia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年预算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eastAsia="zh-CN"/>
        </w:rPr>
        <w:t>减少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10.96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万元，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eastAsia="zh-CN"/>
        </w:rPr>
        <w:t>减少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4.73</w:t>
      </w:r>
      <w:r>
        <w:rPr>
          <w:rFonts w:ascii="仿宋_GB2312" w:hAnsi="仿宋_GB2312" w:eastAsia="仿宋_GB2312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。</w:t>
      </w:r>
      <w:r>
        <w:rPr>
          <w:rFonts w:ascii="仿宋_GB2312" w:eastAsia="仿宋_GB2312" w:cs="仿宋_GB2312"/>
          <w:sz w:val="32"/>
          <w:szCs w:val="32"/>
          <w:highlight w:val="none"/>
        </w:rPr>
        <w:t>主要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是</w:t>
      </w:r>
      <w:r>
        <w:rPr>
          <w:rFonts w:ascii="仿宋_GB2312" w:eastAsia="仿宋_GB2312" w:cs="仿宋_GB2312"/>
          <w:sz w:val="32"/>
          <w:szCs w:val="32"/>
          <w:highlight w:val="none"/>
        </w:rPr>
        <w:t>人员</w:t>
      </w:r>
      <w:r>
        <w:rPr>
          <w:rFonts w:hint="eastAsia" w:ascii="仿宋_GB2312" w:eastAsia="仿宋_GB2312" w:cs="仿宋_GB2312"/>
          <w:sz w:val="32"/>
          <w:szCs w:val="32"/>
          <w:highlight w:val="none"/>
          <w:lang w:eastAsia="zh-CN"/>
        </w:rPr>
        <w:t>及车辆运行费用减少</w:t>
      </w:r>
      <w:r>
        <w:rPr>
          <w:rFonts w:hint="eastAsia" w:ascii="仿宋_GB2312" w:eastAsia="仿宋_GB2312" w:cs="仿宋_GB2312"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（二）政府采购情况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  <w:highlight w:val="none"/>
        </w:rPr>
      </w:pPr>
      <w:r>
        <w:rPr>
          <w:rFonts w:ascii="仿宋_GB2312" w:hAnsi="仿宋_GB2312" w:eastAsia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年，市场监管局安排政府采购预算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5.6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万元，主要用于</w:t>
      </w:r>
      <w:r>
        <w:rPr>
          <w:rFonts w:hint="eastAsia" w:ascii="仿宋_GB2312" w:eastAsia="仿宋_GB2312"/>
          <w:sz w:val="32"/>
          <w:szCs w:val="32"/>
          <w:highlight w:val="none"/>
        </w:rPr>
        <w:t>执法用车车辆保险服务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（三）国有资产占有使用情况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/>
          <w:sz w:val="32"/>
          <w:szCs w:val="32"/>
          <w:highlight w:val="none"/>
        </w:rPr>
        <w:t>截至</w:t>
      </w:r>
      <w:r>
        <w:rPr>
          <w:rFonts w:ascii="仿宋_GB2312" w:hAnsi="仿宋_GB2312" w:eastAsia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22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年底，市场监管局所属各预算单位共有</w:t>
      </w:r>
      <w:r>
        <w:rPr>
          <w:rFonts w:hint="eastAsia" w:ascii="仿宋_GB2312" w:eastAsia="仿宋_GB2312"/>
          <w:sz w:val="32"/>
          <w:szCs w:val="32"/>
          <w:highlight w:val="none"/>
        </w:rPr>
        <w:t>固定资产总额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315.47</w:t>
      </w:r>
      <w:r>
        <w:rPr>
          <w:rFonts w:hint="eastAsia" w:ascii="仿宋_GB2312" w:eastAsia="仿宋_GB2312"/>
          <w:sz w:val="32"/>
          <w:szCs w:val="32"/>
          <w:highlight w:val="none"/>
        </w:rPr>
        <w:t>万元，其中公务用车1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</w:rPr>
        <w:t>辆。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其中，</w:t>
      </w:r>
      <w:r>
        <w:rPr>
          <w:rFonts w:hint="eastAsia" w:ascii="仿宋_GB2312" w:eastAsia="仿宋_GB2312"/>
          <w:sz w:val="32"/>
          <w:szCs w:val="32"/>
          <w:highlight w:val="none"/>
        </w:rPr>
        <w:t>执法执勤用车11辆，特种专业技术用车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辆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  <w:highlight w:val="none"/>
        </w:rPr>
      </w:pPr>
      <w:r>
        <w:rPr>
          <w:rFonts w:ascii="仿宋_GB2312" w:hAnsi="仿宋_GB2312" w:eastAsia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年部门预算未安排购置车辆及单位价值</w:t>
      </w:r>
      <w:r>
        <w:rPr>
          <w:rFonts w:ascii="仿宋_GB2312" w:hAnsi="仿宋_GB2312" w:eastAsia="仿宋_GB2312"/>
          <w:sz w:val="32"/>
          <w:szCs w:val="32"/>
          <w:highlight w:val="none"/>
        </w:rPr>
        <w:t>200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万元以上大型设备。</w:t>
      </w:r>
    </w:p>
    <w:p>
      <w:pPr>
        <w:spacing w:line="56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（四）绩效目标设置情况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  <w:highlight w:val="none"/>
        </w:rPr>
      </w:pPr>
      <w:r>
        <w:rPr>
          <w:rFonts w:ascii="仿宋_GB2312" w:hAnsi="仿宋_GB2312" w:eastAsia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年市场监管局部门项目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eastAsia="zh-CN"/>
        </w:rPr>
        <w:t>支出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均按要求实行绩效目标管理，涉及一般公共预算当年拨款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242.74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万元。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十一、名词解释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（一）一般公共预算拨款收入：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指区级财政当年拨付的资金。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（二）上年结转：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指以前年度尚未完成、结转到本年仍按原规定用途继续使用的资金。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（三）基本支出：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指为保障机构正常运转、完成日常工作任务所必需的人员经费和日常公用经费。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（四）项目支出：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指在基本支出之外，为完成特定的行政工作任务或事业发展目标所发生的支出。</w:t>
      </w:r>
    </w:p>
    <w:p>
      <w:pPr>
        <w:spacing w:line="560" w:lineRule="exact"/>
        <w:ind w:firstLine="645"/>
        <w:rPr>
          <w:rFonts w:ascii="仿宋_GB2312" w:hAnsi="仿宋_GB2312" w:eastAsia="仿宋_GB2312"/>
          <w:sz w:val="32"/>
          <w:szCs w:val="32"/>
          <w:highlight w:val="none"/>
        </w:rPr>
      </w:pPr>
      <w:r>
        <w:rPr>
          <w:rFonts w:hint="eastAsia" w:ascii="楷体_GB2312" w:hAnsi="楷体_GB2312" w:eastAsia="楷体_GB2312" w:cs="楷体_GB2312"/>
          <w:sz w:val="32"/>
          <w:szCs w:val="32"/>
          <w:highlight w:val="none"/>
        </w:rPr>
        <w:t>（五）“三公”经费：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指财政拨款安排的因公出国（境）费、公务用车购置及运行费和公务接待费。其中，因公出国（境）费反映单位公务出国（境）的国际旅费、国外城市间交通费、住宿费、伙食费、培训费、公杂费等支出；公务用车购置及运行费反映单位公务用车车辆购置支出（含车辆购置税）及租用费、燃料费、维修费、过路过桥费、保险费、安全奖励费用等支出；公务接待费反映单位按规定开支的各类公务接待支出。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  <w:highlight w:val="none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/>
          <w:sz w:val="32"/>
          <w:szCs w:val="32"/>
          <w:highlight w:val="none"/>
        </w:rPr>
        <w:t>附件1：</w:t>
      </w:r>
      <w:r>
        <w:rPr>
          <w:rFonts w:ascii="仿宋_GB2312" w:hAnsi="仿宋_GB2312" w:eastAsia="仿宋_GB2312"/>
          <w:sz w:val="32"/>
          <w:szCs w:val="32"/>
          <w:highlight w:val="none"/>
        </w:rPr>
        <w:t>20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2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eastAsia="zh-CN"/>
        </w:rPr>
        <w:t>市场监管局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预算公开表</w:t>
      </w:r>
    </w:p>
    <w:p>
      <w:pPr>
        <w:spacing w:line="560" w:lineRule="exact"/>
        <w:ind w:firstLine="640" w:firstLineChars="200"/>
        <w:rPr>
          <w:rFonts w:ascii="仿宋_GB2312" w:hAnsi="仿宋_GB2312" w:eastAsia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/>
          <w:sz w:val="32"/>
          <w:szCs w:val="32"/>
          <w:highlight w:val="none"/>
        </w:rPr>
        <w:t>附件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：德阳市罗江区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eastAsia="zh-CN"/>
        </w:rPr>
        <w:t>市场监管局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项目绩效目标公开表</w:t>
      </w:r>
    </w:p>
    <w:p>
      <w:pPr>
        <w:pStyle w:val="2"/>
        <w:ind w:left="0" w:leftChars="0" w:firstLine="640" w:firstLineChars="200"/>
        <w:rPr>
          <w:highlight w:val="none"/>
        </w:rPr>
      </w:pPr>
      <w:r>
        <w:rPr>
          <w:rFonts w:hint="eastAsia" w:ascii="仿宋_GB2312" w:hAnsi="仿宋_GB2312" w:eastAsia="仿宋_GB2312"/>
          <w:sz w:val="32"/>
          <w:szCs w:val="32"/>
          <w:highlight w:val="none"/>
        </w:rPr>
        <w:t>附件</w:t>
      </w:r>
      <w:r>
        <w:rPr>
          <w:rFonts w:hint="eastAsia" w:ascii="仿宋_GB2312" w:hAnsi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：德阳市罗江区</w:t>
      </w:r>
      <w:r>
        <w:rPr>
          <w:rFonts w:hint="eastAsia" w:ascii="仿宋_GB2312" w:hAnsi="仿宋_GB2312" w:eastAsia="仿宋_GB2312"/>
          <w:sz w:val="32"/>
          <w:szCs w:val="32"/>
          <w:highlight w:val="none"/>
          <w:lang w:eastAsia="zh-CN"/>
        </w:rPr>
        <w:t>市场监管局</w:t>
      </w:r>
      <w:r>
        <w:rPr>
          <w:rFonts w:hint="eastAsia" w:ascii="仿宋_GB2312" w:hAnsi="仿宋_GB2312"/>
          <w:sz w:val="32"/>
          <w:szCs w:val="32"/>
          <w:highlight w:val="none"/>
          <w:lang w:eastAsia="zh-CN"/>
        </w:rPr>
        <w:t>整体</w:t>
      </w:r>
      <w:r>
        <w:rPr>
          <w:rFonts w:hint="eastAsia" w:ascii="仿宋_GB2312" w:hAnsi="仿宋_GB2312" w:eastAsia="仿宋_GB2312"/>
          <w:sz w:val="32"/>
          <w:szCs w:val="32"/>
          <w:highlight w:val="none"/>
        </w:rPr>
        <w:t>绩效目标公开表</w:t>
      </w:r>
    </w:p>
    <w:sectPr>
      <w:pgSz w:w="11906" w:h="16838"/>
      <w:pgMar w:top="1984" w:right="1474" w:bottom="2098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996BED"/>
    <w:multiLevelType w:val="singleLevel"/>
    <w:tmpl w:val="1D996BE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628144E"/>
    <w:multiLevelType w:val="singleLevel"/>
    <w:tmpl w:val="2628144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ZTEyZTFhZmIxOTg0Y2Q0NjIzN2E2OWFmZGQ0Mzg4YzEifQ=="/>
  </w:docVars>
  <w:rsids>
    <w:rsidRoot w:val="004E4A63"/>
    <w:rsid w:val="00052545"/>
    <w:rsid w:val="0008206E"/>
    <w:rsid w:val="00096629"/>
    <w:rsid w:val="00107AF7"/>
    <w:rsid w:val="00155750"/>
    <w:rsid w:val="001762F9"/>
    <w:rsid w:val="00192B6B"/>
    <w:rsid w:val="001A5E61"/>
    <w:rsid w:val="001C2F2A"/>
    <w:rsid w:val="001D59AE"/>
    <w:rsid w:val="001F59C4"/>
    <w:rsid w:val="00202A4E"/>
    <w:rsid w:val="00245794"/>
    <w:rsid w:val="002664E9"/>
    <w:rsid w:val="002C4CD9"/>
    <w:rsid w:val="002C7C2B"/>
    <w:rsid w:val="002D17ED"/>
    <w:rsid w:val="002F6687"/>
    <w:rsid w:val="00325291"/>
    <w:rsid w:val="00336B03"/>
    <w:rsid w:val="00352BF3"/>
    <w:rsid w:val="00363AC0"/>
    <w:rsid w:val="003736FC"/>
    <w:rsid w:val="003806B5"/>
    <w:rsid w:val="003B021E"/>
    <w:rsid w:val="003C29CE"/>
    <w:rsid w:val="003D701B"/>
    <w:rsid w:val="004175D6"/>
    <w:rsid w:val="004211C9"/>
    <w:rsid w:val="004636D0"/>
    <w:rsid w:val="004813E8"/>
    <w:rsid w:val="004B0902"/>
    <w:rsid w:val="004B52FA"/>
    <w:rsid w:val="004C5000"/>
    <w:rsid w:val="004D53A9"/>
    <w:rsid w:val="004D7C22"/>
    <w:rsid w:val="004E4A63"/>
    <w:rsid w:val="00504316"/>
    <w:rsid w:val="00552647"/>
    <w:rsid w:val="0055770F"/>
    <w:rsid w:val="0056083E"/>
    <w:rsid w:val="00561D6D"/>
    <w:rsid w:val="00563314"/>
    <w:rsid w:val="005A0F05"/>
    <w:rsid w:val="005B55A8"/>
    <w:rsid w:val="005C0413"/>
    <w:rsid w:val="005E3673"/>
    <w:rsid w:val="005E64D4"/>
    <w:rsid w:val="005F1687"/>
    <w:rsid w:val="00640CC1"/>
    <w:rsid w:val="0067205D"/>
    <w:rsid w:val="00691624"/>
    <w:rsid w:val="00692323"/>
    <w:rsid w:val="006A474E"/>
    <w:rsid w:val="006B56C0"/>
    <w:rsid w:val="006C2E60"/>
    <w:rsid w:val="006E0916"/>
    <w:rsid w:val="006F503F"/>
    <w:rsid w:val="006F55AC"/>
    <w:rsid w:val="0070627E"/>
    <w:rsid w:val="007225E2"/>
    <w:rsid w:val="007365C4"/>
    <w:rsid w:val="00754BF4"/>
    <w:rsid w:val="00776A35"/>
    <w:rsid w:val="007770C3"/>
    <w:rsid w:val="007E0387"/>
    <w:rsid w:val="007F2B37"/>
    <w:rsid w:val="00806CA4"/>
    <w:rsid w:val="00827EA0"/>
    <w:rsid w:val="00835E66"/>
    <w:rsid w:val="0088706D"/>
    <w:rsid w:val="008F70DC"/>
    <w:rsid w:val="009049CB"/>
    <w:rsid w:val="00933755"/>
    <w:rsid w:val="00960713"/>
    <w:rsid w:val="00993EB0"/>
    <w:rsid w:val="009B7221"/>
    <w:rsid w:val="009C735E"/>
    <w:rsid w:val="009D3342"/>
    <w:rsid w:val="009D554C"/>
    <w:rsid w:val="009D67F3"/>
    <w:rsid w:val="009E1B3C"/>
    <w:rsid w:val="009F56E4"/>
    <w:rsid w:val="00A029E5"/>
    <w:rsid w:val="00A07B85"/>
    <w:rsid w:val="00A35F1B"/>
    <w:rsid w:val="00A46B69"/>
    <w:rsid w:val="00A5551E"/>
    <w:rsid w:val="00A60A56"/>
    <w:rsid w:val="00A93160"/>
    <w:rsid w:val="00AA0140"/>
    <w:rsid w:val="00AC1DEE"/>
    <w:rsid w:val="00AC6204"/>
    <w:rsid w:val="00B33551"/>
    <w:rsid w:val="00BD41EC"/>
    <w:rsid w:val="00BD7C8D"/>
    <w:rsid w:val="00C31273"/>
    <w:rsid w:val="00C44123"/>
    <w:rsid w:val="00C96FDA"/>
    <w:rsid w:val="00CA2EF4"/>
    <w:rsid w:val="00CA52CF"/>
    <w:rsid w:val="00CB1BA6"/>
    <w:rsid w:val="00CD329C"/>
    <w:rsid w:val="00CE295D"/>
    <w:rsid w:val="00D14665"/>
    <w:rsid w:val="00D234AF"/>
    <w:rsid w:val="00D31E85"/>
    <w:rsid w:val="00D35010"/>
    <w:rsid w:val="00D459B3"/>
    <w:rsid w:val="00D618E7"/>
    <w:rsid w:val="00D77513"/>
    <w:rsid w:val="00DC2CAE"/>
    <w:rsid w:val="00DC34F5"/>
    <w:rsid w:val="00DE4718"/>
    <w:rsid w:val="00E00A5B"/>
    <w:rsid w:val="00E5228D"/>
    <w:rsid w:val="00E550E3"/>
    <w:rsid w:val="00E60AC8"/>
    <w:rsid w:val="00E7231A"/>
    <w:rsid w:val="00E819EC"/>
    <w:rsid w:val="00EC0FA4"/>
    <w:rsid w:val="00EE23D3"/>
    <w:rsid w:val="00F12FE0"/>
    <w:rsid w:val="00F72CAC"/>
    <w:rsid w:val="00F9141C"/>
    <w:rsid w:val="00FD2791"/>
    <w:rsid w:val="00FD2F29"/>
    <w:rsid w:val="00FE1CB5"/>
    <w:rsid w:val="01931A7A"/>
    <w:rsid w:val="09454728"/>
    <w:rsid w:val="0CBC3A4D"/>
    <w:rsid w:val="1069022B"/>
    <w:rsid w:val="13522181"/>
    <w:rsid w:val="1A8B57AF"/>
    <w:rsid w:val="1B001B90"/>
    <w:rsid w:val="1FCE268A"/>
    <w:rsid w:val="28054BCB"/>
    <w:rsid w:val="2CBD72B2"/>
    <w:rsid w:val="37C83CE4"/>
    <w:rsid w:val="39C84990"/>
    <w:rsid w:val="3C017D21"/>
    <w:rsid w:val="3FED3B5D"/>
    <w:rsid w:val="426B271A"/>
    <w:rsid w:val="42991D01"/>
    <w:rsid w:val="44E1584B"/>
    <w:rsid w:val="524155E5"/>
    <w:rsid w:val="5C0F4DB5"/>
    <w:rsid w:val="5FA34111"/>
    <w:rsid w:val="64564DAA"/>
    <w:rsid w:val="6EF92DFF"/>
    <w:rsid w:val="6F9D54EF"/>
    <w:rsid w:val="77103EEA"/>
    <w:rsid w:val="7CC9038F"/>
    <w:rsid w:val="7F7D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kern w:val="2"/>
      <w:sz w:val="48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600" w:firstLineChars="200"/>
    </w:pPr>
    <w:rPr>
      <w:rFonts w:eastAsia="仿宋_GB2312"/>
      <w:kern w:val="2"/>
      <w:sz w:val="30"/>
      <w:szCs w:val="24"/>
    </w:rPr>
  </w:style>
  <w:style w:type="paragraph" w:styleId="4">
    <w:name w:val="Normal Indent"/>
    <w:basedOn w:val="1"/>
    <w:qFormat/>
    <w:uiPriority w:val="0"/>
    <w:pPr>
      <w:ind w:firstLine="420" w:firstLineChars="200"/>
    </w:pPr>
    <w:rPr>
      <w:rFonts w:eastAsia="仿宋"/>
      <w:sz w:val="32"/>
    </w:rPr>
  </w:style>
  <w:style w:type="paragraph" w:styleId="5">
    <w:name w:val="Body Text"/>
    <w:basedOn w:val="1"/>
    <w:next w:val="1"/>
    <w:link w:val="15"/>
    <w:qFormat/>
    <w:uiPriority w:val="99"/>
    <w:pPr>
      <w:spacing w:beforeLines="30"/>
    </w:pPr>
    <w:rPr>
      <w:rFonts w:ascii="仿宋_GB2312" w:eastAsia="仿宋_GB2312"/>
      <w:sz w:val="30"/>
    </w:rPr>
  </w:style>
  <w:style w:type="paragraph" w:styleId="6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0">
    <w:name w:val="Strong"/>
    <w:basedOn w:val="9"/>
    <w:qFormat/>
    <w:locked/>
    <w:uiPriority w:val="99"/>
    <w:rPr>
      <w:rFonts w:cs="Times New Roman"/>
      <w:b/>
    </w:rPr>
  </w:style>
  <w:style w:type="character" w:styleId="11">
    <w:name w:val="Emphasis"/>
    <w:basedOn w:val="9"/>
    <w:qFormat/>
    <w:uiPriority w:val="99"/>
    <w:rPr>
      <w:rFonts w:cs="Times New Roman"/>
    </w:rPr>
  </w:style>
  <w:style w:type="character" w:customStyle="1" w:styleId="12">
    <w:name w:val="页脚 Char"/>
    <w:basedOn w:val="9"/>
    <w:link w:val="6"/>
    <w:qFormat/>
    <w:locked/>
    <w:uiPriority w:val="99"/>
    <w:rPr>
      <w:rFonts w:ascii="宋体" w:hAnsi="Times New Roman" w:eastAsia="宋体" w:cs="Times New Roman"/>
      <w:sz w:val="18"/>
      <w:szCs w:val="18"/>
    </w:rPr>
  </w:style>
  <w:style w:type="character" w:customStyle="1" w:styleId="13">
    <w:name w:val="页眉 Char"/>
    <w:basedOn w:val="9"/>
    <w:link w:val="7"/>
    <w:qFormat/>
    <w:locked/>
    <w:uiPriority w:val="99"/>
    <w:rPr>
      <w:rFonts w:ascii="宋体" w:hAnsi="Times New Roman" w:eastAsia="宋体" w:cs="Times New Roman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正文文本 Char"/>
    <w:basedOn w:val="9"/>
    <w:link w:val="5"/>
    <w:qFormat/>
    <w:locked/>
    <w:uiPriority w:val="99"/>
    <w:rPr>
      <w:rFonts w:ascii="仿宋_GB2312" w:hAnsi="Times New Roman" w:eastAsia="仿宋_GB2312" w:cs="Times New Roman"/>
      <w:kern w:val="2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10</Pages>
  <Words>4270</Words>
  <Characters>4706</Characters>
  <Lines>37</Lines>
  <Paragraphs>10</Paragraphs>
  <TotalTime>44</TotalTime>
  <ScaleCrop>false</ScaleCrop>
  <LinksUpToDate>false</LinksUpToDate>
  <CharactersWithSpaces>4706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2017-10-20T03:21:00Z</dcterms:created>
  <dc:creator>null,null,总收发</dc:creator>
  <cp:lastModifiedBy>王二小</cp:lastModifiedBy>
  <dcterms:modified xsi:type="dcterms:W3CDTF">2023-05-25T01:52:29Z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021E84AE4F814774A340B54BC6954824_12</vt:lpwstr>
  </property>
</Properties>
</file>