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  <w:r>
        <w:rPr>
          <w:rStyle w:val="7"/>
          <w:rFonts w:hint="eastAsia" w:ascii="ˎ̥" w:hAnsi="ˎ̥"/>
          <w:b/>
          <w:bCs/>
          <w:color w:val="000000"/>
          <w:sz w:val="41"/>
          <w:szCs w:val="41"/>
        </w:rPr>
        <w:t>德阳市罗江区司法局</w:t>
      </w:r>
      <w:r>
        <w:rPr>
          <w:rStyle w:val="7"/>
          <w:rFonts w:ascii="ˎ̥" w:hAnsi="ˎ̥"/>
          <w:b/>
          <w:bCs/>
          <w:color w:val="000000"/>
          <w:sz w:val="41"/>
          <w:szCs w:val="41"/>
        </w:rPr>
        <w:t>20</w:t>
      </w:r>
      <w:r>
        <w:rPr>
          <w:rStyle w:val="7"/>
          <w:rFonts w:hint="eastAsia" w:ascii="ˎ̥" w:hAnsi="ˎ̥"/>
          <w:b/>
          <w:bCs/>
          <w:color w:val="000000"/>
          <w:sz w:val="41"/>
          <w:szCs w:val="41"/>
        </w:rPr>
        <w:t>23</w:t>
      </w:r>
      <w:r>
        <w:rPr>
          <w:rStyle w:val="7"/>
          <w:rFonts w:ascii="ˎ̥" w:hAnsi="ˎ̥"/>
          <w:b/>
          <w:bCs/>
          <w:color w:val="000000"/>
          <w:sz w:val="41"/>
          <w:szCs w:val="41"/>
        </w:rPr>
        <w:t>年部门预算编制说明</w:t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"_Toc28770"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一、基本职能及主要工作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"_Toc21884"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（一）机构设置及主要职责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"_Toc818"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（二）2023年重点工作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"_Toc27442"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二、部门预算单位构成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"_Toc1848"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三、收支预算增减变化情况说明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"_Toc193"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（一）收入预算情况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"_Toc3651"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（二）支出预算情况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"_Toc3738"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四、财政拨款收支预算情况说明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"_Toc3440"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五、一般公共预算当年拨款情况说明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"_Toc25098"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（一）一般公共预算当年拨款规模变化情况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"_Toc16092" </w:instrText>
      </w:r>
      <w:r>
        <w:fldChar w:fldCharType="separate"/>
      </w:r>
      <w:r>
        <w:rPr>
          <w:rFonts w:hint="eastAsia" w:ascii="仿宋_GB2312" w:hAnsi="仿宋_GB2312" w:eastAsia="仿宋_GB2312"/>
          <w:bCs/>
          <w:sz w:val="28"/>
          <w:szCs w:val="48"/>
        </w:rPr>
        <w:t>（二）一般公共预算当年拨款结构情况(按照功能科目类写)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"_Toc28341" </w:instrText>
      </w:r>
      <w:r>
        <w:fldChar w:fldCharType="separate"/>
      </w:r>
      <w:r>
        <w:rPr>
          <w:rFonts w:hint="eastAsia" w:ascii="楷体_GB2312" w:hAnsi="楷体_GB2312" w:eastAsia="楷体_GB2312" w:cs="楷体_GB2312"/>
          <w:bCs/>
          <w:sz w:val="28"/>
          <w:szCs w:val="48"/>
        </w:rPr>
        <w:t>（三）一般公共预算当年拨款具体使用情况（按功能科目类款项写）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"_Toc18858"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六、一般公共预算基本支出情况说明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"_Toc256"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七、“三公”经费财政拨款预算安排情况说明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"_Toc29771" </w:instrText>
      </w:r>
      <w:r>
        <w:fldChar w:fldCharType="separate"/>
      </w:r>
      <w:r>
        <w:rPr>
          <w:rFonts w:hint="eastAsia" w:ascii="黑体" w:hAnsi="黑体" w:eastAsia="黑体" w:cs="黑体"/>
          <w:b/>
          <w:sz w:val="28"/>
          <w:szCs w:val="48"/>
        </w:rPr>
        <w:t>八、其他重要事项的情况说明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rFonts w:hint="eastAsia" w:ascii="ˎ̥" w:hAnsi="ˎ̥"/>
          <w:bCs/>
          <w:color w:val="000000"/>
          <w:sz w:val="28"/>
          <w:szCs w:val="5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fldChar w:fldCharType="begin"/>
      </w:r>
      <w:r>
        <w:instrText xml:space="preserve"> HYPERLINK \l "_Toc11525" </w:instrText>
      </w:r>
      <w:r>
        <w:fldChar w:fldCharType="separate"/>
      </w:r>
      <w:r>
        <w:rPr>
          <w:rFonts w:hint="eastAsia" w:ascii="仿宋_GB2312" w:hAnsi="仿宋_GB2312" w:eastAsia="仿宋_GB2312"/>
          <w:sz w:val="28"/>
          <w:szCs w:val="48"/>
        </w:rPr>
        <w:t>（一）机关运行经费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"_Toc15299" </w:instrText>
      </w:r>
      <w:r>
        <w:fldChar w:fldCharType="separate"/>
      </w:r>
      <w:r>
        <w:rPr>
          <w:rFonts w:hint="eastAsia" w:ascii="仿宋_GB2312" w:hAnsi="仿宋_GB2312" w:eastAsia="仿宋_GB2312"/>
          <w:sz w:val="28"/>
          <w:szCs w:val="48"/>
        </w:rPr>
        <w:t>（二）政府采购情况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"_Toc18679" </w:instrText>
      </w:r>
      <w:r>
        <w:fldChar w:fldCharType="separate"/>
      </w:r>
      <w:r>
        <w:rPr>
          <w:rFonts w:hint="eastAsia" w:ascii="仿宋_GB2312" w:hAnsi="仿宋_GB2312" w:eastAsia="仿宋_GB2312"/>
          <w:sz w:val="28"/>
          <w:szCs w:val="48"/>
        </w:rPr>
        <w:t>（三）国有资产占有使用情况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3"/>
        <w:tabs>
          <w:tab w:val="right" w:leader="dot" w:pos="8845"/>
        </w:tabs>
        <w:ind w:left="0" w:leftChars="0" w:firstLine="400" w:firstLineChars="200"/>
        <w:rPr>
          <w:sz w:val="28"/>
          <w:szCs w:val="28"/>
        </w:rPr>
      </w:pPr>
      <w:r>
        <w:fldChar w:fldCharType="begin"/>
      </w:r>
      <w:r>
        <w:instrText xml:space="preserve"> HYPERLINK \l "_Toc2176" </w:instrText>
      </w:r>
      <w:r>
        <w:fldChar w:fldCharType="separate"/>
      </w:r>
      <w:r>
        <w:rPr>
          <w:rFonts w:hint="eastAsia" w:ascii="仿宋_GB2312" w:hAnsi="仿宋_GB2312" w:eastAsia="仿宋_GB2312"/>
          <w:sz w:val="28"/>
          <w:szCs w:val="48"/>
        </w:rPr>
        <w:t>（四）绩效目标设置情况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fldChar w:fldCharType="end"/>
      </w:r>
    </w:p>
    <w:p>
      <w:pPr>
        <w:pStyle w:val="12"/>
        <w:tabs>
          <w:tab w:val="right" w:leader="dot" w:pos="8845"/>
        </w:tabs>
        <w:rPr>
          <w:b/>
          <w:sz w:val="28"/>
          <w:szCs w:val="28"/>
        </w:rPr>
      </w:pPr>
      <w:r>
        <w:fldChar w:fldCharType="begin"/>
      </w:r>
      <w:r>
        <w:instrText xml:space="preserve"> HYPERLINK \l "_Toc6693" </w:instrText>
      </w:r>
      <w:r>
        <w:fldChar w:fldCharType="separate"/>
      </w:r>
      <w:r>
        <w:rPr>
          <w:rFonts w:hint="eastAsia" w:ascii="仿宋_GB2312" w:hAnsi="仿宋_GB2312" w:eastAsia="仿宋_GB2312"/>
          <w:b/>
          <w:sz w:val="28"/>
          <w:szCs w:val="48"/>
        </w:rPr>
        <w:t>九、名词解释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fldChar w:fldCharType="end"/>
      </w: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412" w:firstLineChars="100"/>
        <w:jc w:val="center"/>
        <w:rPr>
          <w:rStyle w:val="7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一、基本职能及主要工作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　　（一）司法局机构设置及主要职责。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贯彻执行国家、省、市关于司法行政工作的方针、政策和法律、法规、规章，编制司法行政工作中长期规划、年度工作计划并组织实施。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2.拟订全区法制宣传教育、普法和依法治理规划并组织实施，指导、监督、检查全区普法及依法治理工作。 </w:t>
      </w:r>
      <w:r>
        <w:rPr>
          <w:rFonts w:hint="eastAsia" w:hAnsi="宋体"/>
          <w:sz w:val="32"/>
          <w:szCs w:val="32"/>
        </w:rPr>
        <w:br w:type="textWrapping"/>
      </w:r>
      <w:r>
        <w:rPr>
          <w:rFonts w:hint="eastAsia" w:hAnsi="宋体"/>
          <w:sz w:val="32"/>
          <w:szCs w:val="32"/>
        </w:rPr>
        <w:t xml:space="preserve">    3.承担监督管理公证、律师、法律援助和社会法律服务机构的职责。 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4.指导司法所和人民调解组织对民间纠纷的排查、预防、调处和刑满释放人员、解除劳动教养人员的安置帮教工作；负责社区矫正、安置帮教执行等工作，参与社会治安综合治理。 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5.指导管理基层司法行政工作。 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6.负责全区司法行政系统干警的培训、干警队伍建设、思想政治工作和精神文明建设；负责警务管理和警务督察工作。 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7.承办全区法治审查工作，对政府签订的重大合同、全区性重要文件进行合法性审查；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8.开展对全区行政执法活动进行监督，对全区执法人员组织考试和资格审查。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8.下属事业单位罗江区公证处作为事业单位挂牌运行，</w:t>
      </w:r>
    </w:p>
    <w:p>
      <w:pPr>
        <w:ind w:firstLine="645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（二）司法局2023年重点工作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1.普法宣传和推进依法治区工作；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2.人民调解工作；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3.社区矫正、刑释帮教工作；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4.公共法律服务工作（包含法律援助）；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5.法制审查工作；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6.行政执法监督工作；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7.行政复议与应诉工作。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二、部门预算单位构成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司法局下属二级预算单位0个，其中行政单位0个，其他事业单位0个,参照公务员法管理的事业单位0个，其他事业单位0个。主要包括：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sz w:val="32"/>
          <w:szCs w:val="32"/>
        </w:rPr>
      </w:pPr>
      <w:r>
        <w:rPr>
          <w:rFonts w:hint="eastAsia" w:hAnsi="仿宋_GB2312"/>
          <w:sz w:val="32"/>
          <w:szCs w:val="32"/>
        </w:rPr>
        <w:t>截至2022年底区司法局</w:t>
      </w:r>
      <w:r>
        <w:rPr>
          <w:rFonts w:hint="eastAsia"/>
          <w:sz w:val="32"/>
          <w:szCs w:val="32"/>
        </w:rPr>
        <w:t>总编制25名，其中行政编制21名，事业编制3名，工勤编制1名。在职人员总数22人，其中：行政人员20人，事业人员2人，工勤人员0人。本次公开数据包括所有下属二级单位数据。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三、收支预算增减变化情况说明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按照综合预算的原则，司法局所有收支均包含下属单位数据，全部纳入部门预算管理。收入包括：</w:t>
      </w:r>
      <w:r>
        <w:rPr>
          <w:rFonts w:hint="eastAsia" w:ascii="仿宋_GB2312" w:eastAsia="仿宋_GB2312"/>
          <w:sz w:val="32"/>
          <w:szCs w:val="32"/>
        </w:rPr>
        <w:t>收入预算总额为593.38万元</w:t>
      </w:r>
      <w:r>
        <w:rPr>
          <w:rFonts w:hint="eastAsia" w:ascii="仿宋_GB2312" w:hAnsi="仿宋_GB2312" w:eastAsia="仿宋_GB2312"/>
          <w:sz w:val="32"/>
          <w:szCs w:val="32"/>
        </w:rPr>
        <w:t>，比2022年预算数增加148.63万元，主要是在职人员增加3人，人员经费有所增加；支出包括：</w:t>
      </w:r>
      <w:r>
        <w:rPr>
          <w:rFonts w:hint="eastAsia" w:ascii="仿宋_GB2312" w:eastAsia="仿宋_GB2312"/>
          <w:sz w:val="32"/>
          <w:szCs w:val="32"/>
        </w:rPr>
        <w:t>相应安排支出预算593.38万元，</w:t>
      </w:r>
      <w:r>
        <w:rPr>
          <w:rFonts w:hint="eastAsia" w:ascii="仿宋_GB2312" w:hAnsi="仿宋_GB2312" w:eastAsia="仿宋_GB2312"/>
          <w:sz w:val="32"/>
          <w:szCs w:val="32"/>
        </w:rPr>
        <w:t>比2022年预算数增加148.63万元，主要是人员经费有所增加。司法局2023年收支总预算593.38万元。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b/>
          <w:sz w:val="32"/>
          <w:szCs w:val="32"/>
        </w:rPr>
        <w:t>（一）收入预算情况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/>
          <w:sz w:val="32"/>
          <w:szCs w:val="32"/>
        </w:rPr>
        <w:t>593.38</w:t>
      </w:r>
      <w:r>
        <w:rPr>
          <w:rFonts w:ascii="仿宋_GB2312" w:hAnsi="仿宋_GB2312" w:eastAsia="仿宋_GB2312"/>
          <w:sz w:val="32"/>
          <w:szCs w:val="32"/>
        </w:rPr>
        <w:t>万元，其中：上年结转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%；一般公共预算拨款收入</w:t>
      </w:r>
      <w:r>
        <w:rPr>
          <w:rFonts w:hint="eastAsia" w:ascii="仿宋_GB2312" w:hAnsi="仿宋_GB2312" w:eastAsia="仿宋_GB2312"/>
          <w:sz w:val="32"/>
          <w:szCs w:val="32"/>
        </w:rPr>
        <w:t>100</w:t>
      </w:r>
      <w:r>
        <w:rPr>
          <w:rFonts w:ascii="仿宋_GB2312" w:hAnsi="仿宋_GB2312" w:eastAsia="仿宋_GB2312"/>
          <w:sz w:val="32"/>
          <w:szCs w:val="32"/>
        </w:rPr>
        <w:t>%。</w:t>
      </w:r>
    </w:p>
    <w:p>
      <w:pPr>
        <w:ind w:firstLine="645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（二）支出预算情况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年支出预算</w:t>
      </w:r>
      <w:r>
        <w:rPr>
          <w:rFonts w:hint="eastAsia" w:ascii="仿宋_GB2312" w:hAnsi="仿宋_GB2312" w:eastAsia="仿宋_GB2312"/>
          <w:sz w:val="32"/>
          <w:szCs w:val="32"/>
        </w:rPr>
        <w:t>593.38</w:t>
      </w:r>
      <w:r>
        <w:rPr>
          <w:rFonts w:ascii="仿宋_GB2312" w:hAnsi="仿宋_GB2312" w:eastAsia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sz w:val="32"/>
          <w:szCs w:val="32"/>
        </w:rPr>
        <w:t>517.38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87.19</w:t>
      </w:r>
      <w:r>
        <w:rPr>
          <w:rFonts w:ascii="仿宋_GB2312" w:hAnsi="仿宋_GB2312" w:eastAsia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/>
          <w:sz w:val="32"/>
          <w:szCs w:val="32"/>
        </w:rPr>
        <w:t>76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12.81</w:t>
      </w:r>
      <w:r>
        <w:rPr>
          <w:rFonts w:ascii="仿宋_GB2312" w:hAnsi="仿宋_GB2312" w:eastAsia="仿宋_GB2312"/>
          <w:sz w:val="32"/>
          <w:szCs w:val="32"/>
        </w:rPr>
        <w:t>%。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四、财政拨款收支预算情况说明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司法局2023年财政拨款收支总预算593.38万元。</w:t>
      </w:r>
      <w:r>
        <w:rPr>
          <w:rFonts w:hint="eastAsia" w:ascii="仿宋_GB2312" w:eastAsia="仿宋_GB2312"/>
          <w:color w:val="000000"/>
          <w:sz w:val="32"/>
          <w:szCs w:val="32"/>
        </w:rPr>
        <w:t>比2022年财政拨款收支总预算增加148.63</w:t>
      </w:r>
      <w:r>
        <w:rPr>
          <w:rFonts w:hint="eastAsia" w:ascii="仿宋_GB2312" w:eastAsia="仿宋_GB2312"/>
          <w:sz w:val="32"/>
          <w:szCs w:val="32"/>
        </w:rPr>
        <w:t>元，主要是因为2022年度内共计增加3人，人员经费增加。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收入包括：本年一般公共预算拨款收入</w:t>
      </w:r>
      <w:r>
        <w:rPr>
          <w:rFonts w:hint="eastAsia" w:ascii="仿宋_GB2312" w:hAnsi="仿宋_GB2312" w:eastAsia="仿宋_GB2312"/>
          <w:sz w:val="32"/>
          <w:szCs w:val="32"/>
        </w:rPr>
        <w:t>593.38</w:t>
      </w:r>
      <w:r>
        <w:rPr>
          <w:rFonts w:ascii="仿宋_GB2312" w:hAnsi="仿宋_GB2312" w:eastAsia="仿宋_GB2312"/>
          <w:sz w:val="32"/>
          <w:szCs w:val="32"/>
        </w:rPr>
        <w:t>万元；</w:t>
      </w:r>
      <w:r>
        <w:rPr>
          <w:rFonts w:hint="eastAsia" w:ascii="仿宋_GB2312" w:hAnsi="仿宋_GB2312" w:eastAsia="仿宋_GB2312"/>
          <w:sz w:val="32"/>
          <w:szCs w:val="32"/>
        </w:rPr>
        <w:t>支出包括：</w:t>
      </w:r>
      <w:r>
        <w:rPr>
          <w:rFonts w:hint="eastAsia" w:ascii="仿宋_GB2312" w:eastAsia="仿宋_GB2312"/>
          <w:sz w:val="32"/>
          <w:szCs w:val="32"/>
        </w:rPr>
        <w:t>公共安全支出461.61万元，社会保障和就业支出77.17万元，卫生健康支出18.94万元，住房保障支出35.65万元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五、一般公共预算当年拨款情况说明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　　（一）一般公共预算当年拨款规模变化情况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司法局2023年一般公共预算当年拨款593.38元，比2022年预算数增加148.63万元，主要是人员经费有所增加。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（二）一般公共预算当年拨款结构情况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公共安全支出461.61万元，</w:t>
      </w:r>
      <w:r>
        <w:rPr>
          <w:rFonts w:hint="eastAsia" w:ascii="仿宋_GB2312" w:hAnsi="仿宋_GB2312" w:eastAsia="仿宋_GB2312"/>
          <w:sz w:val="32"/>
          <w:szCs w:val="32"/>
        </w:rPr>
        <w:t>占77.79%；</w:t>
      </w:r>
      <w:r>
        <w:rPr>
          <w:rFonts w:hint="eastAsia" w:ascii="仿宋_GB2312" w:eastAsia="仿宋_GB2312"/>
          <w:sz w:val="32"/>
          <w:szCs w:val="32"/>
        </w:rPr>
        <w:t>社会保障和就业支出77.17万元，</w:t>
      </w:r>
      <w:r>
        <w:rPr>
          <w:rFonts w:hint="eastAsia" w:ascii="仿宋_GB2312" w:hAnsi="仿宋_GB2312" w:eastAsia="仿宋_GB2312"/>
          <w:sz w:val="32"/>
          <w:szCs w:val="32"/>
        </w:rPr>
        <w:t>占13.01%；</w:t>
      </w:r>
      <w:r>
        <w:rPr>
          <w:rFonts w:hint="eastAsia" w:ascii="仿宋_GB2312" w:eastAsia="仿宋_GB2312"/>
          <w:sz w:val="32"/>
          <w:szCs w:val="32"/>
        </w:rPr>
        <w:t>卫生健康支出18.94万元，</w:t>
      </w:r>
      <w:r>
        <w:rPr>
          <w:rFonts w:hint="eastAsia" w:ascii="仿宋_GB2312" w:hAnsi="仿宋_GB2312" w:eastAsia="仿宋_GB2312"/>
          <w:sz w:val="32"/>
          <w:szCs w:val="32"/>
        </w:rPr>
        <w:t>占3.19%；</w:t>
      </w:r>
      <w:r>
        <w:rPr>
          <w:rFonts w:hint="eastAsia" w:ascii="仿宋_GB2312" w:eastAsia="仿宋_GB2312"/>
          <w:sz w:val="32"/>
          <w:szCs w:val="32"/>
        </w:rPr>
        <w:t>住房保障支出35.65万元</w:t>
      </w:r>
      <w:r>
        <w:rPr>
          <w:rFonts w:hint="eastAsia" w:ascii="仿宋_GB2312" w:hAnsi="仿宋_GB2312" w:eastAsia="仿宋_GB2312"/>
          <w:sz w:val="32"/>
          <w:szCs w:val="32"/>
        </w:rPr>
        <w:t>，占6.01%。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</w:t>
      </w:r>
      <w:r>
        <w:rPr>
          <w:rFonts w:hint="eastAsia" w:ascii="仿宋_GB2312" w:hAnsi="仿宋_GB2312" w:eastAsia="仿宋_GB2312"/>
          <w:b/>
          <w:sz w:val="32"/>
          <w:szCs w:val="32"/>
        </w:rPr>
        <w:t>　（三）一般公共预算当年拨款具体使用情况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1.公共安全（类）司法（款）行政运行（项）2023年预算数为358.94万元，主要用于：</w:t>
      </w:r>
      <w:r>
        <w:rPr>
          <w:rFonts w:hint="eastAsia" w:ascii="仿宋_GB2312" w:hAnsi="宋体" w:eastAsia="仿宋_GB2312"/>
          <w:sz w:val="32"/>
          <w:szCs w:val="32"/>
        </w:rPr>
        <w:t>机关人员工资、日常运转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2.公共安全（类）司法（款）基层司法业务（项）2023年预算数为30万元，主要用于：</w:t>
      </w:r>
      <w:r>
        <w:rPr>
          <w:rFonts w:hint="eastAsia" w:ascii="仿宋_GB2312" w:hAnsi="宋体" w:eastAsia="仿宋_GB2312"/>
          <w:sz w:val="32"/>
          <w:szCs w:val="32"/>
        </w:rPr>
        <w:t>政府及村（社区）年度法律顾问费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3.公共安全（类）司法（款）其他司法支出（项）2023年预算数为5万元，主要用于：</w:t>
      </w:r>
      <w:r>
        <w:rPr>
          <w:rFonts w:hint="eastAsia" w:ascii="仿宋_GB2312" w:hAnsi="宋体" w:eastAsia="仿宋_GB2312"/>
          <w:sz w:val="32"/>
          <w:szCs w:val="32"/>
        </w:rPr>
        <w:t>法律援助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4.公共安全（类）司法（款）社区矫正（项）2023年预算数为14万元，主要用于：</w:t>
      </w:r>
      <w:r>
        <w:rPr>
          <w:rFonts w:hint="eastAsia" w:ascii="仿宋_GB2312" w:hAnsi="宋体" w:eastAsia="仿宋_GB2312"/>
          <w:sz w:val="32"/>
          <w:szCs w:val="32"/>
        </w:rPr>
        <w:t>社区矫正安置帮教工作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5.公共安全（类）司法（款）公共法律服务（项）2023年预算数为13万元，主要用于：行政复议出庭与应诉、法治宣传及行政执法监督工作。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 xml:space="preserve"> 社会保障和就业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（类）行政事业单位离退休（款）机关事业单位基本养老保险缴费（项）2023年预算数为42.95万元，主要用于：基本养老保险缴费。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（类）行政事业单位离退休（款）机关事业单位职业年金缴费（项）2023年预算数为21.48万元，主要用于：职业年金缴费。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（类）行政事业单位离退休（款）其他行政事业单位养老支出（项）2023年预算数12.07元，主要用于：发放</w:t>
      </w:r>
      <w:r>
        <w:rPr>
          <w:rFonts w:hint="eastAsia" w:ascii="仿宋_GB2312" w:hAnsi="宋体" w:eastAsia="仿宋_GB2312"/>
          <w:sz w:val="32"/>
          <w:szCs w:val="32"/>
        </w:rPr>
        <w:t>退休人员待遇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（类）行政事业单位离退休（款）其他社会保障和就业支出（项）2023年预算数0.67元，主要用于：事业人员工伤及事业保险缴费。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（类）行政事业单位医疗（款）行政单位医疗（项）2023年预算数为17.71万元，主要用于：医疗保险缴费。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（类）行政事业单位医疗（款）事业单位医疗（项）2023年预算数为1.23万元，主要用于：事业单位医疗缴费。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12.</w:t>
      </w:r>
      <w:r>
        <w:rPr>
          <w:rFonts w:hint="eastAsia" w:ascii="仿宋_GB2312" w:eastAsia="仿宋_GB2312"/>
          <w:sz w:val="32"/>
          <w:szCs w:val="32"/>
        </w:rPr>
        <w:t>住房保障</w:t>
      </w:r>
      <w:r>
        <w:rPr>
          <w:rFonts w:hint="eastAsia" w:ascii="仿宋_GB2312" w:hAnsi="仿宋_GB2312" w:eastAsia="仿宋_GB2312"/>
          <w:sz w:val="32"/>
          <w:szCs w:val="32"/>
        </w:rPr>
        <w:t>（类）住房改革（款）住房公积金（项）2023年预算数为35.65万元，主要用于：住房公积金缴费。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六、一般公共预算基本支出情况说明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司法局2023年一般公共预算基本支出593.38万元，其中：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人员经费443.8万元，主要包括：基本工资、津贴补贴、奖金、社会保险缴费、机关事业单位基本养老保险缴费、职业年金缴费、住房公积金、其他工资福利支出、对个人和家庭的补助支出。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公用经费73.57万元，主要包括：办公费、印刷费、水电费、邮电费、差旅费、维修（护）费、会议费、培训费、公务接待费、劳务费、工会经费、公务用车运行维护费、其他交通费用、其他商品和服务支出。</w:t>
      </w: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七、“三公”经费财政拨款预算安排情况说明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司法局2023年“三公”经费财政拨款预算数3.8万元，其中：因公出国（境）经费0万元，公务接待费0.9万元，公务用车购置0万元，公务用车运行维护费2.9万元。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（一）因公出国（境）经费与2022年预算持平。主要原因是</w:t>
      </w:r>
      <w:r>
        <w:rPr>
          <w:rFonts w:hint="eastAsia" w:ascii="仿宋_GB2312" w:eastAsia="仿宋_GB2312"/>
          <w:sz w:val="32"/>
          <w:szCs w:val="32"/>
        </w:rPr>
        <w:t>没有因公出国（境）计划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仿宋_GB2312" w:eastAsia="仿宋_GB2312"/>
          <w:sz w:val="32"/>
          <w:szCs w:val="32"/>
        </w:rPr>
        <w:t>司法局</w:t>
      </w:r>
      <w:r>
        <w:rPr>
          <w:rFonts w:hint="eastAsia" w:ascii="仿宋_GB2312" w:eastAsia="仿宋_GB2312"/>
          <w:sz w:val="32"/>
          <w:szCs w:val="32"/>
        </w:rPr>
        <w:t>安排的出国计划，拟安排出国（境）团组0次，出国（境）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人次。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bCs/>
          <w:sz w:val="32"/>
          <w:szCs w:val="32"/>
        </w:rPr>
        <w:t>公务接待费较2022年预算减少。</w:t>
      </w:r>
      <w:r>
        <w:rPr>
          <w:rFonts w:hint="eastAsia" w:ascii="仿宋_GB2312" w:eastAsia="仿宋_GB2312"/>
          <w:sz w:val="32"/>
          <w:szCs w:val="32"/>
        </w:rPr>
        <w:t>主要原因是坚决贯彻执行中央八项规定，并且结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合了我局上年度公务接待费支出情况而定。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bCs/>
          <w:sz w:val="32"/>
          <w:szCs w:val="32"/>
        </w:rPr>
        <w:t>公务用车购置及运行维护费与2022年预算增加。</w:t>
      </w:r>
      <w:r>
        <w:rPr>
          <w:rFonts w:hint="eastAsia" w:ascii="仿宋_GB2312" w:eastAsia="仿宋_GB2312"/>
          <w:sz w:val="32"/>
          <w:szCs w:val="32"/>
        </w:rPr>
        <w:t>主要原因是社矫对象增加，社矫工作出差频次有所提升。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单位现有公务用车1辆。其中：（警车）轿车1辆。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2023年安排公务用车运行维护费2.9万元，用于1辆公务用车燃油、维修、保险等方面支出。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八、其他重要事项的情况说明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b/>
          <w:sz w:val="32"/>
          <w:szCs w:val="32"/>
        </w:rPr>
        <w:t>（一）机关运行经费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2023年，司法局的机关运行经费财政拨款预算为415.4</w:t>
      </w:r>
      <w:r>
        <w:rPr>
          <w:rFonts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比2022年预算增加144.93万元，减少34.9 %。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b/>
          <w:sz w:val="32"/>
          <w:szCs w:val="32"/>
        </w:rPr>
        <w:t>（二）政府采购情况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2023年，司法局安排政府采购预算15万元。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b/>
          <w:sz w:val="32"/>
          <w:szCs w:val="32"/>
        </w:rPr>
        <w:t>（三）国有资产占有使用情况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截至2022年底，司法局所属各预算单位共有</w:t>
      </w:r>
      <w:r>
        <w:rPr>
          <w:rFonts w:hint="eastAsia" w:ascii="仿宋_GB2312" w:eastAsia="仿宋_GB2312"/>
          <w:sz w:val="32"/>
          <w:szCs w:val="32"/>
        </w:rPr>
        <w:t>固定资产净值总额302.65万元，其中公务用车1辆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无形资产净值总额37.96万元。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2023年部门预算未安排购置车辆及单位价值200万元以上大型设备。</w:t>
      </w:r>
    </w:p>
    <w:p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b/>
          <w:sz w:val="32"/>
          <w:szCs w:val="32"/>
        </w:rPr>
        <w:t>（四）绩效目标设置情况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2023年司法局部门通用项目和专用项目均按要求实行绩效目标管理，涉及一般公共预算当年拨款76万元。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九、名词解释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（一）一般公共预算拨款收入：指区级财政当年拨付的资金。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（二）上年结转：指以前年度尚未完成、结转到本年仍按原规定用途继续使用的资金。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（三）基本支出：指为保障机构正常运转、完成日常工作任务所必需的人员经费和日常公用经费。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（四）项目支出：指在基本支出之外，为完成特定的行政工作任务或事业发展目标所发生的支出。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“三公”经费：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560" w:lineRule="exact"/>
        <w:ind w:left="1914" w:leftChars="132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附件：1. 罗江区财政局2023年部门预算公开表（见附件目录） </w:t>
      </w:r>
    </w:p>
    <w:p>
      <w:pPr>
        <w:spacing w:line="560" w:lineRule="exact"/>
        <w:ind w:left="1914" w:leftChars="132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2.部门整体支出绩效目标公开表</w:t>
      </w:r>
    </w:p>
    <w:p>
      <w:pPr>
        <w:spacing w:line="560" w:lineRule="exact"/>
        <w:ind w:left="1904" w:leftChars="330" w:hanging="320" w:hangingChars="1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3.部门预算项目支出绩效目标公开表</w:t>
      </w:r>
    </w:p>
    <w:p/>
    <w:p>
      <w:pPr>
        <w:ind w:firstLine="645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德阳市罗江区司法局</w:t>
      </w:r>
    </w:p>
    <w:p>
      <w:pPr>
        <w:wordWrap w:val="0"/>
        <w:ind w:firstLine="645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2023年1月20日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2112098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iM2I3MzNkMDJhYzQ4NTRhOGNmMjM3ZGM4YzViZGYifQ=="/>
  </w:docVars>
  <w:rsids>
    <w:rsidRoot w:val="004E4A63"/>
    <w:rsid w:val="000550E6"/>
    <w:rsid w:val="000E47BB"/>
    <w:rsid w:val="00107AF7"/>
    <w:rsid w:val="00166CD8"/>
    <w:rsid w:val="001702BC"/>
    <w:rsid w:val="00185225"/>
    <w:rsid w:val="001A5E61"/>
    <w:rsid w:val="001C7CBE"/>
    <w:rsid w:val="001D5DC7"/>
    <w:rsid w:val="001F59C4"/>
    <w:rsid w:val="00202A4E"/>
    <w:rsid w:val="00245794"/>
    <w:rsid w:val="00282943"/>
    <w:rsid w:val="002D17ED"/>
    <w:rsid w:val="002F6687"/>
    <w:rsid w:val="00325291"/>
    <w:rsid w:val="00335010"/>
    <w:rsid w:val="00336B03"/>
    <w:rsid w:val="00357CC6"/>
    <w:rsid w:val="00363AC0"/>
    <w:rsid w:val="003B021E"/>
    <w:rsid w:val="003C191A"/>
    <w:rsid w:val="00405C72"/>
    <w:rsid w:val="00493A20"/>
    <w:rsid w:val="004A29F7"/>
    <w:rsid w:val="004A79A0"/>
    <w:rsid w:val="004B52FA"/>
    <w:rsid w:val="004D43BB"/>
    <w:rsid w:val="004D53A9"/>
    <w:rsid w:val="004E4A63"/>
    <w:rsid w:val="00504316"/>
    <w:rsid w:val="00505FFD"/>
    <w:rsid w:val="00533C1B"/>
    <w:rsid w:val="0054504C"/>
    <w:rsid w:val="00556120"/>
    <w:rsid w:val="00557520"/>
    <w:rsid w:val="00563314"/>
    <w:rsid w:val="005A0F05"/>
    <w:rsid w:val="00614BC0"/>
    <w:rsid w:val="00636A7A"/>
    <w:rsid w:val="00640CC1"/>
    <w:rsid w:val="00667288"/>
    <w:rsid w:val="006979CA"/>
    <w:rsid w:val="006A162E"/>
    <w:rsid w:val="006B7FAA"/>
    <w:rsid w:val="006E3D83"/>
    <w:rsid w:val="007225E2"/>
    <w:rsid w:val="007365C4"/>
    <w:rsid w:val="00754460"/>
    <w:rsid w:val="00787A49"/>
    <w:rsid w:val="007D79A8"/>
    <w:rsid w:val="008678AA"/>
    <w:rsid w:val="008B3E5E"/>
    <w:rsid w:val="008C78A9"/>
    <w:rsid w:val="008E39E4"/>
    <w:rsid w:val="008F70DC"/>
    <w:rsid w:val="009049CB"/>
    <w:rsid w:val="0093252F"/>
    <w:rsid w:val="00933755"/>
    <w:rsid w:val="00942ECD"/>
    <w:rsid w:val="00980170"/>
    <w:rsid w:val="009C4C35"/>
    <w:rsid w:val="009D554C"/>
    <w:rsid w:val="00A33ACE"/>
    <w:rsid w:val="00A35F1B"/>
    <w:rsid w:val="00A46B69"/>
    <w:rsid w:val="00A5551E"/>
    <w:rsid w:val="00A60A56"/>
    <w:rsid w:val="00A6735F"/>
    <w:rsid w:val="00A816B0"/>
    <w:rsid w:val="00AB0D53"/>
    <w:rsid w:val="00B12B84"/>
    <w:rsid w:val="00B61DF9"/>
    <w:rsid w:val="00B71988"/>
    <w:rsid w:val="00B8271E"/>
    <w:rsid w:val="00B83729"/>
    <w:rsid w:val="00BB0AEB"/>
    <w:rsid w:val="00BC4B90"/>
    <w:rsid w:val="00BD7C8D"/>
    <w:rsid w:val="00C033E0"/>
    <w:rsid w:val="00C160E9"/>
    <w:rsid w:val="00C231B9"/>
    <w:rsid w:val="00C305C1"/>
    <w:rsid w:val="00C37823"/>
    <w:rsid w:val="00C56238"/>
    <w:rsid w:val="00C859D8"/>
    <w:rsid w:val="00C96FDA"/>
    <w:rsid w:val="00C976F8"/>
    <w:rsid w:val="00CD49F9"/>
    <w:rsid w:val="00CF7D87"/>
    <w:rsid w:val="00D14665"/>
    <w:rsid w:val="00D411C0"/>
    <w:rsid w:val="00D574ED"/>
    <w:rsid w:val="00D677AF"/>
    <w:rsid w:val="00D93A8E"/>
    <w:rsid w:val="00DA7D87"/>
    <w:rsid w:val="00DC34F5"/>
    <w:rsid w:val="00E16A62"/>
    <w:rsid w:val="00E221D1"/>
    <w:rsid w:val="00E26263"/>
    <w:rsid w:val="00E811BC"/>
    <w:rsid w:val="00EE23D3"/>
    <w:rsid w:val="00EF4482"/>
    <w:rsid w:val="00EF65D3"/>
    <w:rsid w:val="00F506B3"/>
    <w:rsid w:val="00F61D3C"/>
    <w:rsid w:val="00FD2791"/>
    <w:rsid w:val="00FD2F29"/>
    <w:rsid w:val="01931A7A"/>
    <w:rsid w:val="052868FD"/>
    <w:rsid w:val="0CBC3A4D"/>
    <w:rsid w:val="13522181"/>
    <w:rsid w:val="1A8B57AF"/>
    <w:rsid w:val="1FCE268A"/>
    <w:rsid w:val="2CBD72B2"/>
    <w:rsid w:val="42991D01"/>
    <w:rsid w:val="44E1584B"/>
    <w:rsid w:val="6F9D54EF"/>
    <w:rsid w:val="77103EEA"/>
    <w:rsid w:val="7F7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beforeLines="30"/>
    </w:pPr>
    <w:rPr>
      <w:rFonts w:ascii="仿宋_GB2312" w:eastAsia="仿宋_GB2312"/>
      <w:sz w:val="3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正文文本 Char"/>
    <w:basedOn w:val="6"/>
    <w:link w:val="2"/>
    <w:uiPriority w:val="0"/>
    <w:rPr>
      <w:rFonts w:ascii="仿宋_GB2312" w:hAnsi="Times New Roman" w:eastAsia="仿宋_GB2312" w:cs="Times New Roman"/>
      <w:kern w:val="2"/>
      <w:sz w:val="30"/>
      <w:szCs w:val="24"/>
    </w:rPr>
  </w:style>
  <w:style w:type="paragraph" w:customStyle="1" w:styleId="12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13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3373</Words>
  <Characters>3744</Characters>
  <Lines>31</Lines>
  <Paragraphs>8</Paragraphs>
  <TotalTime>0</TotalTime>
  <ScaleCrop>false</ScaleCrop>
  <LinksUpToDate>false</LinksUpToDate>
  <CharactersWithSpaces>3855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2023-02-13T06:45:00Z</dcterms:created>
  <dc:creator>null,null,总收发</dc:creator>
  <cp:lastModifiedBy>阁主</cp:lastModifiedBy>
  <dcterms:modified xsi:type="dcterms:W3CDTF">2023-05-15T01:47:02Z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EA6A1C7375534E0CA82AB50CCB2D3252_12</vt:lpwstr>
  </property>
</Properties>
</file>