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2" w:firstLineChars="100"/>
        <w:jc w:val="center"/>
        <w:rPr>
          <w:rStyle w:val="12"/>
          <w:rFonts w:ascii="ˎ̥" w:hAnsi="ˎ̥"/>
          <w:b/>
          <w:bCs/>
          <w:color w:val="auto"/>
          <w:sz w:val="41"/>
          <w:szCs w:val="41"/>
        </w:rPr>
      </w:pPr>
      <w:r>
        <w:rPr>
          <w:rStyle w:val="12"/>
          <w:rFonts w:hint="eastAsia" w:ascii="ˎ̥" w:hAnsi="ˎ̥"/>
          <w:b/>
          <w:bCs/>
          <w:color w:val="auto"/>
          <w:sz w:val="41"/>
          <w:szCs w:val="41"/>
        </w:rPr>
        <w:t>德阳市罗江</w:t>
      </w:r>
      <w:r>
        <w:rPr>
          <w:rStyle w:val="12"/>
          <w:rFonts w:hint="eastAsia" w:ascii="ˎ̥" w:hAnsi="ˎ̥"/>
          <w:b/>
          <w:bCs/>
          <w:color w:val="auto"/>
          <w:sz w:val="41"/>
          <w:szCs w:val="41"/>
          <w:lang w:val="en-US" w:eastAsia="zh-CN"/>
        </w:rPr>
        <w:t>区行政审批局</w:t>
      </w:r>
      <w:r>
        <w:rPr>
          <w:rStyle w:val="12"/>
          <w:rFonts w:ascii="ˎ̥" w:hAnsi="ˎ̥"/>
          <w:b/>
          <w:bCs/>
          <w:color w:val="auto"/>
          <w:sz w:val="41"/>
          <w:szCs w:val="41"/>
        </w:rPr>
        <w:t>20</w:t>
      </w:r>
      <w:r>
        <w:rPr>
          <w:rStyle w:val="12"/>
          <w:rFonts w:hint="eastAsia" w:ascii="ˎ̥" w:hAnsi="ˎ̥"/>
          <w:b/>
          <w:bCs/>
          <w:color w:val="auto"/>
          <w:sz w:val="41"/>
          <w:szCs w:val="41"/>
          <w:lang w:val="en-US" w:eastAsia="zh-CN"/>
        </w:rPr>
        <w:t>23</w:t>
      </w:r>
      <w:r>
        <w:rPr>
          <w:rStyle w:val="12"/>
          <w:rFonts w:ascii="ˎ̥" w:hAnsi="ˎ̥"/>
          <w:b/>
          <w:bCs/>
          <w:color w:val="auto"/>
          <w:sz w:val="41"/>
          <w:szCs w:val="41"/>
        </w:rPr>
        <w:t>年部门预算编制说明</w:t>
      </w:r>
    </w:p>
    <w:p>
      <w:pPr>
        <w:pStyle w:val="9"/>
        <w:rPr>
          <w:color w:val="auto"/>
        </w:rPr>
      </w:pPr>
    </w:p>
    <w:sdt>
      <w:sdtPr>
        <w:rPr>
          <w:rFonts w:ascii="宋体" w:hAnsi="宋体" w:eastAsia="宋体" w:cs="Times New Roman"/>
          <w:color w:val="auto"/>
          <w:kern w:val="2"/>
          <w:sz w:val="21"/>
          <w:szCs w:val="24"/>
          <w:lang w:val="en-US" w:eastAsia="zh-CN" w:bidi="ar-SA"/>
        </w:rPr>
        <w:id w:val="147471545"/>
        <w15:color w:val="DBDBDB"/>
      </w:sdtPr>
      <w:sdtEndPr>
        <w:rPr>
          <w:rFonts w:hint="eastAsia" w:ascii="仿宋_GB2312" w:hAnsi="仿宋_GB2312" w:eastAsia="仿宋_GB2312" w:cs="仿宋_GB2312"/>
          <w:b/>
          <w:bCs/>
          <w:color w:val="auto"/>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b/>
              <w:bCs/>
              <w:color w:val="auto"/>
              <w:sz w:val="28"/>
              <w:szCs w:val="36"/>
            </w:rPr>
          </w:pPr>
          <w:r>
            <w:rPr>
              <w:rFonts w:ascii="宋体" w:hAnsi="宋体" w:eastAsia="宋体"/>
              <w:b/>
              <w:bCs/>
              <w:color w:val="auto"/>
              <w:sz w:val="28"/>
              <w:szCs w:val="36"/>
            </w:rPr>
            <w:t>目录</w:t>
          </w:r>
        </w:p>
        <w:p>
          <w:pPr>
            <w:pStyle w:val="14"/>
            <w:tabs>
              <w:tab w:val="right" w:leader="dot" w:pos="8845"/>
            </w:tabs>
            <w:rPr>
              <w:rFonts w:hint="default" w:ascii="仿宋_GB2312" w:hAnsi="仿宋_GB2312" w:eastAsia="仿宋_GB2312" w:cstheme="minorBidi"/>
              <w:color w:val="auto"/>
              <w:kern w:val="2"/>
              <w:sz w:val="32"/>
              <w:szCs w:val="32"/>
              <w:lang w:val="en-US" w:eastAsia="zh-CN" w:bidi="ar-SA"/>
            </w:rPr>
          </w:pPr>
          <w:r>
            <w:rPr>
              <w:rStyle w:val="12"/>
              <w:rFonts w:hint="eastAsia" w:ascii="仿宋_GB2312" w:hAnsi="仿宋_GB2312" w:eastAsia="仿宋_GB2312" w:cs="仿宋_GB2312"/>
              <w:b/>
              <w:bCs/>
              <w:color w:val="auto"/>
              <w:sz w:val="24"/>
              <w:szCs w:val="24"/>
            </w:rPr>
            <w:fldChar w:fldCharType="begin"/>
          </w:r>
          <w:r>
            <w:rPr>
              <w:rStyle w:val="12"/>
              <w:rFonts w:hint="eastAsia" w:ascii="仿宋_GB2312" w:hAnsi="仿宋_GB2312" w:eastAsia="仿宋_GB2312" w:cs="仿宋_GB2312"/>
              <w:b/>
              <w:bCs/>
              <w:color w:val="auto"/>
              <w:sz w:val="24"/>
              <w:szCs w:val="24"/>
            </w:rPr>
            <w:instrText xml:space="preserve">TOC \o "1-2" \h \u </w:instrText>
          </w:r>
          <w:r>
            <w:rPr>
              <w:rStyle w:val="12"/>
              <w:rFonts w:hint="eastAsia" w:ascii="仿宋_GB2312" w:hAnsi="仿宋_GB2312" w:eastAsia="仿宋_GB2312" w:cs="仿宋_GB2312"/>
              <w:b/>
              <w:bCs/>
              <w:color w:val="auto"/>
              <w:sz w:val="24"/>
              <w:szCs w:val="24"/>
            </w:rPr>
            <w:fldChar w:fldCharType="separate"/>
          </w: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_Toc28770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一、基本职能及主要工作</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1</w:t>
          </w:r>
        </w:p>
        <w:p>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_Toc21884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（一）机构设置及主要职责</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1</w:t>
          </w:r>
        </w:p>
        <w:p>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_Toc818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（二）2023年重点工作</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2</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_Toc27442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二、部门预算单位构成</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3</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_Toc1848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三、收支预算增减变化情况说明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4</w:t>
          </w:r>
        </w:p>
        <w:p>
          <w:pPr>
            <w:pStyle w:val="15"/>
            <w:tabs>
              <w:tab w:val="right" w:leader="dot" w:pos="8845"/>
            </w:tabs>
            <w:ind w:left="0" w:leftChars="0" w:firstLine="64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_Toc193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（一）收入预算情况</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4</w:t>
          </w:r>
        </w:p>
        <w:p>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_Toc3651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（二）支出预算情况</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4</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_Toc3738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四、财政拨款收支预算情况说明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4</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_Toc3440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五、一般公共预算当年拨款情况说明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4</w:t>
          </w:r>
        </w:p>
        <w:p>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_Toc25098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（一）一般公共预算当年拨款规模变化情况</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4</w:t>
          </w:r>
        </w:p>
        <w:p>
          <w:pPr>
            <w:pStyle w:val="15"/>
            <w:tabs>
              <w:tab w:val="right" w:leader="dot" w:pos="8845"/>
            </w:tabs>
            <w:ind w:left="319" w:leftChars="152" w:firstLine="320" w:firstLineChars="1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_Toc16092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（二）一般公共预算当年拨款结构情况(按照功能科目类写)</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5</w:t>
          </w:r>
        </w:p>
        <w:p>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_Toc28341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（三）一般公共预算当年拨款具体使用情况（按功能科目类款项写）</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6</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_Toc18858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六、一般公共预算基本支出情况说明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7</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_Toc256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七、“三公”经费财政拨款预算安排情况说明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7</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_Toc11086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八、政府性基金预算收支情况说明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8</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_Toc165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九、国有资本经营预算支出情况说明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8</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_Toc29771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十、其他重要事项的情况说明</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9</w:t>
          </w:r>
        </w:p>
        <w:p>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_Toc11525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（一）机关运行经费</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9</w:t>
          </w:r>
        </w:p>
        <w:p>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_Toc15299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（二）政府采购情况</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9</w:t>
          </w:r>
        </w:p>
        <w:p>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_Toc18679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（三）国有资产占有使用情况</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9</w:t>
          </w:r>
        </w:p>
        <w:p>
          <w:pPr>
            <w:pStyle w:val="15"/>
            <w:tabs>
              <w:tab w:val="right" w:leader="dot" w:pos="8845"/>
            </w:tabs>
            <w:ind w:left="0" w:leftChars="0" w:firstLine="640" w:firstLineChars="200"/>
            <w:rPr>
              <w:rFonts w:hint="default" w:ascii="仿宋_GB2312" w:hAnsi="仿宋_GB2312" w:eastAsia="仿宋_GB2312" w:cstheme="minorBidi"/>
              <w:color w:val="auto"/>
              <w:kern w:val="2"/>
              <w:sz w:val="32"/>
              <w:szCs w:val="32"/>
              <w:lang w:val="en-US" w:eastAsia="zh-CN" w:bidi="ar-SA"/>
            </w:rPr>
          </w:pPr>
          <w:r>
            <w:rPr>
              <w:rFonts w:hint="eastAsia" w:ascii="仿宋_GB2312" w:hAnsi="仿宋_GB2312" w:eastAsia="仿宋_GB2312" w:cstheme="minorBidi"/>
              <w:color w:val="auto"/>
              <w:kern w:val="2"/>
              <w:sz w:val="32"/>
              <w:szCs w:val="32"/>
              <w:lang w:val="en-US" w:eastAsia="zh-CN" w:bidi="ar-SA"/>
            </w:rPr>
            <w:fldChar w:fldCharType="begin"/>
          </w:r>
          <w:r>
            <w:rPr>
              <w:rFonts w:hint="eastAsia" w:ascii="仿宋_GB2312" w:hAnsi="仿宋_GB2312" w:eastAsia="仿宋_GB2312" w:cstheme="minorBidi"/>
              <w:color w:val="auto"/>
              <w:kern w:val="2"/>
              <w:sz w:val="32"/>
              <w:szCs w:val="32"/>
              <w:lang w:val="en-US" w:eastAsia="zh-CN" w:bidi="ar-SA"/>
            </w:rPr>
            <w:instrText xml:space="preserve"> HYPERLINK \l _Toc2176 </w:instrText>
          </w:r>
          <w:r>
            <w:rPr>
              <w:rFonts w:hint="eastAsia" w:ascii="仿宋_GB2312" w:hAnsi="仿宋_GB2312" w:eastAsia="仿宋_GB2312" w:cstheme="minorBidi"/>
              <w:color w:val="auto"/>
              <w:kern w:val="2"/>
              <w:sz w:val="32"/>
              <w:szCs w:val="32"/>
              <w:lang w:val="en-US" w:eastAsia="zh-CN" w:bidi="ar-SA"/>
            </w:rPr>
            <w:fldChar w:fldCharType="separate"/>
          </w:r>
          <w:r>
            <w:rPr>
              <w:rFonts w:hint="eastAsia" w:ascii="仿宋_GB2312" w:hAnsi="仿宋_GB2312" w:eastAsia="仿宋_GB2312" w:cstheme="minorBidi"/>
              <w:color w:val="auto"/>
              <w:kern w:val="2"/>
              <w:sz w:val="32"/>
              <w:szCs w:val="32"/>
              <w:lang w:val="en-US" w:eastAsia="zh-CN" w:bidi="ar-SA"/>
            </w:rPr>
            <w:t>（四）绩效目标设置情况</w:t>
          </w:r>
          <w:r>
            <w:rPr>
              <w:rFonts w:hint="eastAsia" w:ascii="仿宋_GB2312" w:hAnsi="仿宋_GB2312" w:eastAsia="仿宋_GB2312" w:cstheme="minorBidi"/>
              <w:color w:val="auto"/>
              <w:kern w:val="2"/>
              <w:sz w:val="32"/>
              <w:szCs w:val="32"/>
              <w:lang w:val="en-US" w:eastAsia="zh-CN" w:bidi="ar-SA"/>
            </w:rPr>
            <w:tab/>
          </w:r>
          <w:r>
            <w:rPr>
              <w:rFonts w:hint="eastAsia" w:ascii="仿宋_GB2312" w:hAnsi="仿宋_GB2312" w:eastAsia="仿宋_GB2312" w:cstheme="minorBidi"/>
              <w:color w:val="auto"/>
              <w:kern w:val="2"/>
              <w:sz w:val="32"/>
              <w:szCs w:val="32"/>
              <w:lang w:val="en-US" w:eastAsia="zh-CN" w:bidi="ar-SA"/>
            </w:rPr>
            <w:fldChar w:fldCharType="end"/>
          </w:r>
          <w:r>
            <w:rPr>
              <w:rFonts w:hint="eastAsia" w:ascii="仿宋_GB2312" w:hAnsi="仿宋_GB2312" w:eastAsia="仿宋_GB2312" w:cstheme="minorBidi"/>
              <w:color w:val="auto"/>
              <w:kern w:val="2"/>
              <w:sz w:val="32"/>
              <w:szCs w:val="32"/>
              <w:lang w:val="en-US" w:eastAsia="zh-CN" w:bidi="ar-SA"/>
            </w:rPr>
            <w:t>9</w:t>
          </w:r>
        </w:p>
        <w:p>
          <w:pPr>
            <w:pStyle w:val="14"/>
            <w:tabs>
              <w:tab w:val="right" w:leader="dot" w:pos="8845"/>
            </w:tabs>
            <w:rPr>
              <w:rFonts w:hint="default" w:ascii="仿宋_GB2312" w:hAnsi="仿宋_GB2312" w:eastAsia="仿宋_GB2312" w:cstheme="minorBidi"/>
              <w:b/>
              <w:bCs/>
              <w:color w:val="auto"/>
              <w:kern w:val="2"/>
              <w:sz w:val="32"/>
              <w:szCs w:val="32"/>
              <w:lang w:val="en-US" w:eastAsia="zh-CN" w:bidi="ar-SA"/>
            </w:rPr>
          </w:pPr>
          <w:r>
            <w:rPr>
              <w:rFonts w:hint="eastAsia" w:ascii="仿宋_GB2312" w:hAnsi="仿宋_GB2312" w:eastAsia="仿宋_GB2312" w:cstheme="minorBidi"/>
              <w:b/>
              <w:bCs/>
              <w:color w:val="auto"/>
              <w:kern w:val="2"/>
              <w:sz w:val="32"/>
              <w:szCs w:val="32"/>
              <w:lang w:val="en-US" w:eastAsia="zh-CN" w:bidi="ar-SA"/>
            </w:rPr>
            <w:fldChar w:fldCharType="begin"/>
          </w:r>
          <w:r>
            <w:rPr>
              <w:rFonts w:hint="eastAsia" w:ascii="仿宋_GB2312" w:hAnsi="仿宋_GB2312" w:eastAsia="仿宋_GB2312" w:cstheme="minorBidi"/>
              <w:b/>
              <w:bCs/>
              <w:color w:val="auto"/>
              <w:kern w:val="2"/>
              <w:sz w:val="32"/>
              <w:szCs w:val="32"/>
              <w:lang w:val="en-US" w:eastAsia="zh-CN" w:bidi="ar-SA"/>
            </w:rPr>
            <w:instrText xml:space="preserve"> HYPERLINK \l _Toc6693 </w:instrText>
          </w:r>
          <w:r>
            <w:rPr>
              <w:rFonts w:hint="eastAsia" w:ascii="仿宋_GB2312" w:hAnsi="仿宋_GB2312" w:eastAsia="仿宋_GB2312" w:cstheme="minorBidi"/>
              <w:b/>
              <w:bCs/>
              <w:color w:val="auto"/>
              <w:kern w:val="2"/>
              <w:sz w:val="32"/>
              <w:szCs w:val="32"/>
              <w:lang w:val="en-US" w:eastAsia="zh-CN" w:bidi="ar-SA"/>
            </w:rPr>
            <w:fldChar w:fldCharType="separate"/>
          </w:r>
          <w:r>
            <w:rPr>
              <w:rFonts w:hint="eastAsia" w:ascii="仿宋_GB2312" w:hAnsi="仿宋_GB2312" w:eastAsia="仿宋_GB2312" w:cstheme="minorBidi"/>
              <w:b/>
              <w:bCs/>
              <w:color w:val="auto"/>
              <w:kern w:val="2"/>
              <w:sz w:val="32"/>
              <w:szCs w:val="32"/>
              <w:lang w:val="en-US" w:eastAsia="zh-CN" w:bidi="ar-SA"/>
            </w:rPr>
            <w:t>十一、名词解释</w:t>
          </w:r>
          <w:r>
            <w:rPr>
              <w:rFonts w:hint="eastAsia" w:ascii="仿宋_GB2312" w:hAnsi="仿宋_GB2312" w:eastAsia="仿宋_GB2312" w:cstheme="minorBidi"/>
              <w:b/>
              <w:bCs/>
              <w:color w:val="auto"/>
              <w:kern w:val="2"/>
              <w:sz w:val="32"/>
              <w:szCs w:val="32"/>
              <w:lang w:val="en-US" w:eastAsia="zh-CN" w:bidi="ar-SA"/>
            </w:rPr>
            <w:tab/>
          </w:r>
          <w:r>
            <w:rPr>
              <w:rFonts w:hint="eastAsia" w:ascii="仿宋_GB2312" w:hAnsi="仿宋_GB2312" w:eastAsia="仿宋_GB2312" w:cstheme="minorBidi"/>
              <w:b/>
              <w:bCs/>
              <w:color w:val="auto"/>
              <w:kern w:val="2"/>
              <w:sz w:val="32"/>
              <w:szCs w:val="32"/>
              <w:lang w:val="en-US" w:eastAsia="zh-CN" w:bidi="ar-SA"/>
            </w:rPr>
            <w:fldChar w:fldCharType="end"/>
          </w:r>
          <w:r>
            <w:rPr>
              <w:rFonts w:hint="eastAsia" w:ascii="仿宋_GB2312" w:hAnsi="仿宋_GB2312" w:eastAsia="仿宋_GB2312" w:cstheme="minorBidi"/>
              <w:b/>
              <w:bCs/>
              <w:color w:val="auto"/>
              <w:kern w:val="2"/>
              <w:sz w:val="32"/>
              <w:szCs w:val="32"/>
              <w:lang w:val="en-US" w:eastAsia="zh-CN" w:bidi="ar-SA"/>
            </w:rPr>
            <w:t>10</w:t>
          </w:r>
        </w:p>
        <w:p>
          <w:pPr>
            <w:ind w:firstLine="241" w:firstLineChars="100"/>
            <w:jc w:val="center"/>
            <w:rPr>
              <w:rStyle w:val="12"/>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olor w:val="auto"/>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i w:val="0"/>
          <w:iCs w:val="0"/>
          <w:caps w:val="0"/>
          <w:color w:val="auto"/>
          <w:spacing w:val="0"/>
          <w:kern w:val="0"/>
          <w:sz w:val="32"/>
          <w:szCs w:val="32"/>
          <w:shd w:val="clear" w:fill="FFFFFF"/>
          <w:lang w:val="en-US" w:eastAsia="zh-CN" w:bidi="ar"/>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20" w:firstLineChars="100"/>
        <w:jc w:val="left"/>
        <w:rPr>
          <w:rFonts w:hint="eastAsia" w:ascii="黑体" w:hAnsi="黑体" w:eastAsia="黑体" w:cs="黑体"/>
          <w:color w:val="auto"/>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一、基本职能及主要工作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w:t>
      </w: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（一）局机构设置及主要职责。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贯彻实施有关法律、法规、规章，执行上级有关行政审批制度改革的方针、政策；会同有关部门推进行政审批制度改革，提出行政审批制度改革的建议；参与行政审批事项的清理和规范。制定区行政审批局各项规章制度和管理办法，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负责规范全区行政审批和政务服务行为，建立和完善相应工作机制，推进标准化建设；负责对行政许可、政务服务事项进行流程再造、环节优化、压缩时限，并对办理情况进行跟踪督办。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负责投资项目、市场服务、公共事务、社会事务、环保城管、规划建设、交通运输、文教卫生、农林水利等领域的审批，并对审批行为承担相应的法律责任。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负责进驻中心的垂管等部门行政审批工作的规范、管理和监督；负责进驻中心各服务单位及固定资产投资项目中介服务机构办理事项的规范、管理和监督。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负责全区行政审批服务体系信息化建设，建立和完善高效便民的行政审批服务体系。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负责公共资源交易平台建设、协调、监督和管理；会同有关行政监督部门拟订公共资源交易市场规则和制度，编制公共资源交易项目目录，规范各类公共资源交易活动。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负责对行政审批、公共资源交易及政务服务事项的投诉举报的承办、转办和督办工作，配合有关部门查处违法、违规、违纪问题。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协调和指导镇、村（社区）便民服务相关工作。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负责贯彻落实有关公共资源交易方面的法律法规和文件规定。</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pacing w:val="-11"/>
          <w:sz w:val="32"/>
          <w:szCs w:val="32"/>
          <w:lang w:val="en-US" w:eastAsia="zh-CN"/>
        </w:rPr>
        <w:t>10.</w:t>
      </w:r>
      <w:r>
        <w:rPr>
          <w:rFonts w:hint="eastAsia" w:ascii="仿宋_GB2312" w:hAnsi="仿宋_GB2312" w:eastAsia="仿宋_GB2312" w:cs="仿宋_GB2312"/>
          <w:color w:val="auto"/>
          <w:spacing w:val="-11"/>
          <w:sz w:val="32"/>
          <w:szCs w:val="32"/>
        </w:rPr>
        <w:t>负责行政审批局工作人员的教育、培训、管理和考核。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承办区委、区政府交办的其他事项，承办区人大建议、区政协提案等事宜。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12.</w:t>
      </w:r>
      <w:r>
        <w:rPr>
          <w:rFonts w:hint="eastAsia" w:ascii="仿宋_GB2312" w:hAnsi="仿宋_GB2312" w:eastAsia="仿宋_GB2312" w:cs="仿宋_GB2312"/>
          <w:bCs/>
          <w:color w:val="auto"/>
          <w:sz w:val="32"/>
          <w:szCs w:val="32"/>
        </w:rPr>
        <w:t>贯彻执行国家和省</w:t>
      </w:r>
      <w:r>
        <w:rPr>
          <w:rFonts w:hint="eastAsia" w:ascii="仿宋_GB2312" w:hAnsi="仿宋_GB2312" w:eastAsia="仿宋_GB2312" w:cs="仿宋_GB2312"/>
          <w:bCs/>
          <w:color w:val="auto"/>
          <w:sz w:val="32"/>
          <w:szCs w:val="32"/>
          <w:lang w:eastAsia="zh-CN"/>
        </w:rPr>
        <w:t>、市、区“放管服”</w:t>
      </w:r>
      <w:r>
        <w:rPr>
          <w:rFonts w:hint="eastAsia" w:ascii="仿宋_GB2312" w:hAnsi="仿宋_GB2312" w:eastAsia="仿宋_GB2312" w:cs="仿宋_GB2312"/>
          <w:bCs/>
          <w:color w:val="auto"/>
          <w:sz w:val="32"/>
          <w:szCs w:val="32"/>
        </w:rPr>
        <w:t>、大数据</w:t>
      </w:r>
      <w:r>
        <w:rPr>
          <w:rFonts w:hint="eastAsia" w:ascii="仿宋_GB2312" w:hAnsi="仿宋_GB2312" w:eastAsia="仿宋_GB2312" w:cs="仿宋_GB2312"/>
          <w:bCs/>
          <w:color w:val="auto"/>
          <w:sz w:val="32"/>
          <w:szCs w:val="32"/>
          <w:lang w:eastAsia="zh-CN"/>
        </w:rPr>
        <w:t>重大决策部署和</w:t>
      </w:r>
      <w:r>
        <w:rPr>
          <w:rFonts w:hint="eastAsia" w:ascii="仿宋_GB2312" w:hAnsi="仿宋_GB2312" w:eastAsia="仿宋_GB2312" w:cs="仿宋_GB2312"/>
          <w:bCs/>
          <w:color w:val="auto"/>
          <w:sz w:val="32"/>
          <w:szCs w:val="32"/>
        </w:rPr>
        <w:t>方针政策</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法律法规规章。</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13.</w:t>
      </w:r>
      <w:r>
        <w:rPr>
          <w:rFonts w:hint="eastAsia" w:ascii="仿宋_GB2312" w:hAnsi="仿宋_GB2312" w:eastAsia="仿宋_GB2312" w:cs="仿宋_GB2312"/>
          <w:bCs/>
          <w:color w:val="auto"/>
          <w:sz w:val="32"/>
          <w:szCs w:val="32"/>
        </w:rPr>
        <w:t>负责</w:t>
      </w:r>
      <w:r>
        <w:rPr>
          <w:rFonts w:hint="eastAsia" w:ascii="仿宋_GB2312" w:hAnsi="仿宋_GB2312" w:eastAsia="仿宋_GB2312" w:cs="仿宋_GB2312"/>
          <w:bCs/>
          <w:color w:val="auto"/>
          <w:sz w:val="32"/>
          <w:szCs w:val="32"/>
          <w:lang w:eastAsia="zh-CN"/>
        </w:rPr>
        <w:t>拟订</w:t>
      </w:r>
      <w:r>
        <w:rPr>
          <w:rFonts w:hint="eastAsia" w:ascii="仿宋_GB2312" w:hAnsi="仿宋_GB2312" w:eastAsia="仿宋_GB2312" w:cs="仿宋_GB2312"/>
          <w:bCs/>
          <w:color w:val="auto"/>
          <w:sz w:val="32"/>
          <w:szCs w:val="32"/>
        </w:rPr>
        <w:t>全</w:t>
      </w:r>
      <w:r>
        <w:rPr>
          <w:rFonts w:hint="eastAsia" w:ascii="仿宋_GB2312" w:hAnsi="仿宋_GB2312" w:eastAsia="仿宋_GB2312" w:cs="仿宋_GB2312"/>
          <w:bCs/>
          <w:color w:val="auto"/>
          <w:sz w:val="32"/>
          <w:szCs w:val="32"/>
          <w:lang w:eastAsia="zh-CN"/>
        </w:rPr>
        <w:t>区</w:t>
      </w:r>
      <w:r>
        <w:rPr>
          <w:rFonts w:hint="eastAsia" w:ascii="仿宋_GB2312" w:hAnsi="仿宋_GB2312" w:eastAsia="仿宋_GB2312" w:cs="仿宋_GB2312"/>
          <w:bCs/>
          <w:color w:val="auto"/>
          <w:sz w:val="32"/>
          <w:szCs w:val="32"/>
        </w:rPr>
        <w:t>大数据发展规划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政策措施</w:t>
      </w:r>
      <w:r>
        <w:rPr>
          <w:rFonts w:hint="eastAsia" w:ascii="仿宋_GB2312" w:hAnsi="仿宋_GB2312" w:eastAsia="仿宋_GB2312" w:cs="仿宋_GB2312"/>
          <w:bCs/>
          <w:color w:val="auto"/>
          <w:sz w:val="32"/>
          <w:szCs w:val="32"/>
          <w:lang w:eastAsia="zh-CN"/>
        </w:rPr>
        <w:t>、管理办法和考核细则</w:t>
      </w:r>
      <w:r>
        <w:rPr>
          <w:rFonts w:hint="eastAsia" w:ascii="仿宋_GB2312" w:hAnsi="仿宋_GB2312" w:eastAsia="仿宋_GB2312" w:cs="仿宋_GB2312"/>
          <w:bCs/>
          <w:color w:val="auto"/>
          <w:sz w:val="32"/>
          <w:szCs w:val="32"/>
        </w:rPr>
        <w:t>并组织实施；统筹推进全</w:t>
      </w:r>
      <w:r>
        <w:rPr>
          <w:rFonts w:hint="eastAsia" w:ascii="仿宋_GB2312" w:hAnsi="仿宋_GB2312" w:eastAsia="仿宋_GB2312" w:cs="仿宋_GB2312"/>
          <w:bCs/>
          <w:color w:val="auto"/>
          <w:sz w:val="32"/>
          <w:szCs w:val="32"/>
          <w:lang w:eastAsia="zh-CN"/>
        </w:rPr>
        <w:t>区大</w:t>
      </w:r>
      <w:r>
        <w:rPr>
          <w:rFonts w:hint="eastAsia" w:ascii="仿宋_GB2312" w:hAnsi="仿宋_GB2312" w:eastAsia="仿宋_GB2312" w:cs="仿宋_GB2312"/>
          <w:bCs/>
          <w:color w:val="auto"/>
          <w:sz w:val="32"/>
          <w:szCs w:val="32"/>
        </w:rPr>
        <w:t>数据资源</w:t>
      </w:r>
      <w:r>
        <w:rPr>
          <w:rFonts w:hint="eastAsia" w:ascii="仿宋_GB2312" w:hAnsi="仿宋_GB2312" w:eastAsia="仿宋_GB2312" w:cs="仿宋_GB2312"/>
          <w:bCs/>
          <w:color w:val="auto"/>
          <w:sz w:val="32"/>
          <w:szCs w:val="32"/>
          <w:lang w:eastAsia="zh-CN"/>
        </w:rPr>
        <w:t>开发应用、</w:t>
      </w:r>
      <w:r>
        <w:rPr>
          <w:rFonts w:hint="eastAsia" w:ascii="仿宋_GB2312" w:hAnsi="仿宋_GB2312" w:eastAsia="仿宋_GB2312" w:cs="仿宋_GB2312"/>
          <w:bCs/>
          <w:color w:val="auto"/>
          <w:sz w:val="32"/>
          <w:szCs w:val="32"/>
        </w:rPr>
        <w:t>互联互通</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共享开放</w:t>
      </w:r>
      <w:r>
        <w:rPr>
          <w:rFonts w:hint="eastAsia" w:ascii="仿宋_GB2312" w:hAnsi="仿宋_GB2312" w:eastAsia="仿宋_GB2312" w:cs="仿宋_GB2312"/>
          <w:bCs/>
          <w:color w:val="auto"/>
          <w:sz w:val="32"/>
          <w:szCs w:val="32"/>
          <w:lang w:eastAsia="zh-CN"/>
        </w:rPr>
        <w:t>和</w:t>
      </w:r>
      <w:r>
        <w:rPr>
          <w:rFonts w:hint="eastAsia" w:ascii="仿宋_GB2312" w:hAnsi="仿宋_GB2312" w:eastAsia="仿宋_GB2312" w:cs="仿宋_GB2312"/>
          <w:bCs/>
          <w:color w:val="auto"/>
          <w:sz w:val="32"/>
          <w:szCs w:val="32"/>
        </w:rPr>
        <w:t>新型智慧城市建设</w:t>
      </w:r>
      <w:r>
        <w:rPr>
          <w:rFonts w:hint="eastAsia" w:ascii="仿宋_GB2312" w:hAnsi="仿宋_GB2312" w:eastAsia="仿宋_GB2312" w:cs="仿宋_GB2312"/>
          <w:bCs/>
          <w:color w:val="auto"/>
          <w:sz w:val="32"/>
          <w:szCs w:val="32"/>
          <w:lang w:eastAsia="zh-CN"/>
        </w:rPr>
        <w:t>等</w:t>
      </w:r>
      <w:r>
        <w:rPr>
          <w:rFonts w:hint="eastAsia" w:ascii="仿宋_GB2312" w:hAnsi="仿宋_GB2312" w:eastAsia="仿宋_GB2312" w:cs="仿宋_GB2312"/>
          <w:bCs/>
          <w:color w:val="auto"/>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14.负责大数据领域对外交流合作；指导大数据行业协会、学会、联盟机构等社会组织工作；承担大数据人才队伍建设工作。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15.统筹全区大数据基础设施建设的规划协调和监督管理。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16.负责职责范围内的安全生产和职业健康、生态环境保护、社会信用体系建设和政务服务便民化等工作。</w:t>
      </w: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（二）行政审批局2023年重点工作。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1.持续推动深化“放管服”改革、优化营商环境工作，巩固成效、持续发力。加强乡镇便民服务事项指导，积极探索更加规范化、标准化的政务服务新模式。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2.紧扣集成服务，深化线下“一窗受理”，推动线上“不见面”审批服务机制，不断缩减环节时限材料，优化办理流程，确保行政效能再提升。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3.全面施行政府采购项目“一体化平台”全流程线上采购模式，实现“不见面”开标，远程异地评标，推动公共资源交易愈加规范化。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4.进一步完善智慧城市运营和应急指挥中心建设。加快推动数字基础设施建设和各类数字平台应用。持续推进政务云工作，加强政务外网运维保障工作，做好全区数据资源归集。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二、部门预算单位构成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德阳市罗江区行政审批局下属二级单位</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个，均为其他</w:t>
      </w:r>
      <w:r>
        <w:rPr>
          <w:rFonts w:hint="eastAsia" w:ascii="仿宋_GB2312" w:hAnsi="仿宋_GB2312" w:eastAsia="仿宋_GB2312" w:cs="仿宋_GB2312"/>
          <w:color w:val="auto"/>
          <w:sz w:val="32"/>
          <w:szCs w:val="32"/>
        </w:rPr>
        <w:t>事业单位。</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主要包括：德阳市罗江区人民政府公共资源交易中心、德阳市罗江区政务服务中心、德阳市罗江区万安镇便民服务中心、德阳市罗江区略坪镇便民服务中心、德阳市罗江区新盛镇便民服务中心、德阳市罗江区白马关镇便民服务中心、德阳市罗江区调元镇便民服务中心、德阳市罗江区鄢家镇便民服务中心、德阳市罗江区金山镇便民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行政审批局总编制61名，其中行政编制12名，事业编制49名。在职人员总数41人，其中：行政人员11人，事业人员30人。离退休人员1人，其中：退休人员1人。本次公开数据包括所有下属二级单位数据。</w:t>
      </w:r>
    </w:p>
    <w:p>
      <w:pPr>
        <w:pStyle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pStyle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　　三、收支预算增减变化情况说明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按照综合预算的原则，行政审批局所有收支均包含下属单位数据，全部纳入部门预算管理。收入包括：当年财政拨款收入1230.69万元，比2022年预算数增加163.51万元，主要是因为2023年预算项目经费比去年有所增加；支出包括：相应安排支出预算1230.69万元，比2022年预算数增加163.51万元，主要是因为2023年预算项目支出增加。行政审批局2023年收支总预算1130.69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　　（一）收入预算情况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2023年收入预算1230.69万元，其中：一般公共预算拨款收入1230.69万元，占100%。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（二）支出预算情况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2023年支出预算1230.69万元，其中：基本支出793.92万元，占64.51%；项目支出436.77万元，占35.49%。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　　四、财政拨款收支预算情况说明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审批局2023年财政拨款收支总预算1230.69万元。比2022年财政拨款收支总预算增加163.51万元，主要是因为2023年预算项目支出增加。收入包括：本年一般公共预算拨款收入1230.69万元；支出包括：一般公共服务支出1230.69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　　五、一般公共预算当年拨款情况说明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　　（一）一般公共预算当年拨款规模变化情况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行政审批局2023年一般公共预算当年拨款1230.69万元，比2022年预算数增加163.51万元，主要是因为2023年预算项目支出增加。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596" w:firstLineChars="200"/>
        <w:jc w:val="left"/>
        <w:rPr>
          <w:rFonts w:hint="eastAsia" w:ascii="仿宋_GB2312" w:hAnsi="仿宋_GB2312" w:eastAsia="仿宋_GB2312" w:cs="仿宋_GB2312"/>
          <w:color w:val="auto"/>
          <w:spacing w:val="-11"/>
          <w:sz w:val="32"/>
          <w:szCs w:val="32"/>
        </w:rPr>
      </w:pPr>
      <w:r>
        <w:rPr>
          <w:rFonts w:hint="eastAsia" w:ascii="方正楷体_GBK" w:hAnsi="方正楷体_GBK" w:eastAsia="方正楷体_GBK" w:cs="方正楷体_GBK"/>
          <w:i w:val="0"/>
          <w:iCs w:val="0"/>
          <w:caps w:val="0"/>
          <w:color w:val="auto"/>
          <w:spacing w:val="-11"/>
          <w:kern w:val="0"/>
          <w:sz w:val="32"/>
          <w:szCs w:val="32"/>
          <w:shd w:val="clear" w:fill="FFFFFF"/>
          <w:lang w:val="en-US" w:eastAsia="zh-CN" w:bidi="ar"/>
        </w:rPr>
        <w:t>（二）一般公共预算当年拨款结构情况(按照功能科目</w:t>
      </w:r>
      <w:r>
        <w:rPr>
          <w:rFonts w:hint="eastAsia" w:ascii="仿宋_GB2312" w:hAnsi="仿宋_GB2312" w:eastAsia="仿宋_GB2312" w:cs="仿宋_GB2312"/>
          <w:i w:val="0"/>
          <w:iCs w:val="0"/>
          <w:caps w:val="0"/>
          <w:color w:val="auto"/>
          <w:spacing w:val="-11"/>
          <w:kern w:val="0"/>
          <w:sz w:val="32"/>
          <w:szCs w:val="32"/>
          <w:shd w:val="clear" w:fill="FFFFFF"/>
          <w:lang w:val="en-US" w:eastAsia="zh-CN" w:bidi="ar"/>
        </w:rPr>
        <w:t>类写)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一般公共服务支出1042.06万元，占84.67%；社会保障和就业支出拨款104.31万元，占8.5%；卫生健康支出拨款27.98万元，占2.23%；住房保障支出拨款56.34万元，占4.6%。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40" w:right="0" w:firstLine="0"/>
        <w:jc w:val="left"/>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（三）一般公共预算当年拨款具体使用情况（按功能科</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目类款项写）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1.一般公共服务</w:t>
      </w:r>
    </w:p>
    <w:p>
      <w:pPr>
        <w:pStyle w:val="2"/>
        <w:ind w:firstLine="640" w:firstLineChars="200"/>
        <w:rPr>
          <w:rFonts w:hint="eastAsia" w:hAnsi="仿宋_GB2312" w:cs="仿宋_GB2312"/>
          <w:i w:val="0"/>
          <w:iCs w:val="0"/>
          <w:caps w:val="0"/>
          <w:color w:val="auto"/>
          <w:spacing w:val="0"/>
          <w:kern w:val="0"/>
          <w:sz w:val="32"/>
          <w:szCs w:val="32"/>
          <w:shd w:val="clear" w:fill="FFFFFF"/>
          <w:lang w:val="en-US" w:eastAsia="zh-CN" w:bidi="ar"/>
        </w:rPr>
      </w:pPr>
      <w:r>
        <w:rPr>
          <w:rFonts w:hint="eastAsia" w:hAnsi="仿宋_GB2312" w:cs="仿宋_GB2312"/>
          <w:i w:val="0"/>
          <w:iCs w:val="0"/>
          <w:caps w:val="0"/>
          <w:color w:val="auto"/>
          <w:spacing w:val="0"/>
          <w:kern w:val="0"/>
          <w:sz w:val="32"/>
          <w:szCs w:val="32"/>
          <w:shd w:val="clear" w:fill="FFFFFF"/>
          <w:lang w:val="en-US" w:eastAsia="zh-CN" w:bidi="ar"/>
        </w:rPr>
        <w:t>人大事务</w:t>
      </w:r>
    </w:p>
    <w:p>
      <w:pPr>
        <w:pStyle w:val="2"/>
        <w:ind w:firstLine="640" w:firstLineChars="200"/>
        <w:rPr>
          <w:rFonts w:hint="eastAsia" w:hAnsi="仿宋_GB2312" w:cs="仿宋_GB2312"/>
          <w:i w:val="0"/>
          <w:iCs w:val="0"/>
          <w:caps w:val="0"/>
          <w:color w:val="auto"/>
          <w:spacing w:val="0"/>
          <w:kern w:val="0"/>
          <w:sz w:val="32"/>
          <w:szCs w:val="32"/>
          <w:shd w:val="clear" w:fill="FFFFFF"/>
          <w:lang w:val="en-US" w:eastAsia="zh-CN" w:bidi="ar"/>
        </w:rPr>
      </w:pPr>
      <w:r>
        <w:rPr>
          <w:rFonts w:hint="eastAsia" w:hAnsi="仿宋_GB2312" w:cs="仿宋_GB2312"/>
          <w:i w:val="0"/>
          <w:iCs w:val="0"/>
          <w:caps w:val="0"/>
          <w:color w:val="auto"/>
          <w:spacing w:val="0"/>
          <w:kern w:val="0"/>
          <w:sz w:val="32"/>
          <w:szCs w:val="32"/>
          <w:shd w:val="clear" w:fill="FFFFFF"/>
          <w:lang w:val="en-US" w:eastAsia="zh-CN" w:bidi="ar"/>
        </w:rPr>
        <w:t>行政运行</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2023年预算数为</w:t>
      </w:r>
      <w:r>
        <w:rPr>
          <w:rFonts w:hint="eastAsia" w:hAnsi="仿宋_GB2312" w:cs="仿宋_GB2312"/>
          <w:i w:val="0"/>
          <w:iCs w:val="0"/>
          <w:caps w:val="0"/>
          <w:color w:val="auto"/>
          <w:spacing w:val="0"/>
          <w:kern w:val="0"/>
          <w:sz w:val="32"/>
          <w:szCs w:val="32"/>
          <w:shd w:val="clear" w:fill="FFFFFF"/>
          <w:lang w:val="en-US" w:eastAsia="zh-CN" w:bidi="ar"/>
        </w:rPr>
        <w:t>1.49</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万元，主要用于机关人员</w:t>
      </w:r>
      <w:r>
        <w:rPr>
          <w:rFonts w:hint="eastAsia" w:hAnsi="仿宋_GB2312" w:cs="仿宋_GB2312"/>
          <w:i w:val="0"/>
          <w:iCs w:val="0"/>
          <w:caps w:val="0"/>
          <w:color w:val="auto"/>
          <w:spacing w:val="0"/>
          <w:kern w:val="0"/>
          <w:sz w:val="32"/>
          <w:szCs w:val="32"/>
          <w:shd w:val="clear" w:fill="FFFFFF"/>
          <w:lang w:val="en-US" w:eastAsia="zh-CN" w:bidi="ar"/>
        </w:rPr>
        <w:t>工会活动支出</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政府办公厅（室）及相关机构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行政运行2023年预算数为200.75万元，主要用于机关人员工资及单位日常运转所需的商品和服务支出。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一般行政管理事务2023年预算数为34.3万元，主要用于机关及下属事业单位日常运转以及为完成特定行政工作任务和事业发展目标而安排的年度项目支出。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事业运行2023年预算数为403.05万元，主要用于下属事业单位人员工资及单位日常运转所需的商品和服务支出。</w:t>
      </w:r>
    </w:p>
    <w:p>
      <w:pPr>
        <w:pStyle w:val="2"/>
        <w:rPr>
          <w:rFonts w:hint="default"/>
          <w:lang w:val="en-US"/>
        </w:rPr>
      </w:pPr>
      <w:r>
        <w:rPr>
          <w:rFonts w:hint="eastAsia" w:hAnsi="仿宋_GB2312" w:cs="仿宋_GB2312"/>
          <w:i w:val="0"/>
          <w:iCs w:val="0"/>
          <w:caps w:val="0"/>
          <w:color w:val="auto"/>
          <w:spacing w:val="0"/>
          <w:kern w:val="0"/>
          <w:sz w:val="32"/>
          <w:szCs w:val="32"/>
          <w:shd w:val="clear" w:fill="FFFFFF"/>
          <w:lang w:val="en-US" w:eastAsia="zh-CN" w:bidi="ar"/>
        </w:rPr>
        <w:t xml:space="preserve">    其他政府办公厅（室）及相关机构事务支出402.47万元，主要用于</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单位日常运转所需的商品和服务支出</w:t>
      </w:r>
      <w:r>
        <w:rPr>
          <w:rFonts w:hint="eastAsia" w:hAnsi="仿宋_GB2312" w:cs="仿宋_GB2312"/>
          <w:i w:val="0"/>
          <w:iCs w:val="0"/>
          <w:caps w:val="0"/>
          <w:color w:val="auto"/>
          <w:spacing w:val="0"/>
          <w:kern w:val="0"/>
          <w:sz w:val="32"/>
          <w:szCs w:val="32"/>
          <w:shd w:val="clear" w:fill="FFFFFF"/>
          <w:lang w:val="en-US" w:eastAsia="zh-CN" w:bidi="ar"/>
        </w:rPr>
        <w:t>及完成特定行政工作任务和事业发展目标而安排的年度项目支出。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4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 社会保障和就业支出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行政事业单位离退休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机关事业单位基本养老保险2023年预算数为66.8万元，主要用于机关及下属事业单位按照规定标准为职工缴纳的基本养老保险支出。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机关事业单位职业年金2023年预算数为33.40万元，主要用于机关及下属事业单位按照规定标准为职工缴纳的职业年金支出。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其他行政事业单位养老支出2023年预算数为2万元，主要用于退休人员的生活补助。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其他社会保障和就业支出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其他社会保障和就业支出2023年预算数为2.12万元，主要用于机关及下属事业单位按照规定标准为职工缴纳的失业保险和工伤保险支出。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3医疗卫生与计划生育支出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行政事业单位医疗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行政单位医疗2023年预算数为7.96万元，主要用于机关单位按照规定标准为职工缴纳的基本医疗保险及公务员医疗补助等支出。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事业单位医疗2023年预算数为20.03万元，主要用于下属事业单位按照规定标准为职工缴纳的基本医疗保险及医疗补助等支出。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其他行政事业单位医疗2023年预算数为0万元，主要用于机关及下属事业单位按照规定标准为职工缴纳的生育保险支出。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4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4.住房保障支出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住房改革支出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住房公积金2023年预算数为56.34万元，主要用于机关及下属事业单位按照规定标准为职工缴纳住房公积金等支出。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六、一般公共预算基本支出情况说明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行政审批局2023年一般公共预算基本支出793.92万元，其中：人员经费678.69万元，主要包括：基本工资、津贴补贴、奖金、绩效工资、机关事业单位基本养老保险缴费、职业年金缴费、职工基本医疗保险缴费、其他社会保障缴费、住房公积金、其他工资福利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公用经费115.23万元，主要包括：办公费、水费、邮电费、差旅费、维修（护）费、会议费、租赁费、劳务费、培训费、工会经费、其他交通费用、其他商品和服务支出。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七、“三公”经费财政拨款预算安排情况说明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行政审批局2023年“三公”经费财政拨款预算数2.2万元，其中：因公出国（境）经费0万元，公务接待费2.2万元，公务用车购置0万元，公务用车运行维护费0万元。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2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（一）因公出国（境）经费较2021年预算持平。主要原</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因</w:t>
      </w: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是无因公出国（境）事项。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480"/>
        <w:jc w:val="left"/>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(二）公务接待费较2021年预算下降4.35%。主要原因是</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我单位将继续认真贯彻执行中央八项规定，省委省政府、市委市政府、区委区政府十项规定以及《党政机厉行节约反对浪费条例》规定，严格控制公务接待消费。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20"/>
        <w:jc w:val="left"/>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（三）公务用车购置0万元较2022年0万元预算持平。</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主要原因是严格执行公务用车管理，不违规购车辆，未预算车辆购置费。公务用车运行维护费0万元较2021年0万元预算持平。主要原因是2023年公务用车运行维护费预算安排在机关事务管理局。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单位现有公务用车0辆。其中：轿车0辆。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2023年安排公务用车运行维护费0万元，用于公务用车燃油、维修、保险等方面支出。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八、政府性基金预算收支情况说明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行政审批局2023年基金收支总预算0万元。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九、国有资本经营预算支出情况说明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行政审批局2023年国有资本经营预算收支总预算0万元。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　　十、其他重要事项的情况说明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　　（一）机关运行经费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2023年，行政审批局含下属9家事业单位的机关运行经费财政拨款预算为115.23万元，比2021年预算减少5.37万元，减少4.45%。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　　（二）政府采购情况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2023年，行政审批局安排政府采购预算0万元。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　　（三）国有资产占有使用情况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截至2022年底，行政审批局所属各预算单位共有固定资产总额270.15万元，其中公务用车0辆。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2023年部门预算未安排购置车辆及单位价值200万元以上大型设备。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　　（四）绩效目标设置情况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2023年行政审批局部门通用项目和专用项目均按要求实行绩效目标管理，涉及一般公共预算当年拨款436.77万元。</w:t>
      </w: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color w:val="auto"/>
          <w:sz w:val="32"/>
          <w:szCs w:val="32"/>
        </w:rPr>
      </w:pPr>
    </w:p>
    <w:p>
      <w:pPr>
        <w:pStyle w:val="2"/>
        <w:rPr>
          <w:rFonts w:hint="eastAsia" w:ascii="仿宋_GB2312" w:hAnsi="仿宋_GB2312" w:eastAsia="仿宋_GB2312"/>
          <w:color w:val="auto"/>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十、名词解释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（一）一般公共预算拨款收入：指区级财政当年拨付的资金。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（二）上年结转：指以前年度尚未完成、结转到本年仍按原规定用途继续使用的资金。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（三）基本支出：指为保障机构正常运转、完成日常工作任务所必需的人员经费和日常公用经费。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（四）项目支出：指在基本支出之外，为完成特定的行政工作任务或事业发展目标所发生的支出。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3"/>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（六）社会保障和就业类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（1）机关事业单位基本养老保险缴费支出（2080505）:反映机关事业单位实施养老保险制度由单位缴纳的基本养老保险费支出。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（2）机关事业单位职业年金缴费支出（2080506）:反映机关事业单位实施养老保险制度由单位缴纳的职业年金支出。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（3）其他行政事业单位离退休支出（2080599）:反映除（1）（2）以外其他用于行政事业单位离退休方面的支出。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（4）其他社会保障和就业支出（2089999）：反映除上述（1）（2）（3）项目以外其他用于社会保障和就业方面的支出。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3"/>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（七）卫生健康支出类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（1）行政单位医疗（2101101）:反映财政部门集中安排的行政单位基本医疗保险缴费经费，未参加医疗保险的行政单位的公费医疗经费、红军老战士待遇人员的医疗经费。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（2）事业单位医疗（2101102）:反映财政部门集中安排的事业单位基本医疗保险缴费经费，未参加医疗保险的事业单位的公费医疗经费，按国家规定享受离休人员待遇的医疗经费。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11"/>
          <w:sz w:val="32"/>
          <w:szCs w:val="32"/>
        </w:rPr>
      </w:pPr>
      <w:r>
        <w:rPr>
          <w:rFonts w:hint="eastAsia" w:ascii="仿宋_GB2312" w:hAnsi="仿宋_GB2312" w:eastAsia="仿宋_GB2312" w:cs="仿宋_GB2312"/>
          <w:i w:val="0"/>
          <w:iCs w:val="0"/>
          <w:caps w:val="0"/>
          <w:color w:val="333333"/>
          <w:spacing w:val="-11"/>
          <w:kern w:val="0"/>
          <w:sz w:val="32"/>
          <w:szCs w:val="32"/>
          <w:shd w:val="clear" w:fill="FFFFFF"/>
          <w:lang w:val="en-US" w:eastAsia="zh-CN" w:bidi="ar"/>
        </w:rPr>
        <w:t>（3）其他行政事业单位医疗支出（2101199）：反映除（1）（2）项目以外的其他用于行政事业单位医疗方面的支出。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3"/>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bookmarkStart w:id="0" w:name="_GoBack"/>
      <w:bookmarkEnd w:id="0"/>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（八）住房保障类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3"/>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住房公积金（2210201）:反映行政事业单位按人力资源和社会保障部、财政部规定的基本工资和津补贴以及规定比例为职工缴纳的住房公积金。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（九）一般公共服务（类）政府办公厅（室）及相关机构事务（款）行政运行（项）:反应行政单位（包括实行公务员管理的事业单位）的基本支出。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（十）一般公共服务（类）政府办公厅（室）及相关机构事务（款）一般行政管理事务（项）: 反应行政单位（包括实行公务员管理的事业单位）未单独设置项级科目的其他项目支出。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（十一）一般公共服务（类）政府办公厅（室）及相关机构事务（款）事业运行（项）: 反映事业单位的基本支出，不包括行政单位（包括实行公务员管理的事业单位）后勤服务中心、医务室等附属事业单位。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仿宋_GB2312" w:hAnsi="仿宋_GB2312" w:eastAsia="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（十二）一般公共服务（类）政府办公厅（室）及相关机构事务（款）其他政府办公厅（室）及相关机构事务支出（项）：反映除上述项目以外的其他政府办公厅（室）及相关机构事务支出。</w:t>
      </w: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eastAsia" w:ascii="仿宋_GB2312" w:hAnsi="仿宋_GB2312" w:eastAsia="仿宋_GB2312"/>
          <w:sz w:val="32"/>
          <w:szCs w:val="32"/>
        </w:rPr>
      </w:pPr>
      <w:r>
        <w:rPr>
          <w:rFonts w:hint="eastAsia" w:ascii="仿宋_GB2312" w:hAnsi="仿宋_GB2312" w:eastAsia="仿宋_GB2312"/>
          <w:sz w:val="32"/>
          <w:szCs w:val="32"/>
        </w:rPr>
        <w:t>附件：</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 xml:space="preserve"> 罗江区</w:t>
      </w:r>
      <w:r>
        <w:rPr>
          <w:rFonts w:hint="eastAsia" w:ascii="仿宋_GB2312" w:hAnsi="仿宋_GB2312" w:eastAsia="仿宋_GB2312"/>
          <w:sz w:val="32"/>
          <w:szCs w:val="32"/>
          <w:lang w:val="en-US" w:eastAsia="zh-CN"/>
        </w:rPr>
        <w:t>行政审批局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（见附件目录）</w:t>
      </w: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557" w:leftChars="132" w:hanging="1280" w:hangingChars="4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2.部门整体支出绩效目标公开表</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3.部门预算项目支出绩效目标公开表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目录</w:t>
      </w:r>
    </w:p>
    <w:p>
      <w:pPr>
        <w:pStyle w:val="9"/>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部门收支总表</w:t>
      </w:r>
    </w:p>
    <w:p>
      <w:pPr>
        <w:keepNext w:val="0"/>
        <w:keepLines w:val="0"/>
        <w:pageBreakBefore w:val="0"/>
        <w:widowControl w:val="0"/>
        <w:numPr>
          <w:ilvl w:val="1"/>
          <w:numId w:val="2"/>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部门收入总表</w:t>
      </w:r>
    </w:p>
    <w:p>
      <w:pPr>
        <w:keepNext w:val="0"/>
        <w:keepLines w:val="0"/>
        <w:pageBreakBefore w:val="0"/>
        <w:widowControl w:val="0"/>
        <w:numPr>
          <w:ilvl w:val="1"/>
          <w:numId w:val="2"/>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部门支出总表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财政拨款收支预算总表</w:t>
      </w:r>
    </w:p>
    <w:p>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财政拨款支出预算表（政府经济分类科目）</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一般公共预算基本支出预算表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一般公共预算项目支出预算表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政府性基金支出预算表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政府性基金预算“三公”经费支出预算表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国有资本经营预算支出预算表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202</w:t>
      </w:r>
      <w:r>
        <w:rPr>
          <w:rFonts w:hint="eastAsia" w:ascii="仿宋_GB2312" w:hAnsi="仿宋_GB2312" w:eastAsia="仿宋_GB2312"/>
          <w:sz w:val="32"/>
          <w:szCs w:val="32"/>
          <w:lang w:val="en-US" w:eastAsia="zh-CN"/>
        </w:rPr>
        <w:t>3</w:t>
      </w:r>
      <w:r>
        <w:rPr>
          <w:rFonts w:hint="default" w:ascii="仿宋_GB2312" w:hAnsi="仿宋_GB2312" w:eastAsia="仿宋_GB2312"/>
          <w:sz w:val="32"/>
          <w:szCs w:val="32"/>
          <w:lang w:val="en-US" w:eastAsia="zh-CN"/>
        </w:rPr>
        <w:t>年部门预算项目绩效目标（部门预算）</w:t>
      </w:r>
    </w:p>
    <w:p>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政府预算基本支出表</w:t>
      </w:r>
    </w:p>
    <w:p>
      <w:pPr>
        <w:keepNext w:val="0"/>
        <w:keepLines w:val="0"/>
        <w:pageBreakBefore w:val="0"/>
        <w:widowControl w:val="0"/>
        <w:numPr>
          <w:ilvl w:val="1"/>
          <w:numId w:val="2"/>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政府预算项目支出表</w:t>
      </w:r>
    </w:p>
    <w:p>
      <w:pPr>
        <w:rPr>
          <w:rFonts w:hint="eastAsia" w:ascii="仿宋_GB2312" w:hAnsi="仿宋_GB2312" w:eastAsia="仿宋_GB2312" w:cs="仿宋_GB2312"/>
          <w:color w:val="auto"/>
          <w:sz w:val="32"/>
          <w:szCs w:val="32"/>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Y2VkNjUxNzljZmVlMzNhZGY3Y2YxYzcwMmIzZjAifQ=="/>
  </w:docVars>
  <w:rsids>
    <w:rsidRoot w:val="00000000"/>
    <w:rsid w:val="006B2109"/>
    <w:rsid w:val="00AD7338"/>
    <w:rsid w:val="01D56953"/>
    <w:rsid w:val="03685A5D"/>
    <w:rsid w:val="03ED1668"/>
    <w:rsid w:val="04B213C1"/>
    <w:rsid w:val="05611846"/>
    <w:rsid w:val="05884FA5"/>
    <w:rsid w:val="07C215C8"/>
    <w:rsid w:val="08927DE3"/>
    <w:rsid w:val="095A5B83"/>
    <w:rsid w:val="09716209"/>
    <w:rsid w:val="0A1E3055"/>
    <w:rsid w:val="0ADD6A6C"/>
    <w:rsid w:val="0DFE7425"/>
    <w:rsid w:val="0F53554E"/>
    <w:rsid w:val="101A33BC"/>
    <w:rsid w:val="13525B1D"/>
    <w:rsid w:val="14C30E98"/>
    <w:rsid w:val="162A6E0A"/>
    <w:rsid w:val="16327D0C"/>
    <w:rsid w:val="17B3595D"/>
    <w:rsid w:val="17DE09A3"/>
    <w:rsid w:val="1BAC442F"/>
    <w:rsid w:val="1BBE4697"/>
    <w:rsid w:val="1C41361D"/>
    <w:rsid w:val="1CEE6754"/>
    <w:rsid w:val="1F11290A"/>
    <w:rsid w:val="1FB5437A"/>
    <w:rsid w:val="20196040"/>
    <w:rsid w:val="209E05F3"/>
    <w:rsid w:val="21C62E3E"/>
    <w:rsid w:val="22E034E0"/>
    <w:rsid w:val="22ED0DDA"/>
    <w:rsid w:val="2383112C"/>
    <w:rsid w:val="243C426D"/>
    <w:rsid w:val="24F44C86"/>
    <w:rsid w:val="25513E86"/>
    <w:rsid w:val="2565435C"/>
    <w:rsid w:val="257119DA"/>
    <w:rsid w:val="273A290F"/>
    <w:rsid w:val="2ED74269"/>
    <w:rsid w:val="33CD5020"/>
    <w:rsid w:val="35020B33"/>
    <w:rsid w:val="37884674"/>
    <w:rsid w:val="378D6FA0"/>
    <w:rsid w:val="38213B8C"/>
    <w:rsid w:val="399F742C"/>
    <w:rsid w:val="3DB80444"/>
    <w:rsid w:val="3EF57B95"/>
    <w:rsid w:val="43A7169E"/>
    <w:rsid w:val="45B002FD"/>
    <w:rsid w:val="45F460EC"/>
    <w:rsid w:val="46DE35E6"/>
    <w:rsid w:val="46E202C9"/>
    <w:rsid w:val="48D766C0"/>
    <w:rsid w:val="48E34557"/>
    <w:rsid w:val="4AF62C56"/>
    <w:rsid w:val="4F247082"/>
    <w:rsid w:val="4F4A5B0C"/>
    <w:rsid w:val="514A2AE5"/>
    <w:rsid w:val="5437381F"/>
    <w:rsid w:val="56FE6A97"/>
    <w:rsid w:val="586D4601"/>
    <w:rsid w:val="5B1B0AA8"/>
    <w:rsid w:val="5E5249D0"/>
    <w:rsid w:val="61565329"/>
    <w:rsid w:val="626D271E"/>
    <w:rsid w:val="6352730B"/>
    <w:rsid w:val="64DE77A6"/>
    <w:rsid w:val="662F083B"/>
    <w:rsid w:val="6A18009C"/>
    <w:rsid w:val="6D162FB8"/>
    <w:rsid w:val="6DDA2238"/>
    <w:rsid w:val="6E4547DC"/>
    <w:rsid w:val="6F4D4C8B"/>
    <w:rsid w:val="6F5E0A50"/>
    <w:rsid w:val="702C3CD5"/>
    <w:rsid w:val="70CD2CD4"/>
    <w:rsid w:val="71795F3D"/>
    <w:rsid w:val="75604B9B"/>
    <w:rsid w:val="758D444B"/>
    <w:rsid w:val="766677FD"/>
    <w:rsid w:val="76684159"/>
    <w:rsid w:val="766E4627"/>
    <w:rsid w:val="7A0E42FA"/>
    <w:rsid w:val="7D3F2BAB"/>
    <w:rsid w:val="7E1B48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7">
    <w:name w:val="toc 2"/>
    <w:basedOn w:val="1"/>
    <w:next w:val="1"/>
    <w:unhideWhenUsed/>
    <w:qFormat/>
    <w:uiPriority w:val="39"/>
    <w:pPr>
      <w:tabs>
        <w:tab w:val="right" w:leader="dot" w:pos="8296"/>
      </w:tabs>
      <w:ind w:left="420" w:leftChars="200"/>
    </w:pPr>
  </w:style>
  <w:style w:type="paragraph" w:styleId="8">
    <w:name w:val="Normal (Web)"/>
    <w:basedOn w:val="1"/>
    <w:semiHidden/>
    <w:unhideWhenUsed/>
    <w:qFormat/>
    <w:uiPriority w:val="99"/>
    <w:rPr>
      <w:sz w:val="24"/>
    </w:rPr>
  </w:style>
  <w:style w:type="paragraph" w:styleId="9">
    <w:name w:val="Body Text First Indent 2"/>
    <w:basedOn w:val="3"/>
    <w:qFormat/>
    <w:uiPriority w:val="99"/>
    <w:pPr>
      <w:ind w:firstLine="420" w:firstLineChars="200"/>
    </w:pPr>
  </w:style>
  <w:style w:type="character" w:styleId="12">
    <w:name w:val="Emphasis"/>
    <w:basedOn w:val="11"/>
    <w:qFormat/>
    <w:uiPriority w:val="20"/>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customStyle="1" w:styleId="14">
    <w:name w:val="WPSOffice手动目录 1"/>
    <w:qFormat/>
    <w:uiPriority w:val="0"/>
    <w:pPr>
      <w:ind w:leftChars="0"/>
    </w:pPr>
    <w:rPr>
      <w:rFonts w:ascii="Calibri" w:hAnsi="Calibri" w:eastAsia="宋体" w:cs="Times New Roman"/>
      <w:sz w:val="20"/>
      <w:szCs w:val="20"/>
    </w:rPr>
  </w:style>
  <w:style w:type="paragraph" w:customStyle="1" w:styleId="15">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5416</Words>
  <Characters>5871</Characters>
  <Lines>0</Lines>
  <Paragraphs>0</Paragraphs>
  <TotalTime>32</TotalTime>
  <ScaleCrop>false</ScaleCrop>
  <LinksUpToDate>false</LinksUpToDate>
  <CharactersWithSpaces>6008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12</cp:lastModifiedBy>
  <dcterms:modified xsi:type="dcterms:W3CDTF">2023-02-07T02:39:47Z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590168B71960423F9841821FE38EA7E7</vt:lpwstr>
  </property>
</Properties>
</file>