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etween w:val="single" w:color="auto" w:sz="4" w:space="0"/>
        </w:pBdr>
        <w:jc w:val="both"/>
        <w:rPr>
          <w:rFonts w:ascii="黑体" w:hAnsi="黑体" w:eastAsia="黑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ind w:firstLine="540" w:firstLineChars="150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德阳市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罗江区</w:t>
      </w:r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年度涉农价格公示表</w:t>
      </w:r>
      <w:bookmarkEnd w:id="0"/>
    </w:p>
    <w:tbl>
      <w:tblPr>
        <w:tblStyle w:val="2"/>
        <w:tblW w:w="13880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36"/>
        <w:gridCol w:w="2304"/>
        <w:gridCol w:w="1549"/>
        <w:gridCol w:w="1"/>
        <w:gridCol w:w="1549"/>
        <w:gridCol w:w="1326"/>
        <w:gridCol w:w="2890"/>
        <w:gridCol w:w="2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收费部门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计费单位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收费标准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收费对象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收费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依据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供电部门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居民生活用电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  <w:t>居民</w:t>
            </w:r>
          </w:p>
        </w:tc>
        <w:tc>
          <w:tcPr>
            <w:tcW w:w="289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川发改价格规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237号、川发改价格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401号、德市罗发改价管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24号</w:t>
            </w:r>
          </w:p>
        </w:tc>
        <w:tc>
          <w:tcPr>
            <w:tcW w:w="28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2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指不满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1千伏电压的电力，含各类基金和附加费的终端电价。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合表居民用电</w:t>
            </w:r>
          </w:p>
        </w:tc>
        <w:tc>
          <w:tcPr>
            <w:tcW w:w="15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/千瓦时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0.5464</w:t>
            </w:r>
          </w:p>
        </w:tc>
        <w:tc>
          <w:tcPr>
            <w:tcW w:w="132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9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“一户一表”居民用电</w:t>
            </w:r>
          </w:p>
        </w:tc>
        <w:tc>
          <w:tcPr>
            <w:tcW w:w="154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9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（1）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一阶：月用电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180千瓦时及以内部分</w:t>
            </w:r>
          </w:p>
        </w:tc>
        <w:tc>
          <w:tcPr>
            <w:tcW w:w="154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0.5224</w:t>
            </w:r>
          </w:p>
        </w:tc>
        <w:tc>
          <w:tcPr>
            <w:tcW w:w="132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9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（2）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二阶：月用电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180-280千瓦时部分</w:t>
            </w:r>
          </w:p>
        </w:tc>
        <w:tc>
          <w:tcPr>
            <w:tcW w:w="154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0.6224</w:t>
            </w:r>
          </w:p>
        </w:tc>
        <w:tc>
          <w:tcPr>
            <w:tcW w:w="132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9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（3）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三阶：月用电超过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280千瓦时部分</w:t>
            </w:r>
          </w:p>
        </w:tc>
        <w:tc>
          <w:tcPr>
            <w:tcW w:w="154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0.8224</w:t>
            </w:r>
          </w:p>
        </w:tc>
        <w:tc>
          <w:tcPr>
            <w:tcW w:w="132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9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供气、供水部门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天然气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居民生活用天然气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/立方米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一阶：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2.09-2.19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二阶：2.51-2.63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三阶：3.14-3.29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合表：2.30-2.41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居民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德市罗发改价管〔20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德市罗发改价管〔20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相关要求详见文件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自来水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居民生活用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水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/立方米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一阶：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1.20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二阶：1.80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三阶：3.60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合表：1.44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居民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德市罗发改价管〔2019〕2号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相关要求详见文件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水务部门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农业供水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都江堰人民渠第二管理处灌区农业供水终端价格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立方米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0.13-0.15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农村居民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用水户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德市罗发改价管〔20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具体项目、价格标准及要求详见文件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殡葬服务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基本服务</w:t>
            </w:r>
          </w:p>
        </w:tc>
        <w:tc>
          <w:tcPr>
            <w:tcW w:w="3099" w:type="dxa"/>
            <w:gridSpan w:val="3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具体项目、价格标准及要求详见文件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2890" w:type="dxa"/>
            <w:vMerge w:val="restar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罗价发〔2010〕01号</w:t>
            </w:r>
          </w:p>
        </w:tc>
        <w:tc>
          <w:tcPr>
            <w:tcW w:w="2855" w:type="dxa"/>
            <w:vMerge w:val="restar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延伸服务</w:t>
            </w:r>
          </w:p>
        </w:tc>
        <w:tc>
          <w:tcPr>
            <w:tcW w:w="3099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0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教育部门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中小学课后服务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课后服务</w:t>
            </w:r>
          </w:p>
        </w:tc>
        <w:tc>
          <w:tcPr>
            <w:tcW w:w="1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元/生.月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不高于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180.00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2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川发改价格〔201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246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号，德教〔201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号，德市罗教发〔20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号，德市罗教发〔20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具体项目、价格标准及要求详见文件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GRiOGM1M2M3NjllZGUyMjVmYzZkMmNmZTc0YmMifQ=="/>
  </w:docVars>
  <w:rsids>
    <w:rsidRoot w:val="4E6F2AEC"/>
    <w:rsid w:val="4E6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2023-01-13T09:06:00Z</dcterms:created>
  <dc:creator>Administrator</dc:creator>
  <cp:lastModifiedBy>Administrator</cp:lastModifiedBy>
  <dcterms:modified xsi:type="dcterms:W3CDTF">2023-01-13T09:07:15Z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BF1739BB75A54C27B4E7ECB8B251D7CE</vt:lpwstr>
  </property>
</Properties>
</file>